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0" w:firstLineChars="0"/>
        <w:jc w:val="left"/>
        <w:rPr>
          <w:b/>
          <w:bCs/>
          <w:color w:val="auto"/>
          <w:sz w:val="58"/>
          <w:highlight w:val="none"/>
        </w:rPr>
      </w:pPr>
      <w:r>
        <w:rPr>
          <w:b/>
          <w:bCs/>
          <w:color w:val="auto"/>
          <w:sz w:val="58"/>
          <w:highlight w:val="none"/>
        </w:rPr>
        <w:drawing>
          <wp:inline distT="0" distB="0" distL="114300" distR="114300">
            <wp:extent cx="1127760" cy="1127760"/>
            <wp:effectExtent l="0" t="0" r="15240" b="15240"/>
            <wp:docPr id="7" name="图片 4" descr="834ceb0846152325ca8fc09d5ce21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834ceb0846152325ca8fc09d5ce21f3"/>
                    <pic:cNvPicPr>
                      <a:picLocks noChangeAspect="1"/>
                    </pic:cNvPicPr>
                  </pic:nvPicPr>
                  <pic:blipFill>
                    <a:blip r:embed="rId16" cstate="print"/>
                    <a:stretch>
                      <a:fillRect/>
                    </a:stretch>
                  </pic:blipFill>
                  <pic:spPr>
                    <a:xfrm>
                      <a:off x="0" y="0"/>
                      <a:ext cx="1127760" cy="1127760"/>
                    </a:xfrm>
                    <a:prstGeom prst="rect">
                      <a:avLst/>
                    </a:prstGeom>
                    <a:noFill/>
                    <a:ln>
                      <a:noFill/>
                    </a:ln>
                  </pic:spPr>
                </pic:pic>
              </a:graphicData>
            </a:graphic>
          </wp:inline>
        </w:drawing>
      </w:r>
    </w:p>
    <w:p>
      <w:pPr>
        <w:ind w:firstLine="420"/>
        <w:rPr>
          <w:color w:val="auto"/>
          <w:sz w:val="21"/>
          <w:highlight w:val="none"/>
        </w:rPr>
      </w:pPr>
    </w:p>
    <w:p>
      <w:pPr>
        <w:adjustRightInd w:val="0"/>
        <w:snapToGrid w:val="0"/>
        <w:spacing w:line="240" w:lineRule="auto"/>
        <w:ind w:firstLine="0" w:firstLineChars="0"/>
        <w:jc w:val="center"/>
        <w:rPr>
          <w:rFonts w:ascii="宋体" w:hAnsi="宋体"/>
          <w:bCs/>
          <w:color w:val="auto"/>
          <w:sz w:val="72"/>
          <w:szCs w:val="72"/>
          <w:highlight w:val="none"/>
        </w:rPr>
      </w:pPr>
      <w:r>
        <w:rPr>
          <w:rFonts w:hint="eastAsia" w:ascii="宋体" w:hAnsi="宋体"/>
          <w:bCs/>
          <w:color w:val="auto"/>
          <w:sz w:val="72"/>
          <w:szCs w:val="72"/>
          <w:highlight w:val="none"/>
        </w:rPr>
        <w:t>建设项目环境影响报告表</w:t>
      </w:r>
    </w:p>
    <w:p>
      <w:pPr>
        <w:adjustRightInd w:val="0"/>
        <w:snapToGrid w:val="0"/>
        <w:spacing w:beforeLines="80" w:line="240" w:lineRule="auto"/>
        <w:ind w:firstLine="0" w:firstLineChars="0"/>
        <w:jc w:val="center"/>
        <w:rPr>
          <w:rFonts w:ascii="宋体" w:hAnsi="宋体"/>
          <w:bCs/>
          <w:color w:val="auto"/>
          <w:sz w:val="48"/>
          <w:szCs w:val="48"/>
          <w:highlight w:val="none"/>
        </w:rPr>
      </w:pPr>
      <w:r>
        <w:rPr>
          <w:rFonts w:hint="eastAsia" w:ascii="宋体" w:hAnsi="宋体"/>
          <w:bCs/>
          <w:color w:val="auto"/>
          <w:sz w:val="48"/>
          <w:szCs w:val="48"/>
          <w:highlight w:val="none"/>
        </w:rPr>
        <w:t>（污染影响类）</w:t>
      </w:r>
    </w:p>
    <w:p>
      <w:pPr>
        <w:adjustRightInd w:val="0"/>
        <w:snapToGrid w:val="0"/>
        <w:spacing w:beforeLines="80" w:line="240" w:lineRule="auto"/>
        <w:ind w:firstLine="0" w:firstLineChars="0"/>
        <w:jc w:val="center"/>
        <w:rPr>
          <w:rFonts w:ascii="楷体_GB2312" w:eastAsia="楷体_GB2312"/>
          <w:bCs/>
          <w:color w:val="auto"/>
          <w:sz w:val="48"/>
          <w:szCs w:val="48"/>
          <w:highlight w:val="none"/>
        </w:rPr>
      </w:pPr>
    </w:p>
    <w:p>
      <w:pPr>
        <w:ind w:firstLine="1040"/>
        <w:jc w:val="center"/>
        <w:rPr>
          <w:rFonts w:eastAsia="仿宋"/>
          <w:color w:val="auto"/>
          <w:sz w:val="52"/>
          <w:szCs w:val="52"/>
          <w:highlight w:val="none"/>
        </w:rPr>
      </w:pPr>
    </w:p>
    <w:p>
      <w:pPr>
        <w:ind w:firstLine="880"/>
        <w:rPr>
          <w:rFonts w:eastAsia="仿宋"/>
          <w:color w:val="auto"/>
          <w:sz w:val="44"/>
          <w:szCs w:val="44"/>
          <w:highlight w:val="none"/>
        </w:rPr>
      </w:pPr>
    </w:p>
    <w:p>
      <w:pPr>
        <w:ind w:firstLine="880"/>
        <w:rPr>
          <w:rFonts w:eastAsia="仿宋"/>
          <w:color w:val="auto"/>
          <w:sz w:val="44"/>
          <w:szCs w:val="44"/>
          <w:highlight w:val="none"/>
        </w:rPr>
      </w:pPr>
    </w:p>
    <w:tbl>
      <w:tblPr>
        <w:tblStyle w:val="30"/>
        <w:tblW w:w="9100" w:type="dxa"/>
        <w:tblInd w:w="0" w:type="dxa"/>
        <w:tblLayout w:type="fixed"/>
        <w:tblCellMar>
          <w:top w:w="0" w:type="dxa"/>
          <w:left w:w="108" w:type="dxa"/>
          <w:bottom w:w="0" w:type="dxa"/>
          <w:right w:w="108" w:type="dxa"/>
        </w:tblCellMar>
      </w:tblPr>
      <w:tblGrid>
        <w:gridCol w:w="2943"/>
        <w:gridCol w:w="6157"/>
      </w:tblGrid>
      <w:tr>
        <w:tblPrEx>
          <w:tblCellMar>
            <w:top w:w="0" w:type="dxa"/>
            <w:left w:w="108" w:type="dxa"/>
            <w:bottom w:w="0" w:type="dxa"/>
            <w:right w:w="108" w:type="dxa"/>
          </w:tblCellMar>
        </w:tblPrEx>
        <w:trPr>
          <w:trHeight w:val="628" w:hRule="atLeast"/>
        </w:trPr>
        <w:tc>
          <w:tcPr>
            <w:tcW w:w="2943" w:type="dxa"/>
            <w:vAlign w:val="center"/>
          </w:tcPr>
          <w:p>
            <w:pPr>
              <w:spacing w:line="240" w:lineRule="auto"/>
              <w:ind w:firstLine="0" w:firstLineChars="0"/>
              <w:jc w:val="distribute"/>
              <w:rPr>
                <w:rFonts w:hAnsi="宋体"/>
                <w:bCs/>
                <w:color w:val="auto"/>
                <w:spacing w:val="20"/>
                <w:sz w:val="32"/>
                <w:szCs w:val="32"/>
                <w:highlight w:val="none"/>
              </w:rPr>
            </w:pPr>
            <w:r>
              <w:rPr>
                <w:rFonts w:hAnsi="宋体"/>
                <w:bCs/>
                <w:color w:val="auto"/>
                <w:spacing w:val="20"/>
                <w:sz w:val="32"/>
                <w:szCs w:val="32"/>
                <w:highlight w:val="none"/>
              </w:rPr>
              <w:t>项目名称</w:t>
            </w:r>
            <w:r>
              <w:rPr>
                <w:rFonts w:hint="eastAsia" w:hAnsi="宋体"/>
                <w:bCs/>
                <w:color w:val="auto"/>
                <w:spacing w:val="20"/>
                <w:sz w:val="32"/>
                <w:szCs w:val="32"/>
                <w:highlight w:val="none"/>
              </w:rPr>
              <w:t>：</w:t>
            </w:r>
          </w:p>
        </w:tc>
        <w:tc>
          <w:tcPr>
            <w:tcW w:w="6157" w:type="dxa"/>
            <w:vAlign w:val="center"/>
          </w:tcPr>
          <w:p>
            <w:pPr>
              <w:spacing w:line="240" w:lineRule="auto"/>
              <w:ind w:firstLine="0" w:firstLineChars="0"/>
              <w:jc w:val="distribute"/>
              <w:rPr>
                <w:rFonts w:hAnsi="宋体"/>
                <w:bCs/>
                <w:color w:val="auto"/>
                <w:spacing w:val="20"/>
                <w:sz w:val="32"/>
                <w:szCs w:val="32"/>
                <w:highlight w:val="none"/>
                <w:u w:val="single"/>
              </w:rPr>
            </w:pPr>
            <w:r>
              <w:rPr>
                <w:rFonts w:hAnsi="宋体"/>
                <w:bCs/>
                <w:color w:val="auto"/>
                <w:spacing w:val="20"/>
                <w:sz w:val="32"/>
                <w:szCs w:val="32"/>
                <w:highlight w:val="none"/>
                <w:u w:val="single"/>
              </w:rPr>
              <w:t>年产5万吨建筑特种砂浆建设项目</w:t>
            </w:r>
          </w:p>
        </w:tc>
      </w:tr>
      <w:tr>
        <w:tblPrEx>
          <w:tblCellMar>
            <w:top w:w="0" w:type="dxa"/>
            <w:left w:w="108" w:type="dxa"/>
            <w:bottom w:w="0" w:type="dxa"/>
            <w:right w:w="108" w:type="dxa"/>
          </w:tblCellMar>
        </w:tblPrEx>
        <w:trPr>
          <w:trHeight w:val="628" w:hRule="atLeast"/>
        </w:trPr>
        <w:tc>
          <w:tcPr>
            <w:tcW w:w="2943" w:type="dxa"/>
          </w:tcPr>
          <w:p>
            <w:pPr>
              <w:spacing w:line="240" w:lineRule="auto"/>
              <w:ind w:firstLine="0" w:firstLineChars="0"/>
              <w:jc w:val="distribute"/>
              <w:rPr>
                <w:rFonts w:hAnsi="宋体"/>
                <w:bCs/>
                <w:color w:val="auto"/>
                <w:spacing w:val="20"/>
                <w:sz w:val="32"/>
                <w:szCs w:val="32"/>
                <w:highlight w:val="none"/>
              </w:rPr>
            </w:pPr>
            <w:r>
              <w:rPr>
                <w:rFonts w:hAnsi="宋体"/>
                <w:bCs/>
                <w:color w:val="auto"/>
                <w:spacing w:val="20"/>
                <w:sz w:val="32"/>
                <w:szCs w:val="32"/>
                <w:highlight w:val="none"/>
              </w:rPr>
              <w:t>建设单位</w:t>
            </w:r>
            <w:r>
              <w:rPr>
                <w:rFonts w:hint="eastAsia" w:hAnsi="宋体"/>
                <w:bCs/>
                <w:color w:val="auto"/>
                <w:spacing w:val="20"/>
                <w:sz w:val="32"/>
                <w:szCs w:val="32"/>
                <w:highlight w:val="none"/>
              </w:rPr>
              <w:t>（盖章）：</w:t>
            </w:r>
          </w:p>
        </w:tc>
        <w:tc>
          <w:tcPr>
            <w:tcW w:w="6157" w:type="dxa"/>
          </w:tcPr>
          <w:p>
            <w:pPr>
              <w:spacing w:line="240" w:lineRule="auto"/>
              <w:ind w:firstLine="0" w:firstLineChars="0"/>
              <w:jc w:val="distribute"/>
              <w:rPr>
                <w:rFonts w:hAnsi="宋体"/>
                <w:bCs/>
                <w:color w:val="auto"/>
                <w:spacing w:val="20"/>
                <w:sz w:val="32"/>
                <w:szCs w:val="32"/>
                <w:highlight w:val="none"/>
                <w:u w:val="single"/>
              </w:rPr>
            </w:pPr>
            <w:r>
              <w:rPr>
                <w:rFonts w:hint="eastAsia" w:hAnsi="宋体"/>
                <w:bCs/>
                <w:color w:val="auto"/>
                <w:spacing w:val="20"/>
                <w:sz w:val="32"/>
                <w:szCs w:val="32"/>
                <w:highlight w:val="none"/>
                <w:u w:val="single"/>
              </w:rPr>
              <w:t>浙江安捷森建材科技有限公司</w:t>
            </w:r>
          </w:p>
        </w:tc>
      </w:tr>
      <w:tr>
        <w:trPr>
          <w:trHeight w:val="628" w:hRule="atLeast"/>
        </w:trPr>
        <w:tc>
          <w:tcPr>
            <w:tcW w:w="2943" w:type="dxa"/>
          </w:tcPr>
          <w:p>
            <w:pPr>
              <w:spacing w:line="240" w:lineRule="auto"/>
              <w:ind w:firstLine="0" w:firstLineChars="0"/>
              <w:jc w:val="distribute"/>
              <w:rPr>
                <w:rFonts w:hAnsi="宋体"/>
                <w:bCs/>
                <w:color w:val="auto"/>
                <w:spacing w:val="20"/>
                <w:sz w:val="32"/>
                <w:szCs w:val="32"/>
                <w:highlight w:val="none"/>
              </w:rPr>
            </w:pPr>
            <w:r>
              <w:rPr>
                <w:rFonts w:hint="eastAsia" w:hAnsi="宋体"/>
                <w:bCs/>
                <w:color w:val="auto"/>
                <w:spacing w:val="20"/>
                <w:sz w:val="32"/>
                <w:szCs w:val="32"/>
                <w:highlight w:val="none"/>
              </w:rPr>
              <w:t>编制日期：</w:t>
            </w:r>
          </w:p>
        </w:tc>
        <w:tc>
          <w:tcPr>
            <w:tcW w:w="6157" w:type="dxa"/>
          </w:tcPr>
          <w:p>
            <w:pPr>
              <w:spacing w:line="240" w:lineRule="auto"/>
              <w:ind w:firstLine="0" w:firstLineChars="0"/>
              <w:jc w:val="distribute"/>
              <w:rPr>
                <w:rFonts w:hAnsi="宋体"/>
                <w:bCs/>
                <w:color w:val="auto"/>
                <w:spacing w:val="20"/>
                <w:sz w:val="32"/>
                <w:szCs w:val="32"/>
                <w:highlight w:val="none"/>
                <w:u w:val="single"/>
              </w:rPr>
            </w:pPr>
            <w:r>
              <w:rPr>
                <w:rFonts w:hint="eastAsia" w:hAnsi="宋体"/>
                <w:bCs/>
                <w:color w:val="auto"/>
                <w:spacing w:val="20"/>
                <w:sz w:val="32"/>
                <w:szCs w:val="32"/>
                <w:highlight w:val="none"/>
                <w:u w:val="single"/>
              </w:rPr>
              <w:t>二〇二一年</w:t>
            </w:r>
            <w:r>
              <w:rPr>
                <w:rFonts w:hint="eastAsia" w:hAnsi="宋体"/>
                <w:bCs/>
                <w:color w:val="auto"/>
                <w:spacing w:val="20"/>
                <w:sz w:val="32"/>
                <w:szCs w:val="32"/>
                <w:highlight w:val="none"/>
                <w:u w:val="single"/>
                <w:lang w:val="en-US" w:eastAsia="zh-CN"/>
              </w:rPr>
              <w:t>八</w:t>
            </w:r>
            <w:r>
              <w:rPr>
                <w:rFonts w:hint="eastAsia" w:hAnsi="宋体"/>
                <w:bCs/>
                <w:color w:val="auto"/>
                <w:spacing w:val="20"/>
                <w:sz w:val="32"/>
                <w:szCs w:val="32"/>
                <w:highlight w:val="none"/>
                <w:u w:val="single"/>
              </w:rPr>
              <w:t>月</w:t>
            </w:r>
          </w:p>
        </w:tc>
      </w:tr>
    </w:tbl>
    <w:p>
      <w:pPr>
        <w:ind w:firstLine="880"/>
        <w:rPr>
          <w:rFonts w:eastAsia="仿宋"/>
          <w:color w:val="auto"/>
          <w:sz w:val="44"/>
          <w:szCs w:val="44"/>
          <w:highlight w:val="none"/>
        </w:rPr>
      </w:pPr>
    </w:p>
    <w:p>
      <w:pPr>
        <w:pStyle w:val="37"/>
        <w:rPr>
          <w:rFonts w:hint="default"/>
          <w:color w:val="auto"/>
          <w:highlight w:val="none"/>
        </w:rPr>
      </w:pPr>
    </w:p>
    <w:p>
      <w:pPr>
        <w:pStyle w:val="41"/>
        <w:spacing w:line="360" w:lineRule="auto"/>
        <w:ind w:firstLineChars="0"/>
        <w:jc w:val="center"/>
        <w:outlineLvl w:val="9"/>
        <w:rPr>
          <w:rFonts w:hAnsi="Times New Roman"/>
          <w:color w:val="auto"/>
          <w:highlight w:val="none"/>
        </w:rPr>
      </w:pPr>
    </w:p>
    <w:p>
      <w:pPr>
        <w:pStyle w:val="41"/>
        <w:spacing w:line="360" w:lineRule="auto"/>
        <w:ind w:firstLineChars="0"/>
        <w:jc w:val="center"/>
        <w:outlineLvl w:val="9"/>
        <w:rPr>
          <w:rFonts w:hAnsi="Times New Roman"/>
          <w:color w:val="auto"/>
          <w:highlight w:val="none"/>
        </w:rPr>
      </w:pPr>
    </w:p>
    <w:p>
      <w:pPr>
        <w:pStyle w:val="41"/>
        <w:spacing w:line="360" w:lineRule="auto"/>
        <w:ind w:firstLineChars="0"/>
        <w:jc w:val="center"/>
        <w:outlineLvl w:val="9"/>
        <w:rPr>
          <w:rFonts w:hAnsi="Times New Roman"/>
          <w:color w:val="auto"/>
          <w:highlight w:val="none"/>
        </w:rPr>
      </w:pPr>
    </w:p>
    <w:p>
      <w:pPr>
        <w:pStyle w:val="41"/>
        <w:spacing w:line="360" w:lineRule="auto"/>
        <w:ind w:firstLineChars="0"/>
        <w:jc w:val="center"/>
        <w:outlineLvl w:val="9"/>
        <w:rPr>
          <w:rFonts w:hAnsi="Times New Roman"/>
          <w:color w:val="auto"/>
          <w:highlight w:val="none"/>
        </w:rPr>
      </w:pPr>
    </w:p>
    <w:p>
      <w:pPr>
        <w:pStyle w:val="41"/>
        <w:spacing w:line="360" w:lineRule="auto"/>
        <w:ind w:firstLineChars="0"/>
        <w:jc w:val="center"/>
        <w:outlineLvl w:val="9"/>
        <w:rPr>
          <w:rFonts w:hAnsi="Times New Roman"/>
          <w:color w:val="auto"/>
          <w:highlight w:val="none"/>
        </w:rPr>
      </w:pPr>
    </w:p>
    <w:p>
      <w:pPr>
        <w:pStyle w:val="41"/>
        <w:spacing w:line="360" w:lineRule="auto"/>
        <w:ind w:firstLineChars="0"/>
        <w:jc w:val="center"/>
        <w:outlineLvl w:val="9"/>
        <w:rPr>
          <w:rFonts w:ascii="宋体"/>
          <w:b w:val="0"/>
          <w:color w:val="auto"/>
          <w:sz w:val="36"/>
          <w:szCs w:val="36"/>
          <w:highlight w:val="none"/>
        </w:rPr>
      </w:pPr>
    </w:p>
    <w:p>
      <w:pPr>
        <w:widowControl/>
        <w:spacing w:line="240" w:lineRule="auto"/>
        <w:ind w:firstLine="0" w:firstLineChars="0"/>
        <w:jc w:val="center"/>
        <w:rPr>
          <w:rFonts w:ascii="宋体" w:hAnsi="宋体"/>
          <w:color w:val="auto"/>
          <w:sz w:val="36"/>
          <w:szCs w:val="36"/>
          <w:highlight w:val="none"/>
        </w:rPr>
      </w:pPr>
      <w:r>
        <w:rPr>
          <w:rFonts w:hint="eastAsia" w:ascii="宋体" w:hAnsi="宋体"/>
          <w:color w:val="auto"/>
          <w:sz w:val="36"/>
          <w:szCs w:val="36"/>
          <w:highlight w:val="none"/>
        </w:rPr>
        <w:t>中华人民共和国生态环境部制</w:t>
      </w:r>
    </w:p>
    <w:p>
      <w:pPr>
        <w:ind w:firstLine="720"/>
        <w:rPr>
          <w:rFonts w:ascii="楷体_GB2312" w:eastAsia="楷体_GB2312"/>
          <w:color w:val="auto"/>
          <w:sz w:val="36"/>
          <w:szCs w:val="36"/>
          <w:highlight w:val="none"/>
        </w:rPr>
        <w:sectPr>
          <w:headerReference r:id="rId6" w:type="first"/>
          <w:footerReference r:id="rId9" w:type="first"/>
          <w:footerReference r:id="rId7" w:type="default"/>
          <w:headerReference r:id="rId5" w:type="even"/>
          <w:footerReference r:id="rId8" w:type="even"/>
          <w:pgSz w:w="11850" w:h="16781"/>
          <w:pgMar w:top="1418" w:right="1418" w:bottom="1418" w:left="1701" w:header="992" w:footer="992" w:gutter="0"/>
          <w:pgNumType w:fmt="upperRoman" w:start="1"/>
          <w:cols w:space="720" w:num="1"/>
          <w:docGrid w:linePitch="312" w:charSpace="0"/>
        </w:sectPr>
      </w:pPr>
    </w:p>
    <w:p>
      <w:pPr>
        <w:ind w:firstLine="482"/>
        <w:outlineLvl w:val="9"/>
        <w:rPr>
          <w:color w:val="auto"/>
          <w:highlight w:val="none"/>
        </w:rPr>
      </w:pPr>
    </w:p>
    <w:p>
      <w:pPr>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jc w:val="center"/>
        <w:rPr>
          <w:rFonts w:hAnsi="宋体"/>
          <w:b/>
          <w:bCs/>
          <w:color w:val="auto"/>
          <w:sz w:val="28"/>
          <w:szCs w:val="28"/>
          <w:highlight w:val="none"/>
        </w:rPr>
        <w:sectPr>
          <w:footerReference r:id="rId10" w:type="default"/>
          <w:pgSz w:w="11850" w:h="16781"/>
          <w:pgMar w:top="1418" w:right="1418" w:bottom="1418" w:left="1701" w:header="992" w:footer="992" w:gutter="0"/>
          <w:pgNumType w:fmt="upperRoman" w:start="1"/>
          <w:cols w:space="720" w:num="1"/>
          <w:docGrid w:linePitch="312" w:charSpace="0"/>
        </w:sectPr>
      </w:pPr>
    </w:p>
    <w:p>
      <w:pPr>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jc w:val="center"/>
        <w:rPr>
          <w:rFonts w:hAnsi="宋体"/>
          <w:b/>
          <w:bCs/>
          <w:color w:val="auto"/>
          <w:sz w:val="28"/>
          <w:szCs w:val="28"/>
          <w:highlight w:val="none"/>
        </w:rPr>
      </w:pPr>
      <w:r>
        <w:rPr>
          <w:rFonts w:hAnsi="宋体"/>
          <w:b/>
          <w:bCs/>
          <w:color w:val="auto"/>
          <w:sz w:val="28"/>
          <w:szCs w:val="28"/>
          <w:highlight w:val="none"/>
        </w:rPr>
        <w:t>目</w:t>
      </w:r>
      <w:r>
        <w:rPr>
          <w:rFonts w:hint="eastAsia" w:hAnsi="宋体"/>
          <w:b/>
          <w:bCs/>
          <w:color w:val="auto"/>
          <w:sz w:val="28"/>
          <w:szCs w:val="28"/>
          <w:highlight w:val="none"/>
        </w:rPr>
        <w:t xml:space="preserve"> </w:t>
      </w:r>
      <w:r>
        <w:rPr>
          <w:rFonts w:hAnsi="宋体"/>
          <w:b/>
          <w:bCs/>
          <w:color w:val="auto"/>
          <w:sz w:val="28"/>
          <w:szCs w:val="28"/>
          <w:highlight w:val="none"/>
        </w:rPr>
        <w:t>录</w:t>
      </w:r>
    </w:p>
    <w:p>
      <w:pPr>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jc w:val="center"/>
        <w:rPr>
          <w:color w:val="auto"/>
          <w:sz w:val="21"/>
          <w:szCs w:val="21"/>
          <w:highlight w:val="none"/>
        </w:rPr>
      </w:pPr>
      <w:r>
        <w:rPr>
          <w:color w:val="auto"/>
          <w:sz w:val="21"/>
          <w:szCs w:val="21"/>
          <w:highlight w:val="none"/>
        </w:rPr>
        <w:fldChar w:fldCharType="begin"/>
      </w:r>
      <w:r>
        <w:rPr>
          <w:color w:val="auto"/>
          <w:sz w:val="21"/>
          <w:szCs w:val="21"/>
          <w:highlight w:val="none"/>
        </w:rPr>
        <w:instrText xml:space="preserve">TOC \o "1-1" \h \u </w:instrText>
      </w:r>
      <w:r>
        <w:rPr>
          <w:color w:val="auto"/>
          <w:sz w:val="21"/>
          <w:szCs w:val="21"/>
          <w:highlight w:val="none"/>
        </w:rPr>
        <w:fldChar w:fldCharType="separate"/>
      </w:r>
    </w:p>
    <w:p>
      <w:pPr>
        <w:pStyle w:val="20"/>
        <w:tabs>
          <w:tab w:val="right" w:leader="dot" w:pos="8731"/>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"_Toc18673" </w:instrText>
      </w:r>
      <w:r>
        <w:rPr>
          <w:color w:val="auto"/>
          <w:highlight w:val="none"/>
        </w:rPr>
        <w:fldChar w:fldCharType="separate"/>
      </w:r>
      <w:r>
        <w:rPr>
          <w:rFonts w:hint="eastAsia" w:hAnsi="宋体"/>
          <w:color w:val="auto"/>
          <w:sz w:val="21"/>
          <w:szCs w:val="21"/>
          <w:highlight w:val="none"/>
        </w:rPr>
        <w:t>一、</w:t>
      </w:r>
      <w:r>
        <w:rPr>
          <w:rFonts w:hAnsi="宋体"/>
          <w:color w:val="auto"/>
          <w:sz w:val="21"/>
          <w:szCs w:val="21"/>
          <w:highlight w:val="none"/>
        </w:rPr>
        <w:t>建设项目基本状况</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_Toc18673 \h </w:instrText>
      </w:r>
      <w:r>
        <w:rPr>
          <w:color w:val="auto"/>
          <w:sz w:val="21"/>
          <w:szCs w:val="21"/>
          <w:highlight w:val="none"/>
        </w:rPr>
        <w:fldChar w:fldCharType="separate"/>
      </w:r>
      <w:r>
        <w:rPr>
          <w:color w:val="auto"/>
          <w:sz w:val="21"/>
          <w:szCs w:val="21"/>
          <w:highlight w:val="none"/>
        </w:rPr>
        <w:t>1</w:t>
      </w:r>
      <w:r>
        <w:rPr>
          <w:color w:val="auto"/>
          <w:sz w:val="21"/>
          <w:szCs w:val="21"/>
          <w:highlight w:val="none"/>
        </w:rPr>
        <w:fldChar w:fldCharType="end"/>
      </w:r>
      <w:r>
        <w:rPr>
          <w:color w:val="auto"/>
          <w:sz w:val="21"/>
          <w:szCs w:val="21"/>
          <w:highlight w:val="none"/>
        </w:rPr>
        <w:fldChar w:fldCharType="end"/>
      </w:r>
    </w:p>
    <w:p>
      <w:pPr>
        <w:pStyle w:val="20"/>
        <w:tabs>
          <w:tab w:val="right" w:leader="dot" w:pos="8731"/>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"_Toc22961" </w:instrText>
      </w:r>
      <w:r>
        <w:rPr>
          <w:color w:val="auto"/>
          <w:highlight w:val="none"/>
        </w:rPr>
        <w:fldChar w:fldCharType="separate"/>
      </w:r>
      <w:r>
        <w:rPr>
          <w:rFonts w:hint="eastAsia" w:hAnsi="宋体"/>
          <w:color w:val="auto"/>
          <w:sz w:val="21"/>
          <w:szCs w:val="21"/>
          <w:highlight w:val="none"/>
        </w:rPr>
        <w:t>二、建设项目工程分析</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_Toc22961 \h </w:instrText>
      </w:r>
      <w:r>
        <w:rPr>
          <w:color w:val="auto"/>
          <w:sz w:val="21"/>
          <w:szCs w:val="21"/>
          <w:highlight w:val="none"/>
        </w:rPr>
        <w:fldChar w:fldCharType="separate"/>
      </w:r>
      <w:r>
        <w:rPr>
          <w:color w:val="auto"/>
          <w:sz w:val="21"/>
          <w:szCs w:val="21"/>
          <w:highlight w:val="none"/>
        </w:rPr>
        <w:t>14</w:t>
      </w:r>
      <w:r>
        <w:rPr>
          <w:color w:val="auto"/>
          <w:sz w:val="21"/>
          <w:szCs w:val="21"/>
          <w:highlight w:val="none"/>
        </w:rPr>
        <w:fldChar w:fldCharType="end"/>
      </w:r>
      <w:r>
        <w:rPr>
          <w:color w:val="auto"/>
          <w:sz w:val="21"/>
          <w:szCs w:val="21"/>
          <w:highlight w:val="none"/>
        </w:rPr>
        <w:fldChar w:fldCharType="end"/>
      </w:r>
    </w:p>
    <w:p>
      <w:pPr>
        <w:pStyle w:val="20"/>
        <w:tabs>
          <w:tab w:val="right" w:leader="dot" w:pos="8731"/>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"_Toc10379" </w:instrText>
      </w:r>
      <w:r>
        <w:rPr>
          <w:color w:val="auto"/>
          <w:highlight w:val="none"/>
        </w:rPr>
        <w:fldChar w:fldCharType="separate"/>
      </w:r>
      <w:r>
        <w:rPr>
          <w:rFonts w:hint="eastAsia" w:hAnsi="宋体"/>
          <w:color w:val="auto"/>
          <w:sz w:val="21"/>
          <w:szCs w:val="21"/>
          <w:highlight w:val="none"/>
        </w:rPr>
        <w:t>三、区域环境质量现状、环境保护目标及评价标准</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_Toc10379 \h </w:instrText>
      </w:r>
      <w:r>
        <w:rPr>
          <w:color w:val="auto"/>
          <w:sz w:val="21"/>
          <w:szCs w:val="21"/>
          <w:highlight w:val="none"/>
        </w:rPr>
        <w:fldChar w:fldCharType="separate"/>
      </w:r>
      <w:r>
        <w:rPr>
          <w:color w:val="auto"/>
          <w:sz w:val="21"/>
          <w:szCs w:val="21"/>
          <w:highlight w:val="none"/>
        </w:rPr>
        <w:t>21</w:t>
      </w:r>
      <w:r>
        <w:rPr>
          <w:color w:val="auto"/>
          <w:sz w:val="21"/>
          <w:szCs w:val="21"/>
          <w:highlight w:val="none"/>
        </w:rPr>
        <w:fldChar w:fldCharType="end"/>
      </w:r>
      <w:r>
        <w:rPr>
          <w:color w:val="auto"/>
          <w:sz w:val="21"/>
          <w:szCs w:val="21"/>
          <w:highlight w:val="none"/>
        </w:rPr>
        <w:fldChar w:fldCharType="end"/>
      </w:r>
    </w:p>
    <w:p>
      <w:pPr>
        <w:pStyle w:val="20"/>
        <w:tabs>
          <w:tab w:val="right" w:leader="dot" w:pos="8731"/>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"_Toc21086" </w:instrText>
      </w:r>
      <w:r>
        <w:rPr>
          <w:color w:val="auto"/>
          <w:highlight w:val="none"/>
        </w:rPr>
        <w:fldChar w:fldCharType="separate"/>
      </w:r>
      <w:r>
        <w:rPr>
          <w:rFonts w:hint="eastAsia" w:hAnsi="宋体"/>
          <w:color w:val="auto"/>
          <w:sz w:val="21"/>
          <w:szCs w:val="21"/>
          <w:highlight w:val="none"/>
        </w:rPr>
        <w:t>四、主要环境影响和保护措施</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_Toc21086 \h </w:instrText>
      </w:r>
      <w:r>
        <w:rPr>
          <w:color w:val="auto"/>
          <w:sz w:val="21"/>
          <w:szCs w:val="21"/>
          <w:highlight w:val="none"/>
        </w:rPr>
        <w:fldChar w:fldCharType="separate"/>
      </w:r>
      <w:r>
        <w:rPr>
          <w:color w:val="auto"/>
          <w:sz w:val="21"/>
          <w:szCs w:val="21"/>
          <w:highlight w:val="none"/>
        </w:rPr>
        <w:t>21</w:t>
      </w:r>
      <w:r>
        <w:rPr>
          <w:color w:val="auto"/>
          <w:sz w:val="21"/>
          <w:szCs w:val="21"/>
          <w:highlight w:val="none"/>
        </w:rPr>
        <w:fldChar w:fldCharType="end"/>
      </w:r>
      <w:r>
        <w:rPr>
          <w:color w:val="auto"/>
          <w:sz w:val="21"/>
          <w:szCs w:val="21"/>
          <w:highlight w:val="none"/>
        </w:rPr>
        <w:fldChar w:fldCharType="end"/>
      </w:r>
    </w:p>
    <w:p>
      <w:pPr>
        <w:pStyle w:val="20"/>
        <w:tabs>
          <w:tab w:val="right" w:leader="dot" w:pos="8731"/>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"_Toc17774" </w:instrText>
      </w:r>
      <w:r>
        <w:rPr>
          <w:color w:val="auto"/>
          <w:highlight w:val="none"/>
        </w:rPr>
        <w:fldChar w:fldCharType="separate"/>
      </w:r>
      <w:r>
        <w:rPr>
          <w:rFonts w:hint="eastAsia" w:hAnsi="宋体"/>
          <w:color w:val="auto"/>
          <w:sz w:val="21"/>
          <w:szCs w:val="21"/>
          <w:highlight w:val="none"/>
        </w:rPr>
        <w:t>五、环境保护措施监督检查清单</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_Toc17774 \h </w:instrText>
      </w:r>
      <w:r>
        <w:rPr>
          <w:color w:val="auto"/>
          <w:sz w:val="21"/>
          <w:szCs w:val="21"/>
          <w:highlight w:val="none"/>
        </w:rPr>
        <w:fldChar w:fldCharType="separate"/>
      </w:r>
      <w:r>
        <w:rPr>
          <w:color w:val="auto"/>
          <w:sz w:val="21"/>
          <w:szCs w:val="21"/>
          <w:highlight w:val="none"/>
        </w:rPr>
        <w:t>49</w:t>
      </w:r>
      <w:r>
        <w:rPr>
          <w:color w:val="auto"/>
          <w:sz w:val="21"/>
          <w:szCs w:val="21"/>
          <w:highlight w:val="none"/>
        </w:rPr>
        <w:fldChar w:fldCharType="end"/>
      </w:r>
      <w:r>
        <w:rPr>
          <w:color w:val="auto"/>
          <w:sz w:val="21"/>
          <w:szCs w:val="21"/>
          <w:highlight w:val="none"/>
        </w:rPr>
        <w:fldChar w:fldCharType="end"/>
      </w:r>
    </w:p>
    <w:p>
      <w:pPr>
        <w:pStyle w:val="20"/>
        <w:tabs>
          <w:tab w:val="right" w:leader="dot" w:pos="8731"/>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"_Toc1653" </w:instrText>
      </w:r>
      <w:r>
        <w:rPr>
          <w:color w:val="auto"/>
          <w:highlight w:val="none"/>
        </w:rPr>
        <w:fldChar w:fldCharType="separate"/>
      </w:r>
      <w:r>
        <w:rPr>
          <w:rFonts w:hint="eastAsia" w:hAnsi="宋体"/>
          <w:color w:val="auto"/>
          <w:sz w:val="21"/>
          <w:szCs w:val="21"/>
          <w:highlight w:val="none"/>
        </w:rPr>
        <w:t>六、结论</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_Toc1653 \h </w:instrText>
      </w:r>
      <w:r>
        <w:rPr>
          <w:color w:val="auto"/>
          <w:sz w:val="21"/>
          <w:szCs w:val="21"/>
          <w:highlight w:val="none"/>
        </w:rPr>
        <w:fldChar w:fldCharType="separate"/>
      </w:r>
      <w:r>
        <w:rPr>
          <w:color w:val="auto"/>
          <w:sz w:val="21"/>
          <w:szCs w:val="21"/>
          <w:highlight w:val="none"/>
        </w:rPr>
        <w:t>54</w:t>
      </w:r>
      <w:r>
        <w:rPr>
          <w:color w:val="auto"/>
          <w:sz w:val="21"/>
          <w:szCs w:val="21"/>
          <w:highlight w:val="none"/>
        </w:rPr>
        <w:fldChar w:fldCharType="end"/>
      </w:r>
      <w:r>
        <w:rPr>
          <w:color w:val="auto"/>
          <w:sz w:val="21"/>
          <w:szCs w:val="21"/>
          <w:highlight w:val="none"/>
        </w:rPr>
        <w:fldChar w:fldCharType="end"/>
      </w:r>
    </w:p>
    <w:p>
      <w:pPr>
        <w:pStyle w:val="20"/>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rPr>
          <w:color w:val="auto"/>
          <w:sz w:val="21"/>
          <w:szCs w:val="21"/>
          <w:highlight w:val="none"/>
        </w:rPr>
      </w:pPr>
      <w:r>
        <w:rPr>
          <w:color w:val="auto"/>
          <w:sz w:val="21"/>
          <w:szCs w:val="21"/>
          <w:highlight w:val="none"/>
        </w:rPr>
        <w:fldChar w:fldCharType="end"/>
      </w:r>
    </w:p>
    <w:p>
      <w:pPr>
        <w:pStyle w:val="20"/>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rPr>
          <w:color w:val="auto"/>
          <w:sz w:val="21"/>
          <w:szCs w:val="21"/>
          <w:highlight w:val="none"/>
        </w:rPr>
      </w:pPr>
      <w:r>
        <w:rPr>
          <w:rFonts w:hAnsi="宋体"/>
          <w:bCs/>
          <w:color w:val="auto"/>
          <w:sz w:val="21"/>
          <w:szCs w:val="21"/>
          <w:highlight w:val="none"/>
        </w:rPr>
        <w:t>附图</w:t>
      </w:r>
    </w:p>
    <w:p>
      <w:pPr>
        <w:spacing w:line="460" w:lineRule="exact"/>
        <w:ind w:firstLine="0" w:firstLineChars="0"/>
        <w:jc w:val="left"/>
        <w:rPr>
          <w:bCs/>
          <w:color w:val="auto"/>
          <w:sz w:val="21"/>
          <w:szCs w:val="21"/>
          <w:highlight w:val="none"/>
        </w:rPr>
      </w:pPr>
      <w:r>
        <w:rPr>
          <w:bCs/>
          <w:color w:val="auto"/>
          <w:sz w:val="21"/>
          <w:szCs w:val="21"/>
          <w:highlight w:val="none"/>
        </w:rPr>
        <w:t xml:space="preserve">附图1 </w:t>
      </w:r>
      <w:r>
        <w:rPr>
          <w:rFonts w:hint="eastAsia"/>
          <w:color w:val="auto"/>
          <w:sz w:val="21"/>
          <w:szCs w:val="21"/>
          <w:highlight w:val="none"/>
        </w:rPr>
        <w:t>浙江安捷森建材科技有限公司</w:t>
      </w:r>
      <w:r>
        <w:rPr>
          <w:color w:val="auto"/>
          <w:sz w:val="21"/>
          <w:szCs w:val="21"/>
          <w:highlight w:val="none"/>
        </w:rPr>
        <w:t>年产5万吨建筑特种砂浆建设项目交通地理位置图</w:t>
      </w:r>
    </w:p>
    <w:p>
      <w:pPr>
        <w:spacing w:line="460" w:lineRule="exact"/>
        <w:ind w:firstLine="0" w:firstLineChars="0"/>
        <w:jc w:val="left"/>
        <w:rPr>
          <w:bCs/>
          <w:color w:val="auto"/>
          <w:sz w:val="21"/>
          <w:szCs w:val="21"/>
          <w:highlight w:val="none"/>
        </w:rPr>
      </w:pPr>
      <w:r>
        <w:rPr>
          <w:rFonts w:hint="eastAsia"/>
          <w:bCs/>
          <w:color w:val="auto"/>
          <w:sz w:val="21"/>
          <w:szCs w:val="21"/>
          <w:highlight w:val="none"/>
        </w:rPr>
        <w:t>附图2</w:t>
      </w:r>
      <w:r>
        <w:rPr>
          <w:rFonts w:hint="eastAsia"/>
          <w:color w:val="auto"/>
          <w:sz w:val="21"/>
          <w:szCs w:val="21"/>
          <w:highlight w:val="none"/>
        </w:rPr>
        <w:t>浙江安捷森建材科技有限公司</w:t>
      </w:r>
      <w:r>
        <w:rPr>
          <w:color w:val="auto"/>
          <w:sz w:val="21"/>
          <w:szCs w:val="21"/>
          <w:highlight w:val="none"/>
        </w:rPr>
        <w:t>年产5万吨建筑特种砂浆建设项目周围环境</w:t>
      </w:r>
      <w:r>
        <w:rPr>
          <w:rFonts w:hint="eastAsia"/>
          <w:color w:val="auto"/>
          <w:sz w:val="21"/>
          <w:szCs w:val="21"/>
          <w:highlight w:val="none"/>
        </w:rPr>
        <w:t>状况特征</w:t>
      </w:r>
      <w:r>
        <w:rPr>
          <w:color w:val="auto"/>
          <w:sz w:val="21"/>
          <w:szCs w:val="21"/>
          <w:highlight w:val="none"/>
        </w:rPr>
        <w:t>图</w:t>
      </w:r>
    </w:p>
    <w:p>
      <w:pPr>
        <w:spacing w:line="460" w:lineRule="exact"/>
        <w:ind w:firstLine="0" w:firstLineChars="0"/>
        <w:jc w:val="left"/>
        <w:rPr>
          <w:bCs/>
          <w:color w:val="auto"/>
          <w:sz w:val="21"/>
          <w:szCs w:val="21"/>
          <w:highlight w:val="none"/>
        </w:rPr>
      </w:pPr>
      <w:r>
        <w:rPr>
          <w:bCs/>
          <w:color w:val="auto"/>
          <w:sz w:val="21"/>
          <w:szCs w:val="21"/>
          <w:highlight w:val="none"/>
        </w:rPr>
        <w:t>附图</w:t>
      </w:r>
      <w:r>
        <w:rPr>
          <w:rFonts w:hint="eastAsia"/>
          <w:bCs/>
          <w:color w:val="auto"/>
          <w:sz w:val="21"/>
          <w:szCs w:val="21"/>
          <w:highlight w:val="none"/>
        </w:rPr>
        <w:t>3</w:t>
      </w:r>
      <w:r>
        <w:rPr>
          <w:rFonts w:hint="eastAsia"/>
          <w:color w:val="auto"/>
          <w:sz w:val="21"/>
          <w:szCs w:val="21"/>
          <w:highlight w:val="none"/>
        </w:rPr>
        <w:t>浙江安捷森建材科技有限公司</w:t>
      </w:r>
      <w:r>
        <w:rPr>
          <w:color w:val="auto"/>
          <w:sz w:val="21"/>
          <w:szCs w:val="21"/>
          <w:highlight w:val="none"/>
        </w:rPr>
        <w:t>年产5万吨建筑特种砂浆建设项目</w:t>
      </w:r>
      <w:r>
        <w:rPr>
          <w:rFonts w:hint="eastAsia"/>
          <w:color w:val="auto"/>
          <w:sz w:val="21"/>
          <w:szCs w:val="21"/>
          <w:highlight w:val="none"/>
        </w:rPr>
        <w:t>周边环境敏感点分布图</w:t>
      </w:r>
    </w:p>
    <w:p>
      <w:pPr>
        <w:spacing w:line="460" w:lineRule="exact"/>
        <w:ind w:firstLine="0" w:firstLineChars="0"/>
        <w:jc w:val="left"/>
        <w:rPr>
          <w:color w:val="auto"/>
          <w:sz w:val="21"/>
          <w:szCs w:val="21"/>
          <w:highlight w:val="none"/>
        </w:rPr>
      </w:pPr>
      <w:r>
        <w:rPr>
          <w:rFonts w:hint="eastAsia"/>
          <w:bCs/>
          <w:color w:val="auto"/>
          <w:sz w:val="21"/>
          <w:szCs w:val="21"/>
          <w:highlight w:val="none"/>
        </w:rPr>
        <w:t xml:space="preserve">附图4 </w:t>
      </w:r>
      <w:r>
        <w:rPr>
          <w:rFonts w:hint="eastAsia"/>
          <w:color w:val="auto"/>
          <w:sz w:val="21"/>
          <w:szCs w:val="21"/>
          <w:highlight w:val="none"/>
        </w:rPr>
        <w:t>浙江安捷森建材科技有限公司</w:t>
      </w:r>
      <w:r>
        <w:rPr>
          <w:color w:val="auto"/>
          <w:sz w:val="21"/>
          <w:szCs w:val="21"/>
          <w:highlight w:val="none"/>
        </w:rPr>
        <w:t>年产5万吨建筑特种砂浆建设项目厂区平面布置示意图</w:t>
      </w:r>
    </w:p>
    <w:p>
      <w:pPr>
        <w:spacing w:line="460" w:lineRule="exact"/>
        <w:ind w:firstLine="0" w:firstLineChars="0"/>
        <w:jc w:val="left"/>
        <w:rPr>
          <w:color w:val="auto"/>
          <w:sz w:val="21"/>
          <w:szCs w:val="21"/>
          <w:highlight w:val="none"/>
        </w:rPr>
      </w:pPr>
      <w:r>
        <w:rPr>
          <w:rFonts w:hint="eastAsia"/>
          <w:color w:val="auto"/>
          <w:sz w:val="21"/>
          <w:szCs w:val="21"/>
          <w:highlight w:val="none"/>
        </w:rPr>
        <w:t>附图5 浙江安捷森建材科技有限公司年产5万吨建筑特种砂浆建设项目监测点位示意图</w:t>
      </w:r>
    </w:p>
    <w:p>
      <w:pPr>
        <w:spacing w:line="460" w:lineRule="exact"/>
        <w:ind w:firstLine="0" w:firstLineChars="0"/>
        <w:jc w:val="left"/>
        <w:rPr>
          <w:bCs/>
          <w:color w:val="auto"/>
          <w:sz w:val="21"/>
          <w:szCs w:val="21"/>
          <w:highlight w:val="none"/>
        </w:rPr>
      </w:pPr>
      <w:r>
        <w:rPr>
          <w:rFonts w:hint="eastAsia"/>
          <w:bCs/>
          <w:color w:val="auto"/>
          <w:sz w:val="21"/>
          <w:szCs w:val="21"/>
          <w:highlight w:val="none"/>
        </w:rPr>
        <w:t>附图6 德清县环境管控单元分类图</w:t>
      </w:r>
    </w:p>
    <w:p>
      <w:pPr>
        <w:pBdr>
          <w:top w:val="none" w:color="auto" w:sz="0" w:space="1"/>
          <w:left w:val="none" w:color="auto" w:sz="0" w:space="4"/>
          <w:bottom w:val="none" w:color="auto" w:sz="0" w:space="1"/>
          <w:right w:val="none" w:color="auto" w:sz="0" w:space="4"/>
        </w:pBdr>
        <w:spacing w:line="460" w:lineRule="exact"/>
        <w:ind w:firstLine="0" w:firstLineChars="0"/>
        <w:jc w:val="left"/>
        <w:rPr>
          <w:rFonts w:hAnsi="宋体"/>
          <w:b/>
          <w:bCs/>
          <w:color w:val="auto"/>
          <w:sz w:val="21"/>
          <w:szCs w:val="21"/>
          <w:highlight w:val="none"/>
        </w:rPr>
      </w:pPr>
    </w:p>
    <w:p>
      <w:pPr>
        <w:pBdr>
          <w:top w:val="none" w:color="auto" w:sz="0" w:space="1"/>
          <w:left w:val="none" w:color="auto" w:sz="0" w:space="4"/>
          <w:bottom w:val="none" w:color="auto" w:sz="0" w:space="1"/>
          <w:right w:val="none" w:color="auto" w:sz="0" w:space="4"/>
        </w:pBdr>
        <w:spacing w:line="460" w:lineRule="exact"/>
        <w:ind w:firstLine="0" w:firstLineChars="0"/>
        <w:jc w:val="left"/>
        <w:rPr>
          <w:color w:val="auto"/>
          <w:sz w:val="21"/>
          <w:szCs w:val="21"/>
          <w:highlight w:val="none"/>
        </w:rPr>
      </w:pPr>
      <w:r>
        <w:rPr>
          <w:rFonts w:hAnsi="宋体"/>
          <w:bCs/>
          <w:color w:val="auto"/>
          <w:sz w:val="21"/>
          <w:szCs w:val="21"/>
          <w:highlight w:val="none"/>
        </w:rPr>
        <w:t>附件</w:t>
      </w:r>
    </w:p>
    <w:p>
      <w:pPr>
        <w:spacing w:line="460" w:lineRule="exact"/>
        <w:ind w:firstLine="0" w:firstLineChars="0"/>
        <w:jc w:val="left"/>
        <w:rPr>
          <w:bCs/>
          <w:color w:val="auto"/>
          <w:sz w:val="21"/>
          <w:szCs w:val="21"/>
          <w:highlight w:val="none"/>
        </w:rPr>
      </w:pPr>
      <w:r>
        <w:rPr>
          <w:bCs/>
          <w:color w:val="auto"/>
          <w:sz w:val="21"/>
          <w:szCs w:val="21"/>
          <w:highlight w:val="none"/>
        </w:rPr>
        <w:t>附件1 备案通知书</w:t>
      </w:r>
    </w:p>
    <w:p>
      <w:pPr>
        <w:spacing w:line="460" w:lineRule="exact"/>
        <w:ind w:firstLine="0" w:firstLineChars="0"/>
        <w:jc w:val="left"/>
        <w:rPr>
          <w:bCs/>
          <w:color w:val="auto"/>
          <w:sz w:val="21"/>
          <w:szCs w:val="21"/>
          <w:highlight w:val="none"/>
        </w:rPr>
      </w:pPr>
      <w:r>
        <w:rPr>
          <w:bCs/>
          <w:color w:val="auto"/>
          <w:sz w:val="21"/>
          <w:szCs w:val="21"/>
          <w:highlight w:val="none"/>
        </w:rPr>
        <w:t>附件</w:t>
      </w:r>
      <w:r>
        <w:rPr>
          <w:rFonts w:hint="eastAsia"/>
          <w:bCs/>
          <w:color w:val="auto"/>
          <w:sz w:val="21"/>
          <w:szCs w:val="21"/>
          <w:highlight w:val="none"/>
        </w:rPr>
        <w:t>2厂房租赁协议</w:t>
      </w:r>
    </w:p>
    <w:p>
      <w:pPr>
        <w:spacing w:line="460" w:lineRule="exact"/>
        <w:ind w:firstLine="0" w:firstLineChars="0"/>
        <w:jc w:val="left"/>
        <w:rPr>
          <w:bCs/>
          <w:color w:val="auto"/>
          <w:sz w:val="21"/>
          <w:szCs w:val="21"/>
          <w:highlight w:val="none"/>
        </w:rPr>
      </w:pPr>
      <w:r>
        <w:rPr>
          <w:bCs/>
          <w:color w:val="auto"/>
          <w:sz w:val="21"/>
          <w:szCs w:val="21"/>
          <w:highlight w:val="none"/>
        </w:rPr>
        <w:t>附件</w:t>
      </w:r>
      <w:r>
        <w:rPr>
          <w:rFonts w:hint="eastAsia"/>
          <w:bCs/>
          <w:color w:val="auto"/>
          <w:sz w:val="21"/>
          <w:szCs w:val="21"/>
          <w:highlight w:val="none"/>
        </w:rPr>
        <w:t>3</w:t>
      </w:r>
      <w:r>
        <w:rPr>
          <w:bCs/>
          <w:color w:val="auto"/>
          <w:sz w:val="21"/>
          <w:szCs w:val="21"/>
          <w:highlight w:val="none"/>
        </w:rPr>
        <w:t xml:space="preserve"> 企业申请报告</w:t>
      </w:r>
    </w:p>
    <w:p>
      <w:pPr>
        <w:spacing w:line="460" w:lineRule="exact"/>
        <w:ind w:firstLine="0" w:firstLineChars="0"/>
        <w:jc w:val="left"/>
        <w:rPr>
          <w:bCs/>
          <w:color w:val="auto"/>
          <w:sz w:val="21"/>
          <w:szCs w:val="21"/>
          <w:highlight w:val="none"/>
        </w:rPr>
      </w:pPr>
      <w:r>
        <w:rPr>
          <w:bCs/>
          <w:color w:val="auto"/>
          <w:sz w:val="21"/>
          <w:szCs w:val="21"/>
          <w:highlight w:val="none"/>
        </w:rPr>
        <w:t>附件</w:t>
      </w:r>
      <w:r>
        <w:rPr>
          <w:rFonts w:hint="eastAsia"/>
          <w:bCs/>
          <w:color w:val="auto"/>
          <w:sz w:val="21"/>
          <w:szCs w:val="21"/>
          <w:highlight w:val="none"/>
        </w:rPr>
        <w:t>4</w:t>
      </w:r>
      <w:r>
        <w:rPr>
          <w:bCs/>
          <w:color w:val="auto"/>
          <w:sz w:val="21"/>
          <w:szCs w:val="21"/>
          <w:highlight w:val="none"/>
        </w:rPr>
        <w:t xml:space="preserve"> 企业生态环境信用承诺书</w:t>
      </w:r>
    </w:p>
    <w:p>
      <w:pPr>
        <w:spacing w:line="460" w:lineRule="exact"/>
        <w:ind w:firstLine="0" w:firstLineChars="0"/>
        <w:jc w:val="left"/>
        <w:rPr>
          <w:bCs/>
          <w:color w:val="auto"/>
          <w:sz w:val="21"/>
          <w:szCs w:val="21"/>
          <w:highlight w:val="none"/>
        </w:rPr>
      </w:pPr>
      <w:r>
        <w:rPr>
          <w:bCs/>
          <w:color w:val="auto"/>
          <w:sz w:val="21"/>
          <w:szCs w:val="21"/>
          <w:highlight w:val="none"/>
        </w:rPr>
        <w:t>附件</w:t>
      </w:r>
      <w:r>
        <w:rPr>
          <w:rFonts w:hint="eastAsia"/>
          <w:bCs/>
          <w:color w:val="auto"/>
          <w:sz w:val="21"/>
          <w:szCs w:val="21"/>
          <w:highlight w:val="none"/>
        </w:rPr>
        <w:t>5</w:t>
      </w:r>
      <w:r>
        <w:rPr>
          <w:bCs/>
          <w:color w:val="auto"/>
          <w:sz w:val="21"/>
          <w:szCs w:val="21"/>
          <w:highlight w:val="none"/>
        </w:rPr>
        <w:t xml:space="preserve"> 社保证明</w:t>
      </w:r>
    </w:p>
    <w:p>
      <w:pPr>
        <w:pStyle w:val="25"/>
        <w:spacing w:line="460" w:lineRule="exact"/>
        <w:ind w:left="0" w:firstLine="0" w:firstLineChars="0"/>
        <w:rPr>
          <w:color w:val="auto"/>
          <w:sz w:val="21"/>
          <w:szCs w:val="21"/>
          <w:highlight w:val="none"/>
        </w:rPr>
      </w:pPr>
    </w:p>
    <w:p>
      <w:pPr>
        <w:spacing w:line="460" w:lineRule="exact"/>
        <w:ind w:firstLine="0" w:firstLineChars="0"/>
        <w:rPr>
          <w:bCs/>
          <w:color w:val="auto"/>
          <w:sz w:val="21"/>
          <w:szCs w:val="21"/>
          <w:highlight w:val="none"/>
        </w:rPr>
      </w:pPr>
      <w:r>
        <w:rPr>
          <w:bCs/>
          <w:color w:val="auto"/>
          <w:sz w:val="21"/>
          <w:szCs w:val="21"/>
          <w:highlight w:val="none"/>
        </w:rPr>
        <w:t>附表</w:t>
      </w:r>
    </w:p>
    <w:p>
      <w:pPr>
        <w:spacing w:line="460" w:lineRule="exact"/>
        <w:ind w:firstLine="0" w:firstLineChars="0"/>
        <w:jc w:val="left"/>
        <w:rPr>
          <w:bCs/>
          <w:color w:val="auto"/>
          <w:sz w:val="21"/>
          <w:szCs w:val="21"/>
          <w:highlight w:val="none"/>
        </w:rPr>
      </w:pPr>
      <w:r>
        <w:rPr>
          <w:bCs/>
          <w:color w:val="auto"/>
          <w:sz w:val="21"/>
          <w:szCs w:val="21"/>
          <w:highlight w:val="none"/>
        </w:rPr>
        <w:t>附表1</w:t>
      </w:r>
      <w:r>
        <w:rPr>
          <w:rFonts w:hint="eastAsia"/>
          <w:bCs/>
          <w:color w:val="auto"/>
          <w:sz w:val="21"/>
          <w:szCs w:val="21"/>
          <w:highlight w:val="none"/>
        </w:rPr>
        <w:t xml:space="preserve"> 建设项目污染物排放量汇总表</w:t>
      </w:r>
    </w:p>
    <w:p>
      <w:pPr>
        <w:spacing w:line="460" w:lineRule="exact"/>
        <w:ind w:firstLine="0" w:firstLineChars="0"/>
        <w:jc w:val="left"/>
        <w:rPr>
          <w:bCs/>
          <w:color w:val="auto"/>
          <w:sz w:val="21"/>
          <w:szCs w:val="21"/>
          <w:highlight w:val="none"/>
        </w:rPr>
      </w:pPr>
    </w:p>
    <w:p>
      <w:pPr>
        <w:spacing w:line="460" w:lineRule="exact"/>
        <w:ind w:firstLine="0" w:firstLineChars="0"/>
        <w:jc w:val="left"/>
        <w:rPr>
          <w:bCs/>
          <w:color w:val="auto"/>
          <w:sz w:val="21"/>
          <w:szCs w:val="21"/>
          <w:highlight w:val="none"/>
        </w:rPr>
      </w:pPr>
    </w:p>
    <w:p>
      <w:pPr>
        <w:ind w:firstLine="0" w:firstLineChars="0"/>
        <w:jc w:val="left"/>
        <w:rPr>
          <w:bCs/>
          <w:color w:val="auto"/>
          <w:sz w:val="21"/>
          <w:szCs w:val="21"/>
          <w:highlight w:val="none"/>
        </w:rPr>
      </w:pPr>
    </w:p>
    <w:p>
      <w:pPr>
        <w:ind w:firstLine="0" w:firstLineChars="0"/>
        <w:jc w:val="left"/>
        <w:rPr>
          <w:bCs/>
          <w:color w:val="auto"/>
          <w:sz w:val="21"/>
          <w:szCs w:val="21"/>
          <w:highlight w:val="none"/>
        </w:rPr>
      </w:pPr>
    </w:p>
    <w:p>
      <w:pPr>
        <w:ind w:firstLine="480"/>
        <w:rPr>
          <w:bCs/>
          <w:color w:val="auto"/>
          <w:szCs w:val="24"/>
          <w:highlight w:val="none"/>
        </w:rPr>
      </w:pPr>
    </w:p>
    <w:p>
      <w:pPr>
        <w:ind w:firstLine="480"/>
        <w:rPr>
          <w:color w:val="auto"/>
          <w:highlight w:val="none"/>
        </w:rPr>
        <w:sectPr>
          <w:headerReference r:id="rId11" w:type="default"/>
          <w:footerReference r:id="rId12" w:type="default"/>
          <w:pgSz w:w="11850" w:h="16781"/>
          <w:pgMar w:top="1418" w:right="1418" w:bottom="1418" w:left="1701" w:header="992" w:footer="992" w:gutter="0"/>
          <w:pgNumType w:fmt="upperRoman" w:start="1"/>
          <w:cols w:space="720" w:num="1"/>
          <w:docGrid w:linePitch="312" w:charSpace="0"/>
        </w:sectPr>
      </w:pPr>
    </w:p>
    <w:p>
      <w:pPr>
        <w:spacing w:line="500" w:lineRule="exact"/>
        <w:ind w:firstLine="0" w:firstLineChars="0"/>
        <w:jc w:val="center"/>
        <w:outlineLvl w:val="0"/>
        <w:rPr>
          <w:b/>
          <w:color w:val="auto"/>
          <w:sz w:val="28"/>
          <w:szCs w:val="28"/>
          <w:highlight w:val="none"/>
        </w:rPr>
      </w:pPr>
      <w:bookmarkStart w:id="0" w:name="_Toc18673"/>
      <w:bookmarkStart w:id="24" w:name="_GoBack"/>
      <w:bookmarkEnd w:id="24"/>
      <w:r>
        <w:rPr>
          <w:rFonts w:hint="eastAsia" w:hAnsi="宋体"/>
          <w:b/>
          <w:color w:val="auto"/>
          <w:sz w:val="28"/>
          <w:szCs w:val="28"/>
          <w:highlight w:val="none"/>
        </w:rPr>
        <w:t>一、</w:t>
      </w:r>
      <w:r>
        <w:rPr>
          <w:rFonts w:hAnsi="宋体"/>
          <w:b/>
          <w:color w:val="auto"/>
          <w:sz w:val="28"/>
          <w:szCs w:val="28"/>
          <w:highlight w:val="none"/>
        </w:rPr>
        <w:t>建设项目基本状况</w:t>
      </w:r>
      <w:bookmarkEnd w:id="0"/>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645"/>
        <w:gridCol w:w="1460"/>
        <w:gridCol w:w="2235"/>
        <w:gridCol w:w="2222"/>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4"/>
                <w:highlight w:val="none"/>
              </w:rPr>
              <w:t>建设项目名称</w:t>
            </w:r>
          </w:p>
        </w:tc>
        <w:tc>
          <w:tcPr>
            <w:tcW w:w="3840" w:type="pct"/>
            <w:gridSpan w:val="3"/>
            <w:noWrap/>
            <w:vAlign w:val="center"/>
          </w:tcPr>
          <w:p>
            <w:pPr>
              <w:spacing w:line="240" w:lineRule="auto"/>
              <w:ind w:firstLine="0" w:firstLineChars="0"/>
              <w:jc w:val="center"/>
              <w:rPr>
                <w:color w:val="auto"/>
                <w:szCs w:val="24"/>
                <w:highlight w:val="none"/>
              </w:rPr>
            </w:pPr>
            <w:r>
              <w:rPr>
                <w:rFonts w:hint="eastAsia"/>
                <w:color w:val="auto"/>
                <w:szCs w:val="24"/>
                <w:highlight w:val="none"/>
              </w:rPr>
              <w:t>年产5万吨建筑特种砂浆建设项目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项目代码</w:t>
            </w:r>
          </w:p>
        </w:tc>
        <w:tc>
          <w:tcPr>
            <w:tcW w:w="3840" w:type="pct"/>
            <w:gridSpan w:val="3"/>
            <w:noWrap/>
            <w:vAlign w:val="center"/>
          </w:tcPr>
          <w:p>
            <w:pPr>
              <w:spacing w:line="240" w:lineRule="auto"/>
              <w:ind w:firstLine="0" w:firstLineChars="0"/>
              <w:jc w:val="center"/>
              <w:rPr>
                <w:bCs/>
                <w:color w:val="auto"/>
                <w:szCs w:val="24"/>
                <w:highlight w:val="none"/>
              </w:rPr>
            </w:pPr>
            <w:r>
              <w:rPr>
                <w:bCs/>
                <w:color w:val="auto"/>
                <w:szCs w:val="24"/>
                <w:highlight w:val="none"/>
              </w:rPr>
              <w:t>2103-330521-07-02-470470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Ansi="宋体"/>
                <w:color w:val="auto"/>
                <w:szCs w:val="24"/>
                <w:highlight w:val="none"/>
              </w:rPr>
              <w:t>建设单位联系人</w:t>
            </w:r>
          </w:p>
        </w:tc>
        <w:tc>
          <w:tcPr>
            <w:tcW w:w="123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蔡海军</w:t>
            </w:r>
          </w:p>
        </w:tc>
        <w:tc>
          <w:tcPr>
            <w:tcW w:w="1225" w:type="pct"/>
            <w:noWrap/>
            <w:vAlign w:val="center"/>
          </w:tcPr>
          <w:p>
            <w:pPr>
              <w:spacing w:line="240" w:lineRule="auto"/>
              <w:ind w:firstLine="0" w:firstLineChars="0"/>
              <w:jc w:val="center"/>
              <w:rPr>
                <w:color w:val="auto"/>
                <w:szCs w:val="24"/>
                <w:highlight w:val="none"/>
              </w:rPr>
            </w:pPr>
            <w:r>
              <w:rPr>
                <w:rFonts w:hAnsi="宋体"/>
                <w:color w:val="auto"/>
                <w:szCs w:val="24"/>
                <w:highlight w:val="none"/>
              </w:rPr>
              <w:t>联系</w:t>
            </w:r>
            <w:r>
              <w:rPr>
                <w:rFonts w:hint="eastAsia" w:hAnsi="宋体"/>
                <w:color w:val="auto"/>
                <w:szCs w:val="24"/>
                <w:highlight w:val="none"/>
              </w:rPr>
              <w:t>方式</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18715009115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Ansi="宋体"/>
                <w:color w:val="auto"/>
                <w:szCs w:val="24"/>
                <w:highlight w:val="none"/>
              </w:rPr>
              <w:t>建设地点</w:t>
            </w:r>
          </w:p>
        </w:tc>
        <w:tc>
          <w:tcPr>
            <w:tcW w:w="3840" w:type="pct"/>
            <w:gridSpan w:val="3"/>
            <w:noWrap/>
            <w:vAlign w:val="center"/>
          </w:tcPr>
          <w:p>
            <w:pPr>
              <w:spacing w:line="240" w:lineRule="auto"/>
              <w:ind w:firstLine="0" w:firstLineChars="0"/>
              <w:jc w:val="center"/>
              <w:rPr>
                <w:color w:val="auto"/>
                <w:szCs w:val="24"/>
                <w:highlight w:val="none"/>
              </w:rPr>
            </w:pPr>
            <w:r>
              <w:rPr>
                <w:color w:val="auto"/>
                <w:szCs w:val="24"/>
                <w:highlight w:val="none"/>
              </w:rPr>
              <w:t>浙江省湖州市德清县乾元镇苕溪东街1155号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color w:val="auto"/>
                <w:szCs w:val="24"/>
                <w:highlight w:val="none"/>
              </w:rPr>
              <w:t>地理坐标</w:t>
            </w:r>
          </w:p>
        </w:tc>
        <w:tc>
          <w:tcPr>
            <w:tcW w:w="3840" w:type="pct"/>
            <w:gridSpan w:val="3"/>
            <w:tcBorders>
              <w:bottom w:val="single" w:color="auto" w:sz="4" w:space="0"/>
            </w:tcBorders>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1"/>
                <w:highlight w:val="none"/>
              </w:rPr>
              <w:t>（</w:t>
            </w:r>
            <w:r>
              <w:rPr>
                <w:color w:val="auto"/>
                <w:szCs w:val="21"/>
                <w:highlight w:val="none"/>
                <w:u w:val="single"/>
              </w:rPr>
              <w:t>30</w:t>
            </w:r>
            <w:r>
              <w:rPr>
                <w:color w:val="auto"/>
                <w:szCs w:val="21"/>
                <w:highlight w:val="none"/>
              </w:rPr>
              <w:t>度</w:t>
            </w:r>
            <w:r>
              <w:rPr>
                <w:color w:val="auto"/>
                <w:szCs w:val="21"/>
                <w:highlight w:val="none"/>
                <w:u w:val="single"/>
              </w:rPr>
              <w:t>32</w:t>
            </w:r>
            <w:r>
              <w:rPr>
                <w:color w:val="auto"/>
                <w:szCs w:val="21"/>
                <w:highlight w:val="none"/>
              </w:rPr>
              <w:t>分</w:t>
            </w:r>
            <w:r>
              <w:rPr>
                <w:color w:val="auto"/>
                <w:szCs w:val="21"/>
                <w:highlight w:val="none"/>
                <w:u w:val="single"/>
              </w:rPr>
              <w:t>19.179</w:t>
            </w:r>
            <w:r>
              <w:rPr>
                <w:color w:val="auto"/>
                <w:szCs w:val="21"/>
                <w:highlight w:val="none"/>
              </w:rPr>
              <w:t>秒，</w:t>
            </w:r>
            <w:r>
              <w:rPr>
                <w:color w:val="auto"/>
                <w:szCs w:val="21"/>
                <w:highlight w:val="none"/>
                <w:u w:val="single"/>
              </w:rPr>
              <w:t>120</w:t>
            </w:r>
            <w:r>
              <w:rPr>
                <w:color w:val="auto"/>
                <w:szCs w:val="21"/>
                <w:highlight w:val="none"/>
              </w:rPr>
              <w:t>度</w:t>
            </w:r>
            <w:r>
              <w:rPr>
                <w:color w:val="auto"/>
                <w:szCs w:val="21"/>
                <w:highlight w:val="none"/>
                <w:u w:val="single"/>
              </w:rPr>
              <w:t>6</w:t>
            </w:r>
            <w:r>
              <w:rPr>
                <w:color w:val="auto"/>
                <w:szCs w:val="21"/>
                <w:highlight w:val="none"/>
              </w:rPr>
              <w:t>分</w:t>
            </w:r>
            <w:r>
              <w:rPr>
                <w:color w:val="auto"/>
                <w:szCs w:val="21"/>
                <w:highlight w:val="none"/>
                <w:u w:val="single"/>
              </w:rPr>
              <w:t>22.215</w:t>
            </w:r>
            <w:r>
              <w:rPr>
                <w:rFonts w:hint="eastAsia" w:ascii="宋体" w:hAnsi="宋体" w:cs="宋体"/>
                <w:color w:val="auto"/>
                <w:szCs w:val="21"/>
                <w:highlight w:val="none"/>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tcBorders>
              <w:right w:val="nil"/>
            </w:tcBorders>
            <w:noWrap/>
            <w:vAlign w:val="center"/>
          </w:tcPr>
          <w:p>
            <w:pPr>
              <w:adjustRightInd w:val="0"/>
              <w:snapToGrid w:val="0"/>
              <w:spacing w:line="240" w:lineRule="auto"/>
              <w:ind w:firstLine="0" w:firstLineChars="0"/>
              <w:jc w:val="center"/>
              <w:rPr>
                <w:color w:val="auto"/>
                <w:szCs w:val="24"/>
                <w:highlight w:val="none"/>
              </w:rPr>
            </w:pPr>
            <w:r>
              <w:rPr>
                <w:rFonts w:hint="eastAsia" w:ascii="宋体" w:hAnsi="宋体" w:cs="宋体"/>
                <w:color w:val="auto"/>
                <w:szCs w:val="24"/>
                <w:highlight w:val="none"/>
              </w:rPr>
              <w:t>国民经济行业类别</w:t>
            </w:r>
          </w:p>
        </w:tc>
        <w:tc>
          <w:tcPr>
            <w:tcW w:w="1232" w:type="pct"/>
            <w:tcBorders>
              <w:top w:val="single" w:color="auto" w:sz="4" w:space="0"/>
              <w:left w:val="single" w:color="auto" w:sz="4" w:space="0"/>
              <w:bottom w:val="single" w:color="auto" w:sz="4" w:space="0"/>
              <w:right w:val="single" w:color="auto" w:sz="4" w:space="0"/>
            </w:tcBorders>
            <w:noWrap/>
            <w:vAlign w:val="center"/>
          </w:tcPr>
          <w:p>
            <w:pPr>
              <w:pStyle w:val="37"/>
              <w:adjustRightInd/>
              <w:rPr>
                <w:rFonts w:hint="default" w:ascii="Times New Roman" w:hAnsi="Times New Roman"/>
                <w:color w:val="auto"/>
                <w:szCs w:val="24"/>
                <w:highlight w:val="none"/>
              </w:rPr>
            </w:pPr>
            <w:r>
              <w:rPr>
                <w:rFonts w:ascii="Times New Roman" w:hAnsi="Times New Roman"/>
                <w:color w:val="auto"/>
                <w:szCs w:val="24"/>
                <w:highlight w:val="none"/>
              </w:rPr>
              <w:t>其他建筑材料制造</w:t>
            </w:r>
          </w:p>
          <w:p>
            <w:pPr>
              <w:pStyle w:val="37"/>
              <w:adjustRightInd/>
              <w:rPr>
                <w:rFonts w:hint="default" w:ascii="Times New Roman" w:hAnsi="Times New Roman"/>
                <w:color w:val="auto"/>
                <w:szCs w:val="24"/>
                <w:highlight w:val="none"/>
              </w:rPr>
            </w:pPr>
            <w:r>
              <w:rPr>
                <w:rFonts w:ascii="Times New Roman" w:hAnsi="Times New Roman"/>
                <w:color w:val="auto"/>
                <w:szCs w:val="24"/>
                <w:highlight w:val="none"/>
              </w:rPr>
              <w:t>C3039</w:t>
            </w:r>
          </w:p>
        </w:tc>
        <w:tc>
          <w:tcPr>
            <w:tcW w:w="1225"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uto"/>
              <w:ind w:firstLine="0" w:firstLineChars="0"/>
              <w:jc w:val="center"/>
              <w:rPr>
                <w:rFonts w:ascii="宋体" w:hAnsi="宋体" w:cs="宋体"/>
                <w:color w:val="auto"/>
                <w:szCs w:val="24"/>
                <w:highlight w:val="none"/>
              </w:rPr>
            </w:pPr>
            <w:bookmarkStart w:id="1" w:name="_Hlk49843745"/>
            <w:r>
              <w:rPr>
                <w:rFonts w:hint="eastAsia" w:ascii="宋体" w:hAnsi="宋体" w:cs="宋体"/>
                <w:color w:val="auto"/>
                <w:szCs w:val="24"/>
                <w:highlight w:val="none"/>
              </w:rPr>
              <w:t>建设项目行业类别</w:t>
            </w:r>
            <w:bookmarkEnd w:id="1"/>
          </w:p>
        </w:tc>
        <w:tc>
          <w:tcPr>
            <w:tcW w:w="1382" w:type="pct"/>
            <w:tcBorders>
              <w:top w:val="single" w:color="auto" w:sz="4" w:space="0"/>
              <w:left w:val="single" w:color="auto" w:sz="4" w:space="0"/>
              <w:bottom w:val="single" w:color="auto" w:sz="4" w:space="0"/>
              <w:right w:val="single" w:color="auto" w:sz="4" w:space="0"/>
            </w:tcBorders>
            <w:noWrap/>
            <w:vAlign w:val="center"/>
          </w:tcPr>
          <w:p>
            <w:pPr>
              <w:pStyle w:val="37"/>
              <w:adjustRightInd/>
              <w:jc w:val="both"/>
              <w:rPr>
                <w:rFonts w:hint="default" w:ascii="Times New Roman" w:hAnsi="Times New Roman"/>
                <w:color w:val="auto"/>
                <w:szCs w:val="24"/>
                <w:highlight w:val="none"/>
              </w:rPr>
            </w:pPr>
            <w:r>
              <w:rPr>
                <w:rFonts w:ascii="Times New Roman" w:hAnsi="Times New Roman"/>
                <w:color w:val="auto"/>
                <w:szCs w:val="24"/>
                <w:highlight w:val="none"/>
              </w:rPr>
              <w:t>二十七、非金属矿物制品业30  56砖瓦、石材等建筑材料制造303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Ansi="宋体"/>
                <w:color w:val="auto"/>
                <w:szCs w:val="24"/>
                <w:highlight w:val="none"/>
              </w:rPr>
              <w:t>建设性质</w:t>
            </w:r>
          </w:p>
        </w:tc>
        <w:tc>
          <w:tcPr>
            <w:tcW w:w="1232" w:type="pct"/>
            <w:noWrap/>
            <w:vAlign w:val="center"/>
          </w:tcPr>
          <w:p>
            <w:pPr>
              <w:spacing w:line="240" w:lineRule="auto"/>
              <w:ind w:firstLine="0" w:firstLineChars="0"/>
              <w:rPr>
                <w:color w:val="auto"/>
                <w:szCs w:val="24"/>
                <w:highlight w:val="none"/>
              </w:rPr>
            </w:pPr>
            <w:r>
              <w:rPr>
                <w:color w:val="auto"/>
                <w:szCs w:val="24"/>
                <w:highlight w:val="none"/>
              </w:rPr>
              <w:t>■</w:t>
            </w:r>
            <w:r>
              <w:rPr>
                <w:rFonts w:hint="eastAsia"/>
                <w:color w:val="auto"/>
                <w:szCs w:val="24"/>
                <w:highlight w:val="none"/>
              </w:rPr>
              <w:t>新建（迁建）</w:t>
            </w:r>
          </w:p>
          <w:p>
            <w:pPr>
              <w:spacing w:line="240" w:lineRule="auto"/>
              <w:ind w:firstLine="0" w:firstLineChars="0"/>
              <w:rPr>
                <w:color w:val="auto"/>
                <w:szCs w:val="24"/>
                <w:highlight w:val="none"/>
              </w:rPr>
            </w:pPr>
            <w:r>
              <w:rPr>
                <w:color w:val="auto"/>
                <w:szCs w:val="24"/>
                <w:highlight w:val="none"/>
              </w:rPr>
              <w:t>□改建</w:t>
            </w:r>
          </w:p>
          <w:p>
            <w:pPr>
              <w:spacing w:line="240" w:lineRule="auto"/>
              <w:ind w:firstLine="0" w:firstLineChars="0"/>
              <w:rPr>
                <w:color w:val="auto"/>
                <w:szCs w:val="24"/>
                <w:highlight w:val="none"/>
              </w:rPr>
            </w:pPr>
            <w:r>
              <w:rPr>
                <w:color w:val="auto"/>
                <w:szCs w:val="24"/>
                <w:highlight w:val="none"/>
              </w:rPr>
              <w:t>□</w:t>
            </w:r>
            <w:r>
              <w:rPr>
                <w:rFonts w:hint="eastAsia"/>
                <w:color w:val="auto"/>
                <w:szCs w:val="24"/>
                <w:highlight w:val="none"/>
              </w:rPr>
              <w:t>扩建</w:t>
            </w:r>
          </w:p>
          <w:p>
            <w:pPr>
              <w:spacing w:line="240" w:lineRule="auto"/>
              <w:ind w:firstLine="0" w:firstLineChars="0"/>
              <w:rPr>
                <w:color w:val="auto"/>
                <w:szCs w:val="24"/>
                <w:highlight w:val="none"/>
              </w:rPr>
            </w:pPr>
            <w:r>
              <w:rPr>
                <w:color w:val="auto"/>
                <w:szCs w:val="24"/>
                <w:highlight w:val="none"/>
              </w:rPr>
              <w:t>□</w:t>
            </w:r>
            <w:r>
              <w:rPr>
                <w:rFonts w:hint="eastAsia" w:ascii="宋体" w:hAnsi="宋体" w:cs="宋体"/>
                <w:color w:val="auto"/>
                <w:szCs w:val="24"/>
                <w:highlight w:val="none"/>
              </w:rPr>
              <w:t>技术改造</w:t>
            </w:r>
          </w:p>
        </w:tc>
        <w:tc>
          <w:tcPr>
            <w:tcW w:w="1225" w:type="pct"/>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建设项目</w:t>
            </w:r>
          </w:p>
          <w:p>
            <w:pPr>
              <w:adjustRightInd w:val="0"/>
              <w:snapToGrid w:val="0"/>
              <w:spacing w:line="240" w:lineRule="auto"/>
              <w:ind w:firstLine="0" w:firstLineChars="0"/>
              <w:jc w:val="center"/>
              <w:rPr>
                <w:color w:val="auto"/>
                <w:szCs w:val="24"/>
                <w:highlight w:val="none"/>
              </w:rPr>
            </w:pPr>
            <w:r>
              <w:rPr>
                <w:rFonts w:hint="eastAsia" w:ascii="宋体" w:hAnsi="宋体" w:cs="宋体"/>
                <w:color w:val="auto"/>
                <w:szCs w:val="24"/>
                <w:highlight w:val="none"/>
              </w:rPr>
              <w:t>申报情形</w:t>
            </w:r>
          </w:p>
        </w:tc>
        <w:tc>
          <w:tcPr>
            <w:tcW w:w="1382" w:type="pct"/>
            <w:noWrap/>
            <w:vAlign w:val="center"/>
          </w:tcPr>
          <w:p>
            <w:pPr>
              <w:spacing w:line="240" w:lineRule="auto"/>
              <w:ind w:firstLine="0" w:firstLineChars="0"/>
              <w:jc w:val="left"/>
              <w:rPr>
                <w:rFonts w:ascii="宋体" w:hAnsi="宋体" w:cs="宋体"/>
                <w:color w:val="auto"/>
                <w:szCs w:val="24"/>
                <w:highlight w:val="none"/>
              </w:rPr>
            </w:pPr>
            <w:r>
              <w:rPr>
                <w:color w:val="auto"/>
                <w:szCs w:val="24"/>
                <w:highlight w:val="none"/>
              </w:rPr>
              <w:t>■</w:t>
            </w:r>
            <w:r>
              <w:rPr>
                <w:rFonts w:hint="eastAsia" w:ascii="宋体" w:hAnsi="宋体" w:cs="宋体"/>
                <w:color w:val="auto"/>
                <w:szCs w:val="24"/>
                <w:highlight w:val="none"/>
              </w:rPr>
              <w:t>首次申报项目</w:t>
            </w:r>
          </w:p>
          <w:p>
            <w:pPr>
              <w:spacing w:line="240" w:lineRule="auto"/>
              <w:ind w:firstLine="0" w:firstLineChars="0"/>
              <w:jc w:val="left"/>
              <w:rPr>
                <w:rFonts w:ascii="宋体" w:hAnsi="宋体" w:cs="宋体"/>
                <w:color w:val="auto"/>
                <w:szCs w:val="24"/>
                <w:highlight w:val="none"/>
              </w:rPr>
            </w:pPr>
            <w:r>
              <w:rPr>
                <w:color w:val="auto"/>
                <w:szCs w:val="24"/>
                <w:highlight w:val="none"/>
              </w:rPr>
              <w:t>□</w:t>
            </w:r>
            <w:r>
              <w:rPr>
                <w:rFonts w:hint="eastAsia" w:ascii="宋体" w:hAnsi="宋体" w:cs="宋体"/>
                <w:color w:val="auto"/>
                <w:szCs w:val="24"/>
                <w:highlight w:val="none"/>
              </w:rPr>
              <w:t>不予批准后再次申报项目</w:t>
            </w:r>
          </w:p>
          <w:p>
            <w:pPr>
              <w:spacing w:line="240" w:lineRule="auto"/>
              <w:ind w:firstLine="0" w:firstLineChars="0"/>
              <w:jc w:val="left"/>
              <w:rPr>
                <w:rFonts w:ascii="宋体" w:hAnsi="宋体" w:cs="宋体"/>
                <w:color w:val="auto"/>
                <w:szCs w:val="24"/>
                <w:highlight w:val="none"/>
              </w:rPr>
            </w:pPr>
            <w:r>
              <w:rPr>
                <w:color w:val="auto"/>
                <w:szCs w:val="24"/>
                <w:highlight w:val="none"/>
              </w:rPr>
              <w:t>□</w:t>
            </w:r>
            <w:r>
              <w:rPr>
                <w:rFonts w:hint="eastAsia" w:ascii="宋体" w:hAnsi="宋体" w:cs="宋体"/>
                <w:color w:val="auto"/>
                <w:szCs w:val="24"/>
                <w:highlight w:val="none"/>
              </w:rPr>
              <w:t>超五年重新审核项目</w:t>
            </w:r>
          </w:p>
          <w:p>
            <w:pPr>
              <w:spacing w:line="240" w:lineRule="auto"/>
              <w:ind w:firstLine="0" w:firstLineChars="0"/>
              <w:rPr>
                <w:color w:val="auto"/>
                <w:szCs w:val="24"/>
                <w:highlight w:val="none"/>
              </w:rPr>
            </w:pPr>
            <w:r>
              <w:rPr>
                <w:color w:val="auto"/>
                <w:szCs w:val="24"/>
                <w:highlight w:val="none"/>
              </w:rPr>
              <w:t>□</w:t>
            </w:r>
            <w:r>
              <w:rPr>
                <w:rFonts w:hint="eastAsia" w:ascii="宋体" w:hAnsi="宋体" w:cs="宋体"/>
                <w:color w:val="auto"/>
                <w:szCs w:val="24"/>
                <w:highlight w:val="none"/>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项目审批（核准</w:t>
            </w:r>
            <w:r>
              <w:rPr>
                <w:rFonts w:ascii="宋体" w:hAnsi="宋体" w:cs="宋体"/>
                <w:color w:val="auto"/>
                <w:szCs w:val="24"/>
                <w:highlight w:val="none"/>
              </w:rPr>
              <w:t>/</w:t>
            </w:r>
          </w:p>
          <w:p>
            <w:pPr>
              <w:adjustRightInd w:val="0"/>
              <w:snapToGrid w:val="0"/>
              <w:spacing w:line="240" w:lineRule="auto"/>
              <w:ind w:firstLine="0" w:firstLineChars="0"/>
              <w:jc w:val="center"/>
              <w:rPr>
                <w:rFonts w:hAnsi="宋体"/>
                <w:color w:val="auto"/>
                <w:szCs w:val="24"/>
                <w:highlight w:val="none"/>
              </w:rPr>
            </w:pPr>
            <w:r>
              <w:rPr>
                <w:rFonts w:hint="eastAsia" w:ascii="宋体" w:hAnsi="宋体" w:cs="宋体"/>
                <w:color w:val="auto"/>
                <w:szCs w:val="24"/>
                <w:highlight w:val="none"/>
              </w:rPr>
              <w:t>备案）部门（选填）</w:t>
            </w:r>
          </w:p>
        </w:tc>
        <w:tc>
          <w:tcPr>
            <w:tcW w:w="123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德清县经济和信息化局</w:t>
            </w:r>
          </w:p>
        </w:tc>
        <w:tc>
          <w:tcPr>
            <w:tcW w:w="1225" w:type="pct"/>
            <w:noWrap/>
            <w:vAlign w:val="center"/>
          </w:tcPr>
          <w:p>
            <w:pPr>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项目审批（核准</w:t>
            </w:r>
            <w:r>
              <w:rPr>
                <w:rFonts w:ascii="宋体" w:hAnsi="宋体" w:cs="宋体"/>
                <w:color w:val="auto"/>
                <w:szCs w:val="24"/>
                <w:highlight w:val="none"/>
              </w:rPr>
              <w:t>/</w:t>
            </w:r>
          </w:p>
          <w:p>
            <w:pPr>
              <w:spacing w:line="240" w:lineRule="auto"/>
              <w:ind w:firstLine="0" w:firstLineChars="0"/>
              <w:jc w:val="center"/>
              <w:rPr>
                <w:color w:val="auto"/>
                <w:szCs w:val="24"/>
                <w:highlight w:val="none"/>
              </w:rPr>
            </w:pPr>
            <w:r>
              <w:rPr>
                <w:rFonts w:hint="eastAsia" w:ascii="宋体" w:hAnsi="宋体" w:cs="宋体"/>
                <w:color w:val="auto"/>
                <w:szCs w:val="24"/>
                <w:highlight w:val="none"/>
              </w:rPr>
              <w:t>备案）文号（选填）</w:t>
            </w:r>
          </w:p>
        </w:tc>
        <w:tc>
          <w:tcPr>
            <w:tcW w:w="1382" w:type="pct"/>
            <w:noWrap/>
            <w:vAlign w:val="center"/>
          </w:tcPr>
          <w:p>
            <w:pPr>
              <w:spacing w:line="240" w:lineRule="auto"/>
              <w:ind w:firstLine="0" w:firstLineChars="0"/>
              <w:jc w:val="center"/>
              <w:rPr>
                <w:color w:val="auto"/>
                <w:szCs w:val="24"/>
                <w:highlight w:val="none"/>
              </w:rPr>
            </w:pPr>
            <w:r>
              <w:rPr>
                <w:bCs/>
                <w:color w:val="auto"/>
                <w:szCs w:val="24"/>
                <w:highlight w:val="none"/>
              </w:rPr>
              <w:t>2103-330521-07-02-470470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总投资（万元）</w:t>
            </w:r>
          </w:p>
        </w:tc>
        <w:tc>
          <w:tcPr>
            <w:tcW w:w="1232" w:type="pct"/>
            <w:noWrap/>
            <w:vAlign w:val="center"/>
          </w:tcPr>
          <w:p>
            <w:pPr>
              <w:spacing w:line="240" w:lineRule="auto"/>
              <w:ind w:firstLine="0" w:firstLineChars="0"/>
              <w:jc w:val="center"/>
              <w:rPr>
                <w:rFonts w:ascii="宋体" w:hAnsi="宋体" w:cs="宋体"/>
                <w:color w:val="auto"/>
                <w:kern w:val="0"/>
                <w:szCs w:val="24"/>
                <w:highlight w:val="none"/>
              </w:rPr>
            </w:pPr>
            <w:r>
              <w:rPr>
                <w:rFonts w:hint="eastAsia"/>
                <w:color w:val="auto"/>
                <w:kern w:val="0"/>
                <w:szCs w:val="24"/>
                <w:highlight w:val="none"/>
              </w:rPr>
              <w:t>1100.00</w:t>
            </w:r>
          </w:p>
        </w:tc>
        <w:tc>
          <w:tcPr>
            <w:tcW w:w="1225" w:type="pct"/>
            <w:noWrap/>
            <w:vAlign w:val="center"/>
          </w:tcPr>
          <w:p>
            <w:pPr>
              <w:spacing w:line="240" w:lineRule="auto"/>
              <w:ind w:firstLine="0" w:firstLineChars="0"/>
              <w:jc w:val="center"/>
              <w:rPr>
                <w:rFonts w:ascii="宋体" w:hAnsi="宋体" w:cs="宋体"/>
                <w:color w:val="auto"/>
                <w:szCs w:val="24"/>
                <w:highlight w:val="none"/>
              </w:rPr>
            </w:pPr>
            <w:r>
              <w:rPr>
                <w:rFonts w:hAnsi="宋体"/>
                <w:color w:val="auto"/>
                <w:szCs w:val="24"/>
                <w:highlight w:val="none"/>
              </w:rPr>
              <w:t>环保投资（万元）</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rFonts w:ascii="宋体" w:hAnsi="宋体" w:cs="宋体"/>
                <w:color w:val="auto"/>
                <w:szCs w:val="24"/>
                <w:highlight w:val="none"/>
              </w:rPr>
            </w:pPr>
            <w:r>
              <w:rPr>
                <w:color w:val="auto"/>
                <w:szCs w:val="24"/>
                <w:highlight w:val="none"/>
              </w:rPr>
              <w:t>环保投资占比（%）</w:t>
            </w:r>
          </w:p>
        </w:tc>
        <w:tc>
          <w:tcPr>
            <w:tcW w:w="1232" w:type="pct"/>
            <w:noWrap/>
            <w:vAlign w:val="center"/>
          </w:tcPr>
          <w:p>
            <w:pPr>
              <w:spacing w:line="240" w:lineRule="auto"/>
              <w:ind w:firstLine="0" w:firstLineChars="0"/>
              <w:jc w:val="center"/>
              <w:rPr>
                <w:color w:val="auto"/>
                <w:kern w:val="0"/>
                <w:szCs w:val="24"/>
                <w:highlight w:val="none"/>
              </w:rPr>
            </w:pPr>
            <w:r>
              <w:rPr>
                <w:rFonts w:hint="eastAsia"/>
                <w:color w:val="auto"/>
                <w:kern w:val="0"/>
                <w:szCs w:val="24"/>
                <w:highlight w:val="none"/>
              </w:rPr>
              <w:t>10.3%</w:t>
            </w:r>
          </w:p>
        </w:tc>
        <w:tc>
          <w:tcPr>
            <w:tcW w:w="1225" w:type="pct"/>
            <w:noWrap/>
            <w:vAlign w:val="center"/>
          </w:tcPr>
          <w:p>
            <w:pPr>
              <w:adjustRightInd w:val="0"/>
              <w:snapToGrid w:val="0"/>
              <w:spacing w:line="240" w:lineRule="auto"/>
              <w:ind w:firstLine="0" w:firstLineChars="0"/>
              <w:jc w:val="center"/>
              <w:rPr>
                <w:rFonts w:hAnsi="宋体"/>
                <w:color w:val="auto"/>
                <w:szCs w:val="24"/>
                <w:highlight w:val="none"/>
              </w:rPr>
            </w:pPr>
            <w:r>
              <w:rPr>
                <w:rFonts w:hint="eastAsia" w:hAnsi="宋体"/>
                <w:color w:val="auto"/>
                <w:szCs w:val="24"/>
                <w:highlight w:val="none"/>
              </w:rPr>
              <w:t>施工工期</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4"/>
                <w:highlight w:val="none"/>
              </w:rPr>
              <w:t>是否开工建设</w:t>
            </w:r>
          </w:p>
        </w:tc>
        <w:tc>
          <w:tcPr>
            <w:tcW w:w="1232" w:type="pct"/>
            <w:noWrap/>
            <w:vAlign w:val="center"/>
          </w:tcPr>
          <w:p>
            <w:pPr>
              <w:adjustRightInd w:val="0"/>
              <w:snapToGrid w:val="0"/>
              <w:spacing w:line="240" w:lineRule="auto"/>
              <w:ind w:firstLine="0" w:firstLineChars="0"/>
              <w:rPr>
                <w:color w:val="auto"/>
                <w:szCs w:val="24"/>
                <w:highlight w:val="none"/>
              </w:rPr>
            </w:pPr>
            <w:r>
              <w:rPr>
                <w:color w:val="auto"/>
                <w:szCs w:val="24"/>
                <w:highlight w:val="none"/>
              </w:rPr>
              <w:t>■否</w:t>
            </w:r>
          </w:p>
          <w:p>
            <w:pPr>
              <w:adjustRightInd w:val="0"/>
              <w:snapToGrid w:val="0"/>
              <w:spacing w:line="240" w:lineRule="auto"/>
              <w:ind w:firstLine="0" w:firstLineChars="0"/>
              <w:rPr>
                <w:color w:val="auto"/>
                <w:szCs w:val="24"/>
                <w:highlight w:val="none"/>
                <w:u w:val="single"/>
              </w:rPr>
            </w:pPr>
            <w:r>
              <w:rPr>
                <w:color w:val="auto"/>
                <w:szCs w:val="24"/>
                <w:highlight w:val="none"/>
              </w:rPr>
              <w:t>□是</w:t>
            </w:r>
            <w:r>
              <w:rPr>
                <w:rFonts w:hint="eastAsia"/>
                <w:color w:val="auto"/>
                <w:szCs w:val="24"/>
                <w:highlight w:val="none"/>
              </w:rPr>
              <w:t>：</w:t>
            </w:r>
          </w:p>
        </w:tc>
        <w:tc>
          <w:tcPr>
            <w:tcW w:w="1225" w:type="pct"/>
            <w:noWrap/>
            <w:vAlign w:val="center"/>
          </w:tcPr>
          <w:p>
            <w:pPr>
              <w:adjustRightInd w:val="0"/>
              <w:snapToGrid w:val="0"/>
              <w:spacing w:line="240" w:lineRule="auto"/>
              <w:ind w:firstLine="0" w:firstLineChars="0"/>
              <w:jc w:val="center"/>
              <w:rPr>
                <w:color w:val="auto"/>
                <w:spacing w:val="-6"/>
                <w:szCs w:val="24"/>
                <w:highlight w:val="none"/>
              </w:rPr>
            </w:pPr>
            <w:r>
              <w:rPr>
                <w:color w:val="auto"/>
                <w:spacing w:val="-6"/>
                <w:szCs w:val="24"/>
                <w:highlight w:val="none"/>
              </w:rPr>
              <w:t>用地（用海）</w:t>
            </w:r>
          </w:p>
          <w:p>
            <w:pPr>
              <w:adjustRightInd w:val="0"/>
              <w:snapToGrid w:val="0"/>
              <w:spacing w:line="240" w:lineRule="auto"/>
              <w:ind w:firstLine="0" w:firstLineChars="0"/>
              <w:jc w:val="center"/>
              <w:rPr>
                <w:color w:val="auto"/>
                <w:szCs w:val="24"/>
                <w:highlight w:val="none"/>
              </w:rPr>
            </w:pPr>
            <w:r>
              <w:rPr>
                <w:color w:val="auto"/>
                <w:spacing w:val="-6"/>
                <w:szCs w:val="24"/>
                <w:highlight w:val="none"/>
              </w:rPr>
              <w:t>面积（m</w:t>
            </w:r>
            <w:r>
              <w:rPr>
                <w:color w:val="auto"/>
                <w:spacing w:val="-6"/>
                <w:szCs w:val="24"/>
                <w:highlight w:val="none"/>
                <w:vertAlign w:val="superscript"/>
              </w:rPr>
              <w:t>2</w:t>
            </w:r>
            <w:r>
              <w:rPr>
                <w:color w:val="auto"/>
                <w:spacing w:val="-6"/>
                <w:szCs w:val="24"/>
                <w:highlight w:val="none"/>
              </w:rPr>
              <w:t>）</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1391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kern w:val="0"/>
                <w:szCs w:val="24"/>
                <w:highlight w:val="none"/>
              </w:rPr>
              <w:t>专项评价设置情况</w:t>
            </w:r>
          </w:p>
        </w:tc>
        <w:tc>
          <w:tcPr>
            <w:tcW w:w="3840" w:type="pct"/>
            <w:gridSpan w:val="3"/>
            <w:noWrap/>
            <w:vAlign w:val="center"/>
          </w:tcPr>
          <w:p>
            <w:pPr>
              <w:spacing w:line="240" w:lineRule="auto"/>
              <w:ind w:firstLine="0" w:firstLineChars="0"/>
              <w:jc w:val="center"/>
              <w:rPr>
                <w:color w:val="auto"/>
                <w:szCs w:val="24"/>
                <w:highlight w:val="none"/>
              </w:rPr>
            </w:pPr>
            <w:r>
              <w:rPr>
                <w:rFonts w:hint="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4"/>
                <w:highlight w:val="none"/>
              </w:rPr>
              <w:t>规划情况</w:t>
            </w:r>
          </w:p>
        </w:tc>
        <w:tc>
          <w:tcPr>
            <w:tcW w:w="3840" w:type="pct"/>
            <w:gridSpan w:val="3"/>
            <w:tcBorders>
              <w:bottom w:val="single" w:color="auto" w:sz="4" w:space="0"/>
            </w:tcBorders>
            <w:noWrap/>
            <w:vAlign w:val="center"/>
          </w:tcPr>
          <w:p>
            <w:pPr>
              <w:spacing w:line="240" w:lineRule="auto"/>
              <w:ind w:firstLine="0" w:firstLineChars="0"/>
              <w:jc w:val="center"/>
              <w:rPr>
                <w:color w:val="auto"/>
                <w:szCs w:val="24"/>
                <w:highlight w:val="none"/>
              </w:rPr>
            </w:pPr>
            <w:r>
              <w:rPr>
                <w:rFonts w:hint="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规划环境影响</w:t>
            </w:r>
          </w:p>
          <w:p>
            <w:pPr>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评价情况</w:t>
            </w:r>
          </w:p>
        </w:tc>
        <w:tc>
          <w:tcPr>
            <w:tcW w:w="3840" w:type="pct"/>
            <w:gridSpan w:val="3"/>
            <w:tcBorders>
              <w:bottom w:val="single" w:color="auto" w:sz="4" w:space="0"/>
            </w:tcBorders>
            <w:noWrap/>
            <w:vAlign w:val="center"/>
          </w:tcPr>
          <w:p>
            <w:pPr>
              <w:spacing w:line="240" w:lineRule="auto"/>
              <w:ind w:firstLine="0" w:firstLineChars="0"/>
              <w:jc w:val="center"/>
              <w:rPr>
                <w:color w:val="auto"/>
                <w:szCs w:val="24"/>
                <w:highlight w:val="none"/>
              </w:rPr>
            </w:pPr>
            <w:r>
              <w:rPr>
                <w:rFonts w:hint="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autoSpaceDE w:val="0"/>
              <w:autoSpaceDN w:val="0"/>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kern w:val="0"/>
                <w:szCs w:val="24"/>
                <w:highlight w:val="none"/>
              </w:rPr>
              <w:t>规划及规划环境影响评价符合性分析</w:t>
            </w:r>
          </w:p>
        </w:tc>
        <w:tc>
          <w:tcPr>
            <w:tcW w:w="3840" w:type="pct"/>
            <w:gridSpan w:val="3"/>
            <w:tcBorders>
              <w:bottom w:val="single" w:color="auto" w:sz="4" w:space="0"/>
            </w:tcBorders>
            <w:noWrap/>
            <w:vAlign w:val="center"/>
          </w:tcPr>
          <w:p>
            <w:pPr>
              <w:pStyle w:val="2"/>
              <w:spacing w:line="500" w:lineRule="exact"/>
              <w:ind w:firstLine="0" w:firstLineChars="0"/>
              <w:jc w:val="center"/>
              <w:rPr>
                <w:color w:val="auto"/>
                <w:sz w:val="24"/>
                <w:szCs w:val="24"/>
                <w:highlight w:val="none"/>
              </w:rPr>
            </w:pPr>
            <w:r>
              <w:rPr>
                <w:rFonts w:hint="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454" w:hRule="atLeast"/>
          <w:jc w:val="center"/>
        </w:trPr>
        <w:tc>
          <w:tcPr>
            <w:tcW w:w="355" w:type="pct"/>
            <w:noWrap/>
            <w:vAlign w:val="center"/>
          </w:tcPr>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其</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他</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符</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合</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性</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分</w:t>
            </w:r>
          </w:p>
          <w:p>
            <w:pPr>
              <w:autoSpaceDE w:val="0"/>
              <w:autoSpaceDN w:val="0"/>
              <w:adjustRightInd w:val="0"/>
              <w:snapToGrid w:val="0"/>
              <w:spacing w:line="240" w:lineRule="auto"/>
              <w:ind w:firstLine="0" w:firstLineChars="0"/>
              <w:jc w:val="center"/>
              <w:rPr>
                <w:rFonts w:ascii="宋体" w:hAnsi="宋体" w:cs="宋体"/>
                <w:color w:val="auto"/>
                <w:kern w:val="0"/>
                <w:szCs w:val="24"/>
                <w:highlight w:val="none"/>
              </w:rPr>
            </w:pPr>
            <w:r>
              <w:rPr>
                <w:rFonts w:hint="eastAsia" w:ascii="宋体" w:hAnsi="宋体" w:cs="宋体"/>
                <w:bCs/>
                <w:color w:val="auto"/>
                <w:kern w:val="0"/>
                <w:szCs w:val="24"/>
                <w:highlight w:val="none"/>
              </w:rPr>
              <w:t>析</w:t>
            </w:r>
          </w:p>
        </w:tc>
        <w:tc>
          <w:tcPr>
            <w:tcW w:w="4644" w:type="pct"/>
            <w:gridSpan w:val="4"/>
            <w:noWrap/>
            <w:vAlign w:val="center"/>
          </w:tcPr>
          <w:p>
            <w:pPr>
              <w:spacing w:line="500" w:lineRule="exact"/>
              <w:ind w:firstLine="0" w:firstLineChars="0"/>
              <w:rPr>
                <w:b/>
                <w:color w:val="auto"/>
                <w:szCs w:val="24"/>
                <w:highlight w:val="none"/>
              </w:rPr>
            </w:pPr>
            <w:r>
              <w:rPr>
                <w:rFonts w:hint="eastAsia"/>
                <w:b/>
                <w:color w:val="auto"/>
                <w:szCs w:val="24"/>
                <w:highlight w:val="none"/>
              </w:rPr>
              <w:t>1.1</w:t>
            </w:r>
            <w:r>
              <w:rPr>
                <w:b/>
                <w:color w:val="auto"/>
                <w:szCs w:val="24"/>
                <w:highlight w:val="none"/>
              </w:rPr>
              <w:t>《关于落实水污染防治行动计划实施区域差别化环境准入的指导意见》</w:t>
            </w:r>
          </w:p>
          <w:p>
            <w:pPr>
              <w:spacing w:line="500" w:lineRule="exact"/>
              <w:ind w:firstLine="480"/>
              <w:rPr>
                <w:color w:val="auto"/>
                <w:szCs w:val="24"/>
                <w:highlight w:val="none"/>
              </w:rPr>
            </w:pPr>
            <w:r>
              <w:rPr>
                <w:color w:val="auto"/>
                <w:szCs w:val="24"/>
                <w:highlight w:val="none"/>
              </w:rPr>
              <w:t>环境保护部、国家发展和改革委员会、住房和城乡建设部和水利部于2016年12月28日共同印发了《关于落实水污染防治行动计划实施区域差别化环境准入的指导意见》，其中的相关条款如下所述：</w:t>
            </w:r>
          </w:p>
          <w:p>
            <w:pPr>
              <w:spacing w:line="500" w:lineRule="exact"/>
              <w:ind w:firstLine="480"/>
              <w:rPr>
                <w:color w:val="auto"/>
                <w:szCs w:val="24"/>
                <w:highlight w:val="none"/>
              </w:rPr>
            </w:pPr>
            <w:r>
              <w:rPr>
                <w:color w:val="auto"/>
                <w:szCs w:val="24"/>
                <w:highlight w:val="none"/>
              </w:rPr>
              <w:t>优化开发区。对确有必要的符合区域功能定位的建设项目，在污染治理水平、环境标准等方面</w:t>
            </w:r>
            <w:r>
              <w:rPr>
                <w:rFonts w:hint="eastAsia"/>
                <w:color w:val="auto"/>
                <w:szCs w:val="24"/>
                <w:highlight w:val="none"/>
              </w:rPr>
              <w:t>能够达到</w:t>
            </w:r>
            <w:r>
              <w:rPr>
                <w:color w:val="auto"/>
                <w:szCs w:val="24"/>
                <w:highlight w:val="none"/>
              </w:rPr>
              <w:t>最严格的准入条件，清洁生产达到国际先进水平。保护河口和海岸湿地，加强城市重点水源地保护。环渤海地区。严格保护张家口-承德水源涵养区和滦河、洋河水源地，工业项目水污染物排放实施倍量削减，逐步淘汰搬迁现有污染企业，防范和治理富营养化。对水环境已超载的北三河、子牙河、黑龙港运东水系、京津中心城区、石家庄西部地区、衡水、沧州等区域，实施</w:t>
            </w:r>
            <w:r>
              <w:rPr>
                <w:rFonts w:hint="eastAsia" w:ascii="宋体" w:hAnsi="宋体" w:cs="宋体"/>
                <w:color w:val="auto"/>
                <w:szCs w:val="24"/>
                <w:highlight w:val="none"/>
              </w:rPr>
              <w:t>“以新带老”</w:t>
            </w:r>
            <w:r>
              <w:rPr>
                <w:color w:val="auto"/>
                <w:szCs w:val="24"/>
                <w:highlight w:val="none"/>
              </w:rPr>
              <w:t>，有效削减水污染物排放，支撑京津冀地区环境质量改善。</w:t>
            </w:r>
          </w:p>
          <w:p>
            <w:pPr>
              <w:spacing w:line="500" w:lineRule="exact"/>
              <w:ind w:firstLine="480"/>
              <w:rPr>
                <w:color w:val="auto"/>
                <w:szCs w:val="24"/>
                <w:highlight w:val="none"/>
              </w:rPr>
            </w:pPr>
            <w:r>
              <w:rPr>
                <w:color w:val="auto"/>
                <w:szCs w:val="24"/>
                <w:highlight w:val="none"/>
              </w:rPr>
              <w:t>长江三角洲地区。落实《长江经济带取水口排污口和应急水源布局规划》，沿江地区进一步严格石化、化工、印染、造纸等项目环境准入，对干流两岸一定范围内新建相关重污染项目不予环境准入，推进石化化工企业向尚有一定环境容量的沿海地区集中、绿色发展。对太湖流域新建原料化工、染料、颜料及排放氮磷污染物的工业项目，不予环境准入；实施江、湖一体的氮、磷污染控制，防范和治理江、湖富营养化。严格沿江港口码头项目环境准入，强化环境风险防范措施。</w:t>
            </w:r>
          </w:p>
          <w:p>
            <w:pPr>
              <w:spacing w:line="500" w:lineRule="exact"/>
              <w:ind w:firstLine="482"/>
              <w:rPr>
                <w:b/>
                <w:bCs/>
                <w:color w:val="auto"/>
                <w:szCs w:val="24"/>
                <w:highlight w:val="none"/>
              </w:rPr>
            </w:pPr>
            <w:r>
              <w:rPr>
                <w:b/>
                <w:bCs/>
                <w:color w:val="auto"/>
                <w:szCs w:val="24"/>
                <w:highlight w:val="none"/>
              </w:rPr>
              <w:t>符合性分析：</w:t>
            </w:r>
          </w:p>
          <w:p>
            <w:pPr>
              <w:spacing w:line="500" w:lineRule="exact"/>
              <w:ind w:firstLine="480"/>
              <w:rPr>
                <w:color w:val="auto"/>
                <w:szCs w:val="24"/>
                <w:highlight w:val="none"/>
              </w:rPr>
            </w:pPr>
            <w:r>
              <w:rPr>
                <w:rFonts w:hint="eastAsia"/>
                <w:color w:val="auto"/>
                <w:szCs w:val="24"/>
                <w:highlight w:val="none"/>
              </w:rPr>
              <w:t>本项目生产的产品为特种砂浆，所属行业类别为其他建筑材料制造，不属于新建</w:t>
            </w:r>
            <w:r>
              <w:rPr>
                <w:color w:val="auto"/>
                <w:szCs w:val="24"/>
                <w:highlight w:val="none"/>
              </w:rPr>
              <w:t>原料化工、</w:t>
            </w:r>
            <w:r>
              <w:rPr>
                <w:rFonts w:hint="eastAsia"/>
                <w:color w:val="auto"/>
                <w:szCs w:val="24"/>
                <w:highlight w:val="none"/>
              </w:rPr>
              <w:t>染</w:t>
            </w:r>
            <w:r>
              <w:rPr>
                <w:color w:val="auto"/>
                <w:szCs w:val="24"/>
                <w:highlight w:val="none"/>
              </w:rPr>
              <w:t>料、颜料及排放氮磷污染物的工业项目</w:t>
            </w:r>
            <w:r>
              <w:rPr>
                <w:rFonts w:hint="eastAsia"/>
                <w:color w:val="auto"/>
                <w:szCs w:val="24"/>
                <w:highlight w:val="none"/>
              </w:rPr>
              <w:t>。营运期生活污水经化粪池预处理后，委托清运至德清县乾元污水处理有限公司集中处理，达标排放。因此，项目建设符合《</w:t>
            </w:r>
            <w:r>
              <w:rPr>
                <w:color w:val="auto"/>
                <w:szCs w:val="24"/>
                <w:highlight w:val="none"/>
              </w:rPr>
              <w:t>关于落实水污染防治行动计划实施区域差别化环境准入的指导意见</w:t>
            </w:r>
            <w:r>
              <w:rPr>
                <w:rFonts w:hint="eastAsia"/>
                <w:color w:val="auto"/>
                <w:szCs w:val="24"/>
                <w:highlight w:val="none"/>
              </w:rPr>
              <w:t>》要求。</w:t>
            </w:r>
          </w:p>
          <w:p>
            <w:pPr>
              <w:spacing w:line="500" w:lineRule="exact"/>
              <w:ind w:firstLine="0" w:firstLineChars="0"/>
              <w:rPr>
                <w:color w:val="auto"/>
                <w:szCs w:val="24"/>
                <w:highlight w:val="none"/>
              </w:rPr>
            </w:pPr>
            <w:r>
              <w:rPr>
                <w:rFonts w:hint="eastAsia"/>
                <w:b/>
                <w:bCs/>
                <w:color w:val="auto"/>
                <w:szCs w:val="24"/>
                <w:highlight w:val="none"/>
              </w:rPr>
              <w:t>1.2</w:t>
            </w:r>
            <w:r>
              <w:rPr>
                <w:b/>
                <w:bCs/>
                <w:color w:val="auto"/>
                <w:szCs w:val="24"/>
                <w:highlight w:val="none"/>
              </w:rPr>
              <w:t>《太湖流域管理条例》</w:t>
            </w:r>
          </w:p>
          <w:p>
            <w:pPr>
              <w:spacing w:line="500" w:lineRule="exact"/>
              <w:ind w:firstLine="480"/>
              <w:rPr>
                <w:bCs/>
                <w:color w:val="auto"/>
                <w:szCs w:val="24"/>
                <w:highlight w:val="none"/>
              </w:rPr>
            </w:pPr>
            <w:r>
              <w:rPr>
                <w:bCs/>
                <w:color w:val="auto"/>
                <w:szCs w:val="24"/>
                <w:highlight w:val="none"/>
              </w:rPr>
              <w:t>对照条例的准入要求，本项目的符合性分析见表</w:t>
            </w:r>
            <w:r>
              <w:rPr>
                <w:rFonts w:hint="eastAsia"/>
                <w:bCs/>
                <w:color w:val="auto"/>
                <w:szCs w:val="24"/>
                <w:highlight w:val="none"/>
              </w:rPr>
              <w:t>1-1</w:t>
            </w:r>
            <w:r>
              <w:rPr>
                <w:bCs/>
                <w:color w:val="auto"/>
                <w:szCs w:val="24"/>
                <w:highlight w:val="none"/>
              </w:rPr>
              <w:t>。</w:t>
            </w:r>
          </w:p>
          <w:p>
            <w:pPr>
              <w:spacing w:line="460" w:lineRule="exact"/>
              <w:ind w:firstLine="422"/>
              <w:jc w:val="center"/>
              <w:rPr>
                <w:b/>
                <w:bCs/>
                <w:snapToGrid w:val="0"/>
                <w:color w:val="auto"/>
                <w:sz w:val="21"/>
                <w:szCs w:val="21"/>
                <w:highlight w:val="none"/>
              </w:rPr>
            </w:pPr>
            <w:r>
              <w:rPr>
                <w:b/>
                <w:bCs/>
                <w:snapToGrid w:val="0"/>
                <w:color w:val="auto"/>
                <w:sz w:val="21"/>
                <w:szCs w:val="21"/>
                <w:highlight w:val="none"/>
              </w:rPr>
              <w:t>表</w:t>
            </w:r>
            <w:r>
              <w:rPr>
                <w:rFonts w:hint="eastAsia"/>
                <w:b/>
                <w:bCs/>
                <w:snapToGrid w:val="0"/>
                <w:color w:val="auto"/>
                <w:sz w:val="21"/>
                <w:szCs w:val="21"/>
                <w:highlight w:val="none"/>
              </w:rPr>
              <w:t xml:space="preserve">1-1 </w:t>
            </w:r>
            <w:r>
              <w:rPr>
                <w:b/>
                <w:bCs/>
                <w:snapToGrid w:val="0"/>
                <w:color w:val="auto"/>
                <w:sz w:val="21"/>
                <w:szCs w:val="21"/>
                <w:highlight w:val="none"/>
              </w:rPr>
              <w:t>条例符合性分析</w:t>
            </w:r>
          </w:p>
          <w:tbl>
            <w:tblPr>
              <w:tblStyle w:val="30"/>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3775"/>
              <w:gridCol w:w="2561"/>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1"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4062"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要求</w:t>
                  </w:r>
                </w:p>
              </w:tc>
              <w:tc>
                <w:tcPr>
                  <w:tcW w:w="2750"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项目情况</w:t>
                  </w:r>
                </w:p>
              </w:tc>
              <w:tc>
                <w:tcPr>
                  <w:tcW w:w="862"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1"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4062" w:type="dxa"/>
                  <w:vAlign w:val="center"/>
                </w:tcPr>
                <w:p>
                  <w:pPr>
                    <w:spacing w:line="240" w:lineRule="auto"/>
                    <w:ind w:firstLine="0" w:firstLineChars="0"/>
                    <w:rPr>
                      <w:bCs/>
                      <w:color w:val="auto"/>
                      <w:sz w:val="21"/>
                      <w:szCs w:val="21"/>
                      <w:highlight w:val="none"/>
                    </w:rPr>
                  </w:pPr>
                  <w:r>
                    <w:rPr>
                      <w:color w:val="auto"/>
                      <w:sz w:val="21"/>
                      <w:szCs w:val="21"/>
                      <w:highlight w:val="none"/>
                    </w:rPr>
                    <w:t>排污单位排放水污染物，不得超过经核定的水污染物排放总量，并应当按照规定设置便于检查、采样的规范化排污口，悬挂标志牌；不得私设暗管或者采取其他规避监管的方式排放水污染物。</w:t>
                  </w:r>
                </w:p>
              </w:tc>
              <w:tc>
                <w:tcPr>
                  <w:tcW w:w="2750" w:type="dxa"/>
                  <w:vAlign w:val="center"/>
                </w:tcPr>
                <w:p>
                  <w:pPr>
                    <w:spacing w:line="240" w:lineRule="auto"/>
                    <w:ind w:firstLine="0" w:firstLineChars="0"/>
                    <w:rPr>
                      <w:color w:val="auto"/>
                      <w:sz w:val="21"/>
                      <w:szCs w:val="21"/>
                      <w:highlight w:val="none"/>
                    </w:rPr>
                  </w:pPr>
                  <w:r>
                    <w:rPr>
                      <w:color w:val="auto"/>
                      <w:sz w:val="21"/>
                      <w:szCs w:val="21"/>
                      <w:highlight w:val="none"/>
                    </w:rPr>
                    <w:t>项目严格</w:t>
                  </w:r>
                  <w:r>
                    <w:rPr>
                      <w:rFonts w:hint="eastAsia"/>
                      <w:color w:val="auto"/>
                      <w:sz w:val="21"/>
                      <w:szCs w:val="21"/>
                      <w:highlight w:val="none"/>
                    </w:rPr>
                    <w:t>执行</w:t>
                  </w:r>
                  <w:r>
                    <w:rPr>
                      <w:color w:val="auto"/>
                      <w:sz w:val="21"/>
                      <w:szCs w:val="21"/>
                      <w:highlight w:val="none"/>
                    </w:rPr>
                    <w:t>总量控制，将设置规范化排污口，并设置标识牌。</w:t>
                  </w:r>
                </w:p>
              </w:tc>
              <w:tc>
                <w:tcPr>
                  <w:tcW w:w="862"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1" w:type="dxa"/>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4062" w:type="dxa"/>
                  <w:vAlign w:val="center"/>
                </w:tcPr>
                <w:p>
                  <w:pPr>
                    <w:spacing w:line="240" w:lineRule="auto"/>
                    <w:ind w:firstLine="0" w:firstLineChars="0"/>
                    <w:rPr>
                      <w:color w:val="auto"/>
                      <w:sz w:val="21"/>
                      <w:szCs w:val="21"/>
                      <w:highlight w:val="none"/>
                    </w:rPr>
                  </w:pPr>
                  <w:r>
                    <w:rPr>
                      <w:color w:val="auto"/>
                      <w:sz w:val="21"/>
                      <w:szCs w:val="21"/>
                      <w:highlight w:val="none"/>
                    </w:rPr>
                    <w:t>禁止在太湖流域设置不符合国家产业政策和水环境综合治理要求的造纸、制革、酒精、淀粉、冶金、酿造、印染、电镀等排放水污染物的生产项目，现有的生产项目不能实现达标排放的，应当依法关闭。</w:t>
                  </w:r>
                </w:p>
              </w:tc>
              <w:tc>
                <w:tcPr>
                  <w:tcW w:w="2750" w:type="dxa"/>
                  <w:vAlign w:val="center"/>
                </w:tcPr>
                <w:p>
                  <w:pPr>
                    <w:spacing w:line="240" w:lineRule="auto"/>
                    <w:ind w:firstLine="0" w:firstLineChars="0"/>
                    <w:rPr>
                      <w:color w:val="auto"/>
                      <w:sz w:val="21"/>
                      <w:szCs w:val="21"/>
                      <w:highlight w:val="none"/>
                    </w:rPr>
                  </w:pPr>
                  <w:r>
                    <w:rPr>
                      <w:color w:val="auto"/>
                      <w:sz w:val="21"/>
                      <w:szCs w:val="21"/>
                      <w:highlight w:val="none"/>
                    </w:rPr>
                    <w:t>项目为新建</w:t>
                  </w:r>
                  <w:r>
                    <w:rPr>
                      <w:rFonts w:hint="eastAsia"/>
                      <w:color w:val="auto"/>
                      <w:sz w:val="21"/>
                      <w:szCs w:val="21"/>
                      <w:highlight w:val="none"/>
                    </w:rPr>
                    <w:t>，属于其他建筑材料制造</w:t>
                  </w:r>
                  <w:r>
                    <w:rPr>
                      <w:color w:val="auto"/>
                      <w:sz w:val="21"/>
                      <w:szCs w:val="21"/>
                      <w:highlight w:val="none"/>
                    </w:rPr>
                    <w:t>，不属于条例中禁止设置的行业。</w:t>
                  </w:r>
                </w:p>
              </w:tc>
              <w:tc>
                <w:tcPr>
                  <w:tcW w:w="862"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1" w:type="dxa"/>
                  <w:vAlign w:val="center"/>
                </w:tcPr>
                <w:p>
                  <w:pPr>
                    <w:spacing w:line="240" w:lineRule="auto"/>
                    <w:ind w:firstLine="0" w:firstLineChars="0"/>
                    <w:jc w:val="center"/>
                    <w:rPr>
                      <w:color w:val="auto"/>
                      <w:sz w:val="21"/>
                      <w:szCs w:val="21"/>
                      <w:highlight w:val="none"/>
                    </w:rPr>
                  </w:pPr>
                  <w:r>
                    <w:rPr>
                      <w:color w:val="auto"/>
                      <w:sz w:val="21"/>
                      <w:szCs w:val="21"/>
                      <w:highlight w:val="none"/>
                    </w:rPr>
                    <w:t>3</w:t>
                  </w:r>
                </w:p>
              </w:tc>
              <w:tc>
                <w:tcPr>
                  <w:tcW w:w="4062" w:type="dxa"/>
                  <w:vAlign w:val="center"/>
                </w:tcPr>
                <w:p>
                  <w:pPr>
                    <w:spacing w:line="240" w:lineRule="auto"/>
                    <w:ind w:firstLine="0" w:firstLineChars="0"/>
                    <w:rPr>
                      <w:color w:val="auto"/>
                      <w:sz w:val="21"/>
                      <w:szCs w:val="21"/>
                      <w:highlight w:val="none"/>
                    </w:rPr>
                  </w:pPr>
                  <w:r>
                    <w:rPr>
                      <w:color w:val="auto"/>
                      <w:sz w:val="21"/>
                      <w:szCs w:val="21"/>
                      <w:highlight w:val="none"/>
                    </w:rPr>
                    <w:t>在太湖流域新设企业应当符合国家规定的清洁生产要求，现有的企业尚未达到清洁生产要求的，应当按照清洁生产规划要求进行技术改造，两省一市人民政府应当加强监督检查。</w:t>
                  </w:r>
                </w:p>
              </w:tc>
              <w:tc>
                <w:tcPr>
                  <w:tcW w:w="2750" w:type="dxa"/>
                  <w:vAlign w:val="center"/>
                </w:tcPr>
                <w:p>
                  <w:pPr>
                    <w:spacing w:line="240" w:lineRule="auto"/>
                    <w:ind w:firstLine="0" w:firstLineChars="0"/>
                    <w:rPr>
                      <w:color w:val="auto"/>
                      <w:sz w:val="21"/>
                      <w:szCs w:val="21"/>
                      <w:highlight w:val="none"/>
                    </w:rPr>
                  </w:pPr>
                  <w:r>
                    <w:rPr>
                      <w:color w:val="auto"/>
                      <w:sz w:val="21"/>
                      <w:szCs w:val="21"/>
                      <w:highlight w:val="none"/>
                    </w:rPr>
                    <w:t>项目</w:t>
                  </w:r>
                  <w:r>
                    <w:rPr>
                      <w:rFonts w:hint="eastAsia"/>
                      <w:color w:val="auto"/>
                      <w:sz w:val="21"/>
                      <w:szCs w:val="21"/>
                      <w:highlight w:val="none"/>
                    </w:rPr>
                    <w:t>能够达到</w:t>
                  </w:r>
                  <w:r>
                    <w:rPr>
                      <w:color w:val="auto"/>
                      <w:sz w:val="21"/>
                      <w:szCs w:val="21"/>
                      <w:highlight w:val="none"/>
                    </w:rPr>
                    <w:t>国家规定的清洁生产要求。</w:t>
                  </w:r>
                </w:p>
              </w:tc>
              <w:tc>
                <w:tcPr>
                  <w:tcW w:w="862"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1" w:type="dxa"/>
                  <w:vAlign w:val="center"/>
                </w:tcPr>
                <w:p>
                  <w:pPr>
                    <w:spacing w:line="240" w:lineRule="auto"/>
                    <w:ind w:firstLine="0" w:firstLineChars="0"/>
                    <w:jc w:val="center"/>
                    <w:rPr>
                      <w:color w:val="auto"/>
                      <w:sz w:val="21"/>
                      <w:szCs w:val="21"/>
                      <w:highlight w:val="none"/>
                    </w:rPr>
                  </w:pPr>
                  <w:r>
                    <w:rPr>
                      <w:color w:val="auto"/>
                      <w:sz w:val="21"/>
                      <w:szCs w:val="21"/>
                      <w:highlight w:val="none"/>
                    </w:rPr>
                    <w:t>4</w:t>
                  </w:r>
                </w:p>
              </w:tc>
              <w:tc>
                <w:tcPr>
                  <w:tcW w:w="4062" w:type="dxa"/>
                  <w:vAlign w:val="center"/>
                </w:tcPr>
                <w:p>
                  <w:pPr>
                    <w:spacing w:line="240" w:lineRule="auto"/>
                    <w:ind w:firstLine="0" w:firstLineChars="0"/>
                    <w:rPr>
                      <w:color w:val="auto"/>
                      <w:sz w:val="21"/>
                      <w:szCs w:val="21"/>
                      <w:highlight w:val="none"/>
                    </w:rPr>
                  </w:pPr>
                  <w:r>
                    <w:rPr>
                      <w:color w:val="auto"/>
                      <w:sz w:val="21"/>
                      <w:szCs w:val="21"/>
                      <w:highlight w:val="none"/>
                    </w:rPr>
                    <w:t>第二十九条 新孟河、望虞河以外的其他主要入太湖河道，自河口1万米上溯至5万米河道岸线内及其岸线两侧各1000米范围内，禁止下列行为：</w:t>
                  </w:r>
                </w:p>
                <w:p>
                  <w:pPr>
                    <w:spacing w:line="240" w:lineRule="auto"/>
                    <w:ind w:firstLine="0" w:firstLineChars="0"/>
                    <w:rPr>
                      <w:color w:val="auto"/>
                      <w:sz w:val="21"/>
                      <w:szCs w:val="21"/>
                      <w:highlight w:val="none"/>
                    </w:rPr>
                  </w:pPr>
                  <w:r>
                    <w:rPr>
                      <w:color w:val="auto"/>
                      <w:sz w:val="21"/>
                      <w:szCs w:val="21"/>
                      <w:highlight w:val="none"/>
                    </w:rPr>
                    <w:t>（一）新建、扩建化工、医药生产项目；</w:t>
                  </w:r>
                </w:p>
                <w:p>
                  <w:pPr>
                    <w:spacing w:line="240" w:lineRule="auto"/>
                    <w:ind w:firstLine="0" w:firstLineChars="0"/>
                    <w:rPr>
                      <w:color w:val="auto"/>
                      <w:sz w:val="21"/>
                      <w:szCs w:val="21"/>
                      <w:highlight w:val="none"/>
                    </w:rPr>
                  </w:pPr>
                  <w:r>
                    <w:rPr>
                      <w:color w:val="auto"/>
                      <w:sz w:val="21"/>
                      <w:szCs w:val="21"/>
                      <w:highlight w:val="none"/>
                    </w:rPr>
                    <w:t>（二）新建、扩建污水集中处理设施排污口以外的排污口；</w:t>
                  </w:r>
                </w:p>
                <w:p>
                  <w:pPr>
                    <w:spacing w:line="240" w:lineRule="auto"/>
                    <w:ind w:firstLine="0" w:firstLineChars="0"/>
                    <w:rPr>
                      <w:color w:val="auto"/>
                      <w:sz w:val="21"/>
                      <w:szCs w:val="21"/>
                      <w:highlight w:val="none"/>
                    </w:rPr>
                  </w:pPr>
                  <w:r>
                    <w:rPr>
                      <w:color w:val="auto"/>
                      <w:sz w:val="21"/>
                      <w:szCs w:val="21"/>
                      <w:highlight w:val="none"/>
                    </w:rPr>
                    <w:t>（三）扩大水产养殖规模。</w:t>
                  </w:r>
                </w:p>
              </w:tc>
              <w:tc>
                <w:tcPr>
                  <w:tcW w:w="2750" w:type="dxa"/>
                  <w:vAlign w:val="center"/>
                </w:tcPr>
                <w:p>
                  <w:pPr>
                    <w:spacing w:line="240" w:lineRule="auto"/>
                    <w:ind w:firstLine="0" w:firstLineChars="0"/>
                    <w:rPr>
                      <w:color w:val="auto"/>
                      <w:sz w:val="21"/>
                      <w:szCs w:val="21"/>
                      <w:highlight w:val="none"/>
                    </w:rPr>
                  </w:pPr>
                  <w:r>
                    <w:rPr>
                      <w:color w:val="auto"/>
                      <w:sz w:val="21"/>
                      <w:szCs w:val="21"/>
                      <w:highlight w:val="none"/>
                    </w:rPr>
                    <w:t>项目不在主要入太湖河道1000米范围内，不属于条例划定的禁建范围。</w:t>
                  </w:r>
                </w:p>
              </w:tc>
              <w:tc>
                <w:tcPr>
                  <w:tcW w:w="862"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bl>
          <w:p>
            <w:pPr>
              <w:widowControl/>
              <w:spacing w:line="500" w:lineRule="exact"/>
              <w:ind w:firstLine="480"/>
              <w:rPr>
                <w:color w:val="auto"/>
                <w:szCs w:val="24"/>
                <w:highlight w:val="none"/>
              </w:rPr>
            </w:pPr>
            <w:r>
              <w:rPr>
                <w:color w:val="auto"/>
                <w:szCs w:val="24"/>
                <w:highlight w:val="none"/>
              </w:rPr>
              <w:t>综上所述，本项目的建设符合《太湖流域管理条例》中的相应要求。</w:t>
            </w:r>
          </w:p>
          <w:p>
            <w:pPr>
              <w:widowControl/>
              <w:spacing w:line="500" w:lineRule="exact"/>
              <w:ind w:firstLine="0" w:firstLineChars="0"/>
              <w:rPr>
                <w:b/>
                <w:snapToGrid w:val="0"/>
                <w:color w:val="auto"/>
                <w:szCs w:val="24"/>
                <w:highlight w:val="none"/>
              </w:rPr>
            </w:pPr>
            <w:r>
              <w:rPr>
                <w:rFonts w:hint="eastAsia"/>
                <w:b/>
                <w:bCs/>
                <w:color w:val="auto"/>
                <w:szCs w:val="24"/>
                <w:highlight w:val="none"/>
              </w:rPr>
              <w:t>1.3</w:t>
            </w:r>
            <w:r>
              <w:rPr>
                <w:b/>
                <w:snapToGrid w:val="0"/>
                <w:color w:val="auto"/>
                <w:szCs w:val="24"/>
                <w:highlight w:val="none"/>
              </w:rPr>
              <w:t>《&lt;长江经济带发展负面清单指南（试行）&gt;浙江省实施细则》</w:t>
            </w:r>
          </w:p>
          <w:p>
            <w:pPr>
              <w:spacing w:line="460" w:lineRule="exact"/>
              <w:ind w:firstLine="0" w:firstLineChars="0"/>
              <w:jc w:val="center"/>
              <w:rPr>
                <w:color w:val="auto"/>
                <w:sz w:val="21"/>
                <w:szCs w:val="21"/>
                <w:highlight w:val="none"/>
              </w:rPr>
            </w:pPr>
            <w:r>
              <w:rPr>
                <w:rFonts w:hint="eastAsia"/>
                <w:b/>
                <w:snapToGrid w:val="0"/>
                <w:color w:val="auto"/>
                <w:sz w:val="21"/>
                <w:szCs w:val="21"/>
                <w:highlight w:val="none"/>
              </w:rPr>
              <w:t xml:space="preserve">表1-2 </w:t>
            </w:r>
            <w:r>
              <w:rPr>
                <w:b/>
                <w:snapToGrid w:val="0"/>
                <w:color w:val="auto"/>
                <w:sz w:val="21"/>
                <w:szCs w:val="21"/>
                <w:highlight w:val="none"/>
              </w:rPr>
              <w:t>《&lt;长江经济带发展负面清单指南（试行）&gt;浙江省实施细则》</w:t>
            </w:r>
            <w:r>
              <w:rPr>
                <w:rFonts w:hint="eastAsia"/>
                <w:b/>
                <w:snapToGrid w:val="0"/>
                <w:color w:val="auto"/>
                <w:sz w:val="21"/>
                <w:szCs w:val="21"/>
                <w:highlight w:val="none"/>
              </w:rPr>
              <w:t>符合性分析表</w:t>
            </w:r>
          </w:p>
          <w:tbl>
            <w:tblPr>
              <w:tblStyle w:val="30"/>
              <w:tblW w:w="79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7"/>
              <w:gridCol w:w="4369"/>
              <w:gridCol w:w="2302"/>
              <w:gridCol w:w="7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
                      <w:color w:val="auto"/>
                      <w:sz w:val="21"/>
                      <w:szCs w:val="21"/>
                      <w:highlight w:val="none"/>
                    </w:rPr>
                  </w:pPr>
                  <w:r>
                    <w:rPr>
                      <w:b/>
                      <w:color w:val="auto"/>
                      <w:kern w:val="0"/>
                      <w:sz w:val="21"/>
                      <w:szCs w:val="21"/>
                      <w:highlight w:val="none"/>
                    </w:rPr>
                    <w:t>序号</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color w:val="auto"/>
                      <w:sz w:val="21"/>
                      <w:szCs w:val="21"/>
                      <w:highlight w:val="none"/>
                    </w:rPr>
                  </w:pPr>
                  <w:r>
                    <w:rPr>
                      <w:b/>
                      <w:color w:val="auto"/>
                      <w:kern w:val="0"/>
                      <w:sz w:val="21"/>
                      <w:szCs w:val="21"/>
                      <w:highlight w:val="none"/>
                    </w:rPr>
                    <w:t>细则要求</w:t>
                  </w: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项目情况</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
                      <w:bCs/>
                      <w:color w:val="auto"/>
                      <w:sz w:val="21"/>
                      <w:szCs w:val="21"/>
                      <w:highlight w:val="none"/>
                    </w:rPr>
                  </w:pPr>
                  <w:r>
                    <w:rPr>
                      <w:b/>
                      <w:bCs/>
                      <w:color w:val="auto"/>
                      <w:sz w:val="21"/>
                      <w:szCs w:val="21"/>
                      <w:highlight w:val="none"/>
                    </w:rPr>
                    <w:t>是否</w:t>
                  </w:r>
                </w:p>
                <w:p>
                  <w:pPr>
                    <w:spacing w:line="240" w:lineRule="auto"/>
                    <w:ind w:firstLine="0" w:firstLineChars="0"/>
                    <w:rPr>
                      <w:b/>
                      <w:bCs/>
                      <w:color w:val="auto"/>
                      <w:sz w:val="21"/>
                      <w:szCs w:val="21"/>
                      <w:highlight w:val="none"/>
                    </w:rPr>
                  </w:pPr>
                  <w:r>
                    <w:rPr>
                      <w:b/>
                      <w:bCs/>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1</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港口码头项目建设必须严格遵守《中华人民共和国港口法》、交通运输部《港口规划管理规定》、《港口工程建设管理规定》以及《浙江省港口管理条例》的规定。</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本项目不涉及港口、码头建设内容。</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2</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禁止建设不符合《全国沿海港口布局规划》、《全国内河航道与港口布局规划》、《浙江省沿海港口布局规划》、《浙江省内河航运发展规划》以及项目所在地港口总体规划的港口码头项目。</w:t>
                  </w: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highlight w:val="none"/>
                    </w:rPr>
                  </w:pPr>
                  <w:r>
                    <w:rPr>
                      <w:color w:val="auto"/>
                      <w:kern w:val="0"/>
                      <w:sz w:val="21"/>
                      <w:szCs w:val="21"/>
                      <w:highlight w:val="none"/>
                    </w:rPr>
                    <w:t>本项目不涉及港口、码头建设内容。</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3</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在自然保护区核心区、缓冲区的岸线和河段范围内投资建设旅游和生产经营项目。禁止在风景名胜区核心景区的岸线和河段范围内投资建设与风景名胜资源保护无关的项目。禁止在森林公园的岸线和河段范围内毁林开垦和毁林采石、采砂、采土以及其他毁林行为。禁止在地质公园的岸线和河段范围内以及可能对地质公园造成影响的周边地区采石、取土、开矿、放牧、砍伐以及其他对保护对象有损害的活动。禁止在</w:t>
                  </w:r>
                  <w:r>
                    <w:rPr>
                      <w:color w:val="auto"/>
                      <w:sz w:val="21"/>
                      <w:szCs w:val="21"/>
                      <w:highlight w:val="none"/>
                    </w:rPr>
                    <w:t>I</w:t>
                  </w:r>
                  <w:r>
                    <w:rPr>
                      <w:color w:val="auto"/>
                      <w:kern w:val="0"/>
                      <w:sz w:val="21"/>
                      <w:szCs w:val="21"/>
                      <w:highlight w:val="none"/>
                    </w:rPr>
                    <w:t>级林地、一级国家级公益林内建设项目。自然保护区核心区、缓冲区、风景名胜区核心景区、森林公园、地质公园等由林业主管部门会同相关管理机构界定。</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于德清县乾元镇苕溪东街1155号</w:t>
                  </w:r>
                  <w:r>
                    <w:rPr>
                      <w:color w:val="auto"/>
                      <w:sz w:val="21"/>
                      <w:szCs w:val="21"/>
                      <w:highlight w:val="none"/>
                    </w:rPr>
                    <w:t>，</w:t>
                  </w:r>
                  <w:r>
                    <w:rPr>
                      <w:color w:val="auto"/>
                      <w:kern w:val="0"/>
                      <w:sz w:val="21"/>
                      <w:szCs w:val="21"/>
                      <w:highlight w:val="none"/>
                    </w:rPr>
                    <w:t>不在自然保护区核心区、缓冲区、风景名胜区核心景区、森林公园、地质公园的岸线和河段范围内，不在可能对地质公园造成影响的周边地区内，也不在</w:t>
                  </w:r>
                  <w:r>
                    <w:rPr>
                      <w:color w:val="auto"/>
                      <w:sz w:val="21"/>
                      <w:szCs w:val="21"/>
                      <w:highlight w:val="none"/>
                    </w:rPr>
                    <w:t>I</w:t>
                  </w:r>
                  <w:r>
                    <w:rPr>
                      <w:color w:val="auto"/>
                      <w:kern w:val="0"/>
                      <w:sz w:val="21"/>
                      <w:szCs w:val="21"/>
                      <w:highlight w:val="none"/>
                    </w:rPr>
                    <w:t>级林地、一级国家级公益林内。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4</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在海洋特别保护区内：禁止擅自改变海岸、 海底地形地貌及其他自然生态条件，严控炸岛、炸礁、采砂、围填海、采伐林木等改变海岸、海底地形地貌或严重影响海洋生态环境的开发利用行为；重点保护区内禁止实施与保护无关的工程建设活动，预留区内禁止实施改变自然生态条件的生产活动和任何形式的工程建设活动；海洋公园内禁止建设宾馆、招待所、疗养院等工程设施，禁止开设与海洋公园保护目标不一致的参观、旅游项目。</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于德清县乾元镇苕溪东街1155号</w:t>
                  </w:r>
                  <w:r>
                    <w:rPr>
                      <w:color w:val="auto"/>
                      <w:sz w:val="21"/>
                      <w:szCs w:val="21"/>
                      <w:highlight w:val="none"/>
                    </w:rPr>
                    <w:t>，</w:t>
                  </w:r>
                  <w:r>
                    <w:rPr>
                      <w:color w:val="auto"/>
                      <w:kern w:val="0"/>
                      <w:sz w:val="21"/>
                      <w:szCs w:val="21"/>
                      <w:highlight w:val="none"/>
                    </w:rPr>
                    <w:t>不在海洋特别保护区内。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5</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在饮用水水源一级保护区的岸线和河段范围内：禁止新建、改建、扩建与供水设施和保护水源无关的项目；禁止网箱养殖、投饵式养殖、旅游、使用化肥和农药等可能污染饮用水水体的投资建设项目；禁止游泳、垂钓以及其他可能污染水源的活动；禁止停泊与保护水源无关的船舶。</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于德清县乾元镇苕溪东街1155号</w:t>
                  </w:r>
                  <w:r>
                    <w:rPr>
                      <w:rFonts w:hint="eastAsia"/>
                      <w:bCs/>
                      <w:color w:val="auto"/>
                      <w:sz w:val="21"/>
                      <w:szCs w:val="21"/>
                      <w:highlight w:val="none"/>
                    </w:rPr>
                    <w:t>，</w:t>
                  </w:r>
                  <w:r>
                    <w:rPr>
                      <w:color w:val="auto"/>
                      <w:kern w:val="0"/>
                      <w:sz w:val="21"/>
                      <w:szCs w:val="21"/>
                      <w:highlight w:val="none"/>
                    </w:rPr>
                    <w:t>不在饮用水水源一级保护区的岸线和河段范围内。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6</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在饮用水水源二级保护区的岸线和河段范围内：禁止新建、改建、扩建排放污染物的投资建设项目；禁止网箱养殖、使用高毒、高残留农药等可能污染饮用水水体的投资建设项目；禁止设置排污口，禁止危险货物水上过驳作业；禁止贮存、堆放固体废物和其他污染物，禁止排放船舶洗舱水、压载水等船舶污染物，禁止冲洗船舶甲板；从事旅游活动的，应当按照规定采取措施，防止污染饮用水水体。</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于德清县乾元镇苕溪东街1155号</w:t>
                  </w:r>
                  <w:r>
                    <w:rPr>
                      <w:rFonts w:hint="eastAsia"/>
                      <w:bCs/>
                      <w:color w:val="auto"/>
                      <w:sz w:val="21"/>
                      <w:szCs w:val="21"/>
                      <w:highlight w:val="none"/>
                    </w:rPr>
                    <w:t>，</w:t>
                  </w:r>
                  <w:r>
                    <w:rPr>
                      <w:color w:val="auto"/>
                      <w:kern w:val="0"/>
                      <w:sz w:val="21"/>
                      <w:szCs w:val="21"/>
                      <w:highlight w:val="none"/>
                    </w:rPr>
                    <w:t>不在</w:t>
                  </w:r>
                  <w:r>
                    <w:rPr>
                      <w:color w:val="auto"/>
                      <w:sz w:val="21"/>
                      <w:szCs w:val="21"/>
                      <w:highlight w:val="none"/>
                    </w:rPr>
                    <w:t>饮用水水源二级保护区的岸线和河段范围内。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7</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在饮用水水源准保护区的岸线和河段范围内：禁止新建、扩建水上加油站、油库、规模化畜禽养殖场等严重污染水体的建设项目，或者改建增加排污量的建设项目；禁止设置装卸垃圾、粪便、油类和有毒物品的码头；禁止运输剧毒物品、危险废物以及国家规定禁止通过内河运输的其他危险化学品。</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于德清县乾元镇苕溪东街1155号</w:t>
                  </w:r>
                  <w:r>
                    <w:rPr>
                      <w:color w:val="auto"/>
                      <w:sz w:val="21"/>
                      <w:szCs w:val="21"/>
                      <w:highlight w:val="none"/>
                    </w:rPr>
                    <w:t>，</w:t>
                  </w:r>
                  <w:r>
                    <w:rPr>
                      <w:color w:val="auto"/>
                      <w:kern w:val="0"/>
                      <w:sz w:val="21"/>
                      <w:szCs w:val="21"/>
                      <w:highlight w:val="none"/>
                    </w:rPr>
                    <w:t>不在</w:t>
                  </w:r>
                  <w:r>
                    <w:rPr>
                      <w:color w:val="auto"/>
                      <w:sz w:val="21"/>
                      <w:szCs w:val="21"/>
                      <w:highlight w:val="none"/>
                    </w:rPr>
                    <w:t>饮用水水源准保护区的岸线和河段范围内。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8</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禁止在水产种质资源保护区的岸线和河段范围内新建排污口，以及围垦河道、围湖造田、围海造地或围填海等投资建设项目。因江河治理确需围垦河道的，须论证后经省水利厅审查同意，报省人民政府批准。已经围湖造田的，须按照国家规定的防洪标准进行治理，有计划退田还湖。</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于德清县乾元镇苕溪东街1155号</w:t>
                  </w:r>
                  <w:r>
                    <w:rPr>
                      <w:color w:val="auto"/>
                      <w:sz w:val="21"/>
                      <w:szCs w:val="21"/>
                      <w:highlight w:val="none"/>
                    </w:rPr>
                    <w:t>，</w:t>
                  </w:r>
                  <w:r>
                    <w:rPr>
                      <w:color w:val="auto"/>
                      <w:kern w:val="0"/>
                      <w:sz w:val="21"/>
                      <w:szCs w:val="21"/>
                      <w:highlight w:val="none"/>
                    </w:rPr>
                    <w:t>不在</w:t>
                  </w:r>
                  <w:r>
                    <w:rPr>
                      <w:color w:val="auto"/>
                      <w:sz w:val="21"/>
                      <w:szCs w:val="21"/>
                      <w:highlight w:val="none"/>
                    </w:rPr>
                    <w:t>水产种质资源保护区的岸线和河段范围内，全厂不新建排污口，不涉及围垦河道、围湖造田、围海造地或围填海等投资建设内容。</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9</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在国家湿地公园的岸线和河段范围内：禁止开（围）垦、填埋或者排干湿地；禁止截断湿地水源；禁止挖沙、采矿；禁止倾倒有毒有害物质、废弃物、垃圾；禁止从事房地产、度假村、高尔夫球场、风力发电、光伏发电等任何不符合主体功能定位的建设项目和开发活动；禁止破坏野生动物栖息地和迁徙通道、鱼类洄游通道，禁止滥采滥捕野生动植物；禁止引入外来物种；禁止擅自放牧、捕捞、取土、取水、排污、放生；禁止其他破坏湿地及其生态功能的活动。</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w:t>
                  </w:r>
                  <w:r>
                    <w:rPr>
                      <w:color w:val="auto"/>
                      <w:sz w:val="21"/>
                      <w:szCs w:val="21"/>
                      <w:highlight w:val="none"/>
                    </w:rPr>
                    <w:t>德清县乾元镇苕溪东街1155号</w:t>
                  </w:r>
                  <w:r>
                    <w:rPr>
                      <w:rFonts w:hint="eastAsia"/>
                      <w:bCs/>
                      <w:color w:val="auto"/>
                      <w:sz w:val="21"/>
                      <w:szCs w:val="21"/>
                      <w:highlight w:val="none"/>
                    </w:rPr>
                    <w:t>，</w:t>
                  </w:r>
                  <w:r>
                    <w:rPr>
                      <w:color w:val="auto"/>
                      <w:kern w:val="0"/>
                      <w:sz w:val="21"/>
                      <w:szCs w:val="21"/>
                      <w:highlight w:val="none"/>
                    </w:rPr>
                    <w:t>不在</w:t>
                  </w:r>
                  <w:r>
                    <w:rPr>
                      <w:color w:val="auto"/>
                      <w:sz w:val="21"/>
                      <w:szCs w:val="21"/>
                      <w:highlight w:val="none"/>
                    </w:rPr>
                    <w:t>国家湿地公园的岸线和河段范围内。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10</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w:t>
                  </w:r>
                  <w:r>
                    <w:rPr>
                      <w:color w:val="auto"/>
                      <w:sz w:val="21"/>
                      <w:szCs w:val="21"/>
                      <w:highlight w:val="none"/>
                    </w:rPr>
                    <w:t>德清县乾元镇苕溪东街1155号</w:t>
                  </w:r>
                  <w:r>
                    <w:rPr>
                      <w:rFonts w:hint="eastAsia"/>
                      <w:color w:val="auto"/>
                      <w:sz w:val="21"/>
                      <w:szCs w:val="21"/>
                      <w:highlight w:val="none"/>
                    </w:rPr>
                    <w:t>，</w:t>
                  </w:r>
                  <w:r>
                    <w:rPr>
                      <w:color w:val="auto"/>
                      <w:kern w:val="0"/>
                      <w:sz w:val="21"/>
                      <w:szCs w:val="21"/>
                      <w:highlight w:val="none"/>
                    </w:rPr>
                    <w:t>不在</w:t>
                  </w:r>
                  <w:r>
                    <w:rPr>
                      <w:color w:val="auto"/>
                      <w:sz w:val="21"/>
                      <w:szCs w:val="21"/>
                      <w:highlight w:val="none"/>
                    </w:rPr>
                    <w:t>《长江岸线保护和开发利用总体规划》划定的岸线保护区和岸线保留区内，也不在《全国重要江河湖泊水功能区划》划定的河段保护区、保留区内。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11</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在生态保护红线和永久基本农田范围内，准入条件采用正面清单管理，禁止投资建设</w:t>
                  </w:r>
                  <w:r>
                    <w:rPr>
                      <w:color w:val="auto"/>
                      <w:kern w:val="0"/>
                      <w:sz w:val="21"/>
                      <w:szCs w:val="21"/>
                      <w:highlight w:val="none"/>
                    </w:rPr>
                    <w:t>除国家重大战略资源勘查项目、生态保护修复和环境治理项目、重大基础设施项目、军事国防项目以及农牧民基本生产生活等必要的民生项目以外的项目，禁止不符合主导功能定位、对生态系统功能有扰动或破坏的各类开发活动，禁止擅自建设占用和任意改变用途。</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本项目位</w:t>
                  </w:r>
                  <w:r>
                    <w:rPr>
                      <w:bCs/>
                      <w:color w:val="auto"/>
                      <w:sz w:val="21"/>
                      <w:szCs w:val="21"/>
                      <w:highlight w:val="none"/>
                    </w:rPr>
                    <w:t>于</w:t>
                  </w:r>
                  <w:r>
                    <w:rPr>
                      <w:color w:val="auto"/>
                      <w:sz w:val="21"/>
                      <w:szCs w:val="21"/>
                      <w:highlight w:val="none"/>
                    </w:rPr>
                    <w:t>德清县乾元镇苕溪东街1155号，</w:t>
                  </w:r>
                  <w:r>
                    <w:rPr>
                      <w:color w:val="auto"/>
                      <w:kern w:val="0"/>
                      <w:sz w:val="21"/>
                      <w:szCs w:val="21"/>
                      <w:highlight w:val="none"/>
                    </w:rPr>
                    <w:t>不在</w:t>
                  </w:r>
                  <w:r>
                    <w:rPr>
                      <w:color w:val="auto"/>
                      <w:sz w:val="21"/>
                      <w:szCs w:val="21"/>
                      <w:highlight w:val="none"/>
                    </w:rPr>
                    <w:t>生态保护红线和永久基本农田范围内。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12</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禁止新建化工园区。禁止合规园区外新建、扩建钢铁、石化、化工、焦化、建材、有色等高污染项目。</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本项目生产产品为</w:t>
                  </w:r>
                  <w:r>
                    <w:rPr>
                      <w:rFonts w:hint="eastAsia"/>
                      <w:color w:val="auto"/>
                      <w:kern w:val="0"/>
                      <w:sz w:val="21"/>
                      <w:szCs w:val="21"/>
                      <w:highlight w:val="none"/>
                    </w:rPr>
                    <w:t>特种砂浆</w:t>
                  </w:r>
                  <w:r>
                    <w:rPr>
                      <w:color w:val="auto"/>
                      <w:kern w:val="0"/>
                      <w:sz w:val="21"/>
                      <w:szCs w:val="21"/>
                      <w:highlight w:val="none"/>
                    </w:rPr>
                    <w:t>，属于</w:t>
                  </w:r>
                  <w:r>
                    <w:rPr>
                      <w:rFonts w:hint="eastAsia"/>
                      <w:color w:val="auto"/>
                      <w:kern w:val="0"/>
                      <w:sz w:val="21"/>
                      <w:szCs w:val="21"/>
                      <w:highlight w:val="none"/>
                    </w:rPr>
                    <w:t>其他建筑材料制造</w:t>
                  </w:r>
                  <w:r>
                    <w:rPr>
                      <w:color w:val="auto"/>
                      <w:kern w:val="0"/>
                      <w:sz w:val="21"/>
                      <w:szCs w:val="21"/>
                      <w:highlight w:val="none"/>
                    </w:rPr>
                    <w:t>，并不属于钢铁、石化、化工、焦化、建材、有色等高污染项目</w:t>
                  </w:r>
                  <w:r>
                    <w:rPr>
                      <w:rFonts w:hint="eastAsia"/>
                      <w:color w:val="auto"/>
                      <w:kern w:val="0"/>
                      <w:sz w:val="21"/>
                      <w:szCs w:val="21"/>
                      <w:highlight w:val="none"/>
                    </w:rPr>
                    <w:t>。</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13</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禁止新建、扩建不符合国家石化、现代煤化工等产业布局规划的项目。原则上禁止新建露天矿山建设项目。</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本项目属于</w:t>
                  </w:r>
                  <w:r>
                    <w:rPr>
                      <w:rFonts w:hint="eastAsia"/>
                      <w:color w:val="auto"/>
                      <w:kern w:val="0"/>
                      <w:sz w:val="21"/>
                      <w:szCs w:val="21"/>
                      <w:highlight w:val="none"/>
                    </w:rPr>
                    <w:t>其他建筑材料制造</w:t>
                  </w:r>
                  <w:r>
                    <w:rPr>
                      <w:color w:val="auto"/>
                      <w:kern w:val="0"/>
                      <w:sz w:val="21"/>
                      <w:szCs w:val="21"/>
                      <w:highlight w:val="none"/>
                    </w:rPr>
                    <w:t>，不属于石化、现代煤化工以及露天矿山项目。</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14</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新建、扩建法律法规和相关政策明令禁止的落后产能项目，对列入《国家产业结构调整指导目录（2019年本）》淘汰类中的落后生产工艺装备、落后产品投资项目，列入《外商投资准入特别管理措施（负面清单）（2018年版）》的外商投资项目，一律不得核准、备案。禁止向落后产能项目和严重过剩产能行业项目供应土地。</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本项目产品为</w:t>
                  </w:r>
                  <w:r>
                    <w:rPr>
                      <w:rFonts w:hint="eastAsia"/>
                      <w:color w:val="auto"/>
                      <w:kern w:val="0"/>
                      <w:sz w:val="21"/>
                      <w:szCs w:val="21"/>
                      <w:highlight w:val="none"/>
                    </w:rPr>
                    <w:t>特种砂浆</w:t>
                  </w:r>
                  <w:r>
                    <w:rPr>
                      <w:color w:val="auto"/>
                      <w:kern w:val="0"/>
                      <w:sz w:val="21"/>
                      <w:szCs w:val="21"/>
                      <w:highlight w:val="none"/>
                    </w:rPr>
                    <w:t>，属于</w:t>
                  </w:r>
                  <w:r>
                    <w:rPr>
                      <w:rFonts w:hint="eastAsia"/>
                      <w:color w:val="auto"/>
                      <w:kern w:val="0"/>
                      <w:sz w:val="21"/>
                      <w:szCs w:val="21"/>
                      <w:highlight w:val="none"/>
                    </w:rPr>
                    <w:t>其他建筑材料制造</w:t>
                  </w:r>
                  <w:r>
                    <w:rPr>
                      <w:color w:val="auto"/>
                      <w:kern w:val="0"/>
                      <w:sz w:val="21"/>
                      <w:szCs w:val="21"/>
                      <w:highlight w:val="none"/>
                    </w:rPr>
                    <w:t>，不属于法律法规和相关政策明令禁止的落后产能项目，不属于列入《国家产业结构调整指导目录（2019年本）》淘汰类中的落后生产工艺装备、落后产品投资项目，不属于列入《外商投资准入特别管理措施（负面清单）（2018年版）》的外商投资项目，不属于严重过剩产能行业项目。</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15</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禁止核准、备案严重过剩产能行业新增产能项目，部门、机构禁止办理相关的土地（海域）供应、能评、环评审批和新增授信支持等业务。</w:t>
                  </w:r>
                </w:p>
              </w:tc>
              <w:tc>
                <w:tcPr>
                  <w:tcW w:w="2138" w:type="dxa"/>
                  <w:vAlign w:val="center"/>
                </w:tcPr>
                <w:p>
                  <w:pPr>
                    <w:widowControl/>
                    <w:spacing w:line="240" w:lineRule="auto"/>
                    <w:ind w:firstLine="0" w:firstLineChars="0"/>
                    <w:rPr>
                      <w:color w:val="auto"/>
                      <w:sz w:val="21"/>
                      <w:szCs w:val="21"/>
                      <w:highlight w:val="none"/>
                    </w:rPr>
                  </w:pPr>
                  <w:r>
                    <w:rPr>
                      <w:color w:val="auto"/>
                      <w:sz w:val="21"/>
                      <w:szCs w:val="21"/>
                      <w:highlight w:val="none"/>
                    </w:rPr>
                    <w:t>本项目不属于</w:t>
                  </w:r>
                  <w:r>
                    <w:rPr>
                      <w:color w:val="auto"/>
                      <w:kern w:val="0"/>
                      <w:sz w:val="21"/>
                      <w:szCs w:val="21"/>
                      <w:highlight w:val="none"/>
                    </w:rPr>
                    <w:t>严重过剩产能行业项目</w:t>
                  </w:r>
                  <w:r>
                    <w:rPr>
                      <w:color w:val="auto"/>
                      <w:sz w:val="21"/>
                      <w:szCs w:val="21"/>
                      <w:highlight w:val="none"/>
                    </w:rPr>
                    <w:t>。</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16</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禁止备案新建扩大产能的钢铁、焦化、电解铝、铸造、水泥和平板玻璃项目。钢铁、水泥、平板玻璃项目确需新建的，须制定产能置换方案并公告，实施减量或等量置换。</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项目产品为</w:t>
                  </w:r>
                  <w:r>
                    <w:rPr>
                      <w:rFonts w:hint="eastAsia"/>
                      <w:color w:val="auto"/>
                      <w:kern w:val="0"/>
                      <w:sz w:val="21"/>
                      <w:szCs w:val="21"/>
                      <w:highlight w:val="none"/>
                    </w:rPr>
                    <w:t>特种砂浆</w:t>
                  </w:r>
                  <w:r>
                    <w:rPr>
                      <w:color w:val="auto"/>
                      <w:kern w:val="0"/>
                      <w:sz w:val="21"/>
                      <w:szCs w:val="21"/>
                      <w:highlight w:val="none"/>
                    </w:rPr>
                    <w:t>，属于</w:t>
                  </w:r>
                  <w:r>
                    <w:rPr>
                      <w:rFonts w:hint="eastAsia"/>
                      <w:color w:val="auto"/>
                      <w:kern w:val="0"/>
                      <w:sz w:val="21"/>
                      <w:szCs w:val="21"/>
                      <w:highlight w:val="none"/>
                    </w:rPr>
                    <w:t>其他建筑材料制造</w:t>
                  </w:r>
                  <w:r>
                    <w:rPr>
                      <w:color w:val="auto"/>
                      <w:kern w:val="0"/>
                      <w:sz w:val="21"/>
                      <w:szCs w:val="21"/>
                      <w:highlight w:val="none"/>
                    </w:rPr>
                    <w:t>，并不属于钢铁、焦化、电解铝、铸造、水泥和平板玻璃项目。</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bl>
          <w:p>
            <w:pPr>
              <w:spacing w:line="500" w:lineRule="exact"/>
              <w:ind w:firstLine="480"/>
              <w:rPr>
                <w:b/>
                <w:color w:val="auto"/>
                <w:szCs w:val="24"/>
                <w:highlight w:val="none"/>
              </w:rPr>
            </w:pPr>
            <w:r>
              <w:rPr>
                <w:rFonts w:hint="eastAsia"/>
                <w:bCs/>
                <w:color w:val="auto"/>
                <w:szCs w:val="24"/>
                <w:highlight w:val="none"/>
              </w:rPr>
              <w:t>根据表1-2可见，</w:t>
            </w:r>
            <w:r>
              <w:rPr>
                <w:bCs/>
                <w:color w:val="auto"/>
                <w:szCs w:val="24"/>
                <w:highlight w:val="none"/>
              </w:rPr>
              <w:t>本项目符合《&lt;长江经济带发展负面清单指南（试行）&gt;浙江省实施细则》</w:t>
            </w:r>
            <w:r>
              <w:rPr>
                <w:rFonts w:hint="eastAsia"/>
                <w:bCs/>
                <w:color w:val="auto"/>
                <w:szCs w:val="24"/>
                <w:highlight w:val="none"/>
              </w:rPr>
              <w:t>。</w:t>
            </w:r>
          </w:p>
          <w:p>
            <w:pPr>
              <w:spacing w:line="500" w:lineRule="exact"/>
              <w:ind w:firstLine="0" w:firstLineChars="0"/>
              <w:rPr>
                <w:b/>
                <w:color w:val="auto"/>
                <w:szCs w:val="24"/>
                <w:highlight w:val="none"/>
              </w:rPr>
            </w:pPr>
            <w:r>
              <w:rPr>
                <w:rFonts w:hint="eastAsia"/>
                <w:b/>
                <w:color w:val="auto"/>
                <w:szCs w:val="24"/>
                <w:highlight w:val="none"/>
              </w:rPr>
              <w:t>1.4《关于以改善环境质量为核心加强环境影响评价管理的通知》（环环评[2016]150号）三线一单符合性分析</w:t>
            </w:r>
          </w:p>
          <w:p>
            <w:pPr>
              <w:spacing w:line="500" w:lineRule="exact"/>
              <w:ind w:firstLine="0" w:firstLineChars="0"/>
              <w:rPr>
                <w:b/>
                <w:color w:val="auto"/>
                <w:szCs w:val="24"/>
                <w:highlight w:val="none"/>
              </w:rPr>
            </w:pPr>
            <w:r>
              <w:rPr>
                <w:rFonts w:hint="eastAsia"/>
                <w:b/>
                <w:color w:val="auto"/>
                <w:szCs w:val="24"/>
                <w:highlight w:val="none"/>
              </w:rPr>
              <w:t>1.4.1与生态保护红线相符性分析</w:t>
            </w:r>
          </w:p>
          <w:p>
            <w:pPr>
              <w:spacing w:line="500" w:lineRule="exact"/>
              <w:ind w:firstLine="482" w:firstLineChars="0"/>
              <w:rPr>
                <w:color w:val="auto"/>
                <w:szCs w:val="24"/>
                <w:highlight w:val="none"/>
              </w:rPr>
            </w:pPr>
            <w:r>
              <w:rPr>
                <w:rFonts w:hint="eastAsia"/>
                <w:color w:val="auto"/>
                <w:szCs w:val="24"/>
                <w:highlight w:val="none"/>
              </w:rPr>
              <w:t>对照《湖州市“三线一单”生态环境分区管控方案》（湖环发〔2020〕24号），生态保护红线主要分布在安吉县西南区域、长兴县正北区域以及安吉、德清、吴兴交界区域。本项目位于德清县乾元镇苕溪东街1155号，不属于红线区域，符合生态保护红线规划要求。</w:t>
            </w:r>
          </w:p>
          <w:p>
            <w:pPr>
              <w:spacing w:line="500" w:lineRule="exact"/>
              <w:ind w:firstLine="0" w:firstLineChars="0"/>
              <w:rPr>
                <w:b/>
                <w:color w:val="auto"/>
                <w:szCs w:val="24"/>
                <w:highlight w:val="none"/>
              </w:rPr>
            </w:pPr>
            <w:r>
              <w:rPr>
                <w:rFonts w:hint="eastAsia"/>
                <w:b/>
                <w:color w:val="auto"/>
                <w:szCs w:val="24"/>
                <w:highlight w:val="none"/>
              </w:rPr>
              <w:t>1.4.2与环境质量底线的相符性分析</w:t>
            </w:r>
          </w:p>
          <w:p>
            <w:pPr>
              <w:spacing w:line="500" w:lineRule="exact"/>
              <w:ind w:firstLine="482" w:firstLineChars="0"/>
              <w:rPr>
                <w:color w:val="auto"/>
                <w:szCs w:val="24"/>
                <w:highlight w:val="none"/>
              </w:rPr>
            </w:pPr>
            <w:r>
              <w:rPr>
                <w:rFonts w:hint="eastAsia"/>
                <w:color w:val="auto"/>
                <w:szCs w:val="24"/>
                <w:highlight w:val="none"/>
              </w:rPr>
              <w:t>根据环境质量现状监测数据，项目所在区域地表水满足《地表水环境质量标准》（GB3838-2002）III类标准要求；环境空气常规污染因子空气质量均能够满足《环境空气质量标准》（GB3095-2012）二级标准；声环境满足《声环境质量标准》（GB3096-2008）3类标准要求。项目建成后，不会对环境质量造成明显影响。</w:t>
            </w:r>
          </w:p>
          <w:p>
            <w:pPr>
              <w:spacing w:line="500" w:lineRule="exact"/>
              <w:ind w:firstLine="482" w:firstLineChars="0"/>
              <w:rPr>
                <w:color w:val="auto"/>
                <w:szCs w:val="24"/>
                <w:highlight w:val="none"/>
              </w:rPr>
            </w:pPr>
            <w:r>
              <w:rPr>
                <w:rFonts w:hint="eastAsia"/>
                <w:color w:val="auto"/>
                <w:szCs w:val="24"/>
                <w:highlight w:val="none"/>
              </w:rPr>
              <w:t>综上，本项目建设符合环境质量底线要求。</w:t>
            </w:r>
          </w:p>
          <w:p>
            <w:pPr>
              <w:spacing w:line="500" w:lineRule="exact"/>
              <w:ind w:firstLine="0" w:firstLineChars="0"/>
              <w:rPr>
                <w:b/>
                <w:color w:val="auto"/>
                <w:szCs w:val="24"/>
                <w:highlight w:val="none"/>
              </w:rPr>
            </w:pPr>
            <w:r>
              <w:rPr>
                <w:rFonts w:hint="eastAsia"/>
                <w:b/>
                <w:color w:val="auto"/>
                <w:szCs w:val="24"/>
                <w:highlight w:val="none"/>
              </w:rPr>
              <w:t>1.4.3与资源利用上线的相符性分析</w:t>
            </w:r>
          </w:p>
          <w:p>
            <w:pPr>
              <w:spacing w:line="500" w:lineRule="exact"/>
              <w:ind w:firstLine="482" w:firstLineChars="0"/>
              <w:rPr>
                <w:color w:val="auto"/>
                <w:szCs w:val="24"/>
                <w:highlight w:val="none"/>
              </w:rPr>
            </w:pPr>
            <w:r>
              <w:rPr>
                <w:rFonts w:hint="eastAsia"/>
                <w:color w:val="auto"/>
                <w:szCs w:val="24"/>
                <w:highlight w:val="none"/>
              </w:rPr>
              <w:t>本项目通过租用德清扬泰建筑材料有限公司闲置工业厂房进行生产，土地资源在资源利用上限范围内。另外，本项目主要用能为电和水，用量相对不大，不属于高能耗项目，总体而言，符合资源利用上线要求。</w:t>
            </w:r>
          </w:p>
          <w:p>
            <w:pPr>
              <w:spacing w:line="500" w:lineRule="exact"/>
              <w:ind w:firstLine="0" w:firstLineChars="0"/>
              <w:rPr>
                <w:b/>
                <w:color w:val="auto"/>
                <w:szCs w:val="24"/>
                <w:highlight w:val="none"/>
              </w:rPr>
            </w:pPr>
            <w:r>
              <w:rPr>
                <w:rFonts w:hint="eastAsia"/>
                <w:b/>
                <w:color w:val="auto"/>
                <w:szCs w:val="24"/>
                <w:highlight w:val="none"/>
              </w:rPr>
              <w:t>1.4.4与环境准入负面清单的相符性分析</w:t>
            </w:r>
          </w:p>
          <w:p>
            <w:pPr>
              <w:spacing w:line="500" w:lineRule="exact"/>
              <w:ind w:firstLine="482" w:firstLineChars="0"/>
              <w:rPr>
                <w:color w:val="auto"/>
                <w:szCs w:val="24"/>
                <w:highlight w:val="none"/>
              </w:rPr>
            </w:pPr>
            <w:r>
              <w:rPr>
                <w:rFonts w:hint="eastAsia"/>
                <w:color w:val="auto"/>
                <w:szCs w:val="24"/>
                <w:highlight w:val="none"/>
              </w:rPr>
              <w:t>（1）总体准入清单符合性分析</w:t>
            </w:r>
          </w:p>
          <w:p>
            <w:pPr>
              <w:spacing w:line="500" w:lineRule="exact"/>
              <w:ind w:firstLine="482" w:firstLineChars="0"/>
              <w:rPr>
                <w:color w:val="auto"/>
                <w:szCs w:val="24"/>
                <w:highlight w:val="none"/>
              </w:rPr>
            </w:pPr>
            <w:r>
              <w:rPr>
                <w:rFonts w:hint="eastAsia"/>
                <w:color w:val="auto"/>
                <w:szCs w:val="24"/>
                <w:highlight w:val="none"/>
              </w:rPr>
              <w:t>根据《湖州市“三线一单”生态环境分区管控方案》（湖环发〔2020〕24号），本项目对其生态环境准入清单进行对比分析，见表1-3。</w:t>
            </w:r>
          </w:p>
          <w:p>
            <w:pPr>
              <w:pStyle w:val="4"/>
              <w:keepNext/>
              <w:wordWrap w:val="0"/>
              <w:spacing w:line="460" w:lineRule="exact"/>
              <w:ind w:firstLine="0" w:firstLineChars="0"/>
              <w:jc w:val="center"/>
              <w:rPr>
                <w:color w:val="auto"/>
                <w:sz w:val="21"/>
                <w:szCs w:val="21"/>
                <w:highlight w:val="none"/>
              </w:rPr>
            </w:pPr>
            <w:r>
              <w:rPr>
                <w:rFonts w:hint="eastAsia"/>
                <w:color w:val="auto"/>
                <w:sz w:val="21"/>
                <w:szCs w:val="21"/>
                <w:highlight w:val="none"/>
                <w:lang w:val="en-US"/>
              </w:rPr>
              <w:t>表</w:t>
            </w:r>
            <w:r>
              <w:rPr>
                <w:rFonts w:ascii="Times New Roman" w:hAnsi="Times New Roman" w:cs="Times New Roman"/>
                <w:color w:val="auto"/>
                <w:sz w:val="21"/>
                <w:szCs w:val="21"/>
                <w:highlight w:val="none"/>
                <w:lang w:val="en-US"/>
              </w:rPr>
              <w:t>1-</w:t>
            </w:r>
            <w:r>
              <w:rPr>
                <w:rFonts w:hint="eastAsia" w:ascii="Times New Roman" w:hAnsi="Times New Roman" w:cs="Times New Roman"/>
                <w:color w:val="auto"/>
                <w:sz w:val="21"/>
                <w:szCs w:val="21"/>
                <w:highlight w:val="none"/>
                <w:lang w:val="en-US"/>
              </w:rPr>
              <w:t>3</w:t>
            </w:r>
            <w:r>
              <w:rPr>
                <w:rFonts w:hint="eastAsia"/>
                <w:color w:val="auto"/>
                <w:sz w:val="21"/>
                <w:szCs w:val="21"/>
                <w:highlight w:val="none"/>
                <w:lang w:val="en-US"/>
              </w:rPr>
              <w:t xml:space="preserve"> 湖州市生态环境准入清单（总体要求）对照表</w:t>
            </w:r>
          </w:p>
          <w:tbl>
            <w:tblPr>
              <w:tblStyle w:val="31"/>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459"/>
              <w:gridCol w:w="2309"/>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color w:val="auto"/>
                      <w:sz w:val="21"/>
                      <w:szCs w:val="21"/>
                      <w:highlight w:val="none"/>
                      <w:lang w:val="en-US"/>
                    </w:rPr>
                  </w:pPr>
                  <w:r>
                    <w:rPr>
                      <w:rFonts w:hint="eastAsia"/>
                      <w:color w:val="auto"/>
                      <w:sz w:val="21"/>
                      <w:szCs w:val="21"/>
                      <w:highlight w:val="none"/>
                      <w:lang w:val="en-US"/>
                    </w:rPr>
                    <w:t>序号</w:t>
                  </w:r>
                </w:p>
              </w:tc>
              <w:tc>
                <w:tcPr>
                  <w:tcW w:w="4140" w:type="dxa"/>
                  <w:noWrap/>
                  <w:vAlign w:val="center"/>
                </w:tcPr>
                <w:p>
                  <w:pPr>
                    <w:pStyle w:val="4"/>
                    <w:keepNext/>
                    <w:spacing w:line="240" w:lineRule="auto"/>
                    <w:ind w:firstLine="0" w:firstLineChars="0"/>
                    <w:jc w:val="center"/>
                    <w:outlineLvl w:val="1"/>
                    <w:rPr>
                      <w:rFonts w:ascii="Times New Roman" w:hAnsi="Times New Roman" w:cs="Times New Roman"/>
                      <w:color w:val="auto"/>
                      <w:sz w:val="21"/>
                      <w:szCs w:val="21"/>
                      <w:highlight w:val="none"/>
                      <w:lang w:val="en-US" w:bidi="ar-SA"/>
                    </w:rPr>
                  </w:pPr>
                  <w:r>
                    <w:rPr>
                      <w:rFonts w:ascii="Times New Roman" w:cs="Times New Roman"/>
                      <w:color w:val="auto"/>
                      <w:sz w:val="21"/>
                      <w:szCs w:val="21"/>
                      <w:highlight w:val="none"/>
                      <w:lang w:val="en-US"/>
                    </w:rPr>
                    <w:t>环境准入及管控要求</w:t>
                  </w:r>
                </w:p>
              </w:tc>
              <w:tc>
                <w:tcPr>
                  <w:tcW w:w="2144" w:type="dxa"/>
                  <w:noWrap/>
                  <w:vAlign w:val="center"/>
                </w:tcPr>
                <w:p>
                  <w:pPr>
                    <w:pStyle w:val="4"/>
                    <w:keepNext/>
                    <w:spacing w:line="240" w:lineRule="auto"/>
                    <w:ind w:firstLine="0" w:firstLineChars="0"/>
                    <w:jc w:val="center"/>
                    <w:outlineLvl w:val="1"/>
                    <w:rPr>
                      <w:color w:val="auto"/>
                      <w:sz w:val="21"/>
                      <w:szCs w:val="21"/>
                      <w:highlight w:val="none"/>
                      <w:lang w:val="en-US" w:bidi="ar-SA"/>
                    </w:rPr>
                  </w:pPr>
                  <w:r>
                    <w:rPr>
                      <w:rFonts w:hint="eastAsia"/>
                      <w:color w:val="auto"/>
                      <w:sz w:val="21"/>
                      <w:szCs w:val="21"/>
                      <w:highlight w:val="none"/>
                      <w:lang w:val="en-US"/>
                    </w:rPr>
                    <w:t>项目情况</w:t>
                  </w:r>
                </w:p>
              </w:tc>
              <w:tc>
                <w:tcPr>
                  <w:tcW w:w="629" w:type="dxa"/>
                  <w:noWrap/>
                  <w:vAlign w:val="center"/>
                </w:tcPr>
                <w:p>
                  <w:pPr>
                    <w:pStyle w:val="4"/>
                    <w:keepNext/>
                    <w:spacing w:line="240" w:lineRule="auto"/>
                    <w:ind w:firstLine="0" w:firstLineChars="0"/>
                    <w:jc w:val="center"/>
                    <w:outlineLvl w:val="1"/>
                    <w:rPr>
                      <w:color w:val="auto"/>
                      <w:sz w:val="21"/>
                      <w:szCs w:val="21"/>
                      <w:highlight w:val="none"/>
                      <w:lang w:val="en-US"/>
                    </w:rPr>
                  </w:pPr>
                  <w:r>
                    <w:rPr>
                      <w:rFonts w:hint="eastAsia"/>
                      <w:color w:val="auto"/>
                      <w:sz w:val="21"/>
                      <w:szCs w:val="21"/>
                      <w:highlight w:val="none"/>
                      <w:lang w:val="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rFonts w:ascii="Times New Roman" w:hAnsi="Times New Roman" w:cs="Times New Roman"/>
                      <w:b w:val="0"/>
                      <w:bCs w:val="0"/>
                      <w:color w:val="auto"/>
                      <w:sz w:val="21"/>
                      <w:szCs w:val="21"/>
                      <w:highlight w:val="none"/>
                      <w:lang w:val="en-US"/>
                    </w:rPr>
                  </w:pPr>
                  <w:r>
                    <w:rPr>
                      <w:rFonts w:ascii="Times New Roman" w:hAnsi="Times New Roman" w:cs="Times New Roman"/>
                      <w:b w:val="0"/>
                      <w:bCs w:val="0"/>
                      <w:color w:val="auto"/>
                      <w:sz w:val="21"/>
                      <w:szCs w:val="21"/>
                      <w:highlight w:val="none"/>
                      <w:lang w:val="en-US"/>
                    </w:rPr>
                    <w:t>1</w:t>
                  </w:r>
                </w:p>
              </w:tc>
              <w:tc>
                <w:tcPr>
                  <w:tcW w:w="4140" w:type="dxa"/>
                  <w:noWrap/>
                  <w:vAlign w:val="center"/>
                </w:tcPr>
                <w:p>
                  <w:pPr>
                    <w:pStyle w:val="4"/>
                    <w:keepNext/>
                    <w:spacing w:line="240" w:lineRule="auto"/>
                    <w:ind w:firstLine="0" w:firstLineChars="0"/>
                    <w:jc w:val="left"/>
                    <w:outlineLvl w:val="1"/>
                    <w:rPr>
                      <w:rFonts w:ascii="Times New Roman" w:hAnsi="Times New Roman" w:cs="Times New Roman"/>
                      <w:b w:val="0"/>
                      <w:bCs w:val="0"/>
                      <w:color w:val="auto"/>
                      <w:sz w:val="21"/>
                      <w:szCs w:val="21"/>
                      <w:highlight w:val="none"/>
                      <w:lang w:val="en-US"/>
                    </w:rPr>
                  </w:pPr>
                  <w:r>
                    <w:rPr>
                      <w:rFonts w:ascii="Times New Roman" w:cs="Times New Roman"/>
                      <w:b w:val="0"/>
                      <w:bCs w:val="0"/>
                      <w:color w:val="auto"/>
                      <w:sz w:val="21"/>
                      <w:szCs w:val="21"/>
                      <w:highlight w:val="none"/>
                      <w:lang w:val="en-US"/>
                    </w:rPr>
                    <w:t>环境质量不达标区域和流域，新建项目需符合环境质量改善要求。</w:t>
                  </w:r>
                </w:p>
              </w:tc>
              <w:tc>
                <w:tcPr>
                  <w:tcW w:w="2144" w:type="dxa"/>
                  <w:noWrap/>
                  <w:vAlign w:val="center"/>
                </w:tcPr>
                <w:p>
                  <w:pPr>
                    <w:pStyle w:val="4"/>
                    <w:keepNext/>
                    <w:spacing w:line="240" w:lineRule="auto"/>
                    <w:ind w:firstLine="0" w:firstLineChars="0"/>
                    <w:outlineLvl w:val="1"/>
                    <w:rPr>
                      <w:b w:val="0"/>
                      <w:bCs w:val="0"/>
                      <w:color w:val="auto"/>
                      <w:sz w:val="21"/>
                      <w:szCs w:val="21"/>
                      <w:highlight w:val="none"/>
                      <w:lang w:val="en-US"/>
                    </w:rPr>
                  </w:pPr>
                  <w:r>
                    <w:rPr>
                      <w:b w:val="0"/>
                      <w:bCs w:val="0"/>
                      <w:color w:val="auto"/>
                      <w:sz w:val="21"/>
                      <w:szCs w:val="21"/>
                      <w:highlight w:val="none"/>
                    </w:rPr>
                    <w:t>本项目属于二类工业项目，</w:t>
                  </w:r>
                  <w:r>
                    <w:rPr>
                      <w:rFonts w:hint="eastAsia"/>
                      <w:b w:val="0"/>
                      <w:bCs w:val="0"/>
                      <w:color w:val="auto"/>
                      <w:sz w:val="21"/>
                      <w:szCs w:val="21"/>
                      <w:highlight w:val="none"/>
                    </w:rPr>
                    <w:t>污染物排放量相对不大，</w:t>
                  </w:r>
                  <w:r>
                    <w:rPr>
                      <w:rFonts w:hint="eastAsia"/>
                      <w:b w:val="0"/>
                      <w:bCs w:val="0"/>
                      <w:color w:val="auto"/>
                      <w:sz w:val="21"/>
                      <w:szCs w:val="21"/>
                      <w:highlight w:val="none"/>
                      <w:lang w:val="en-US"/>
                    </w:rPr>
                    <w:t>经过相应处理后能够达标排放，对环境影响不大。</w:t>
                  </w:r>
                </w:p>
              </w:tc>
              <w:tc>
                <w:tcPr>
                  <w:tcW w:w="629" w:type="dxa"/>
                  <w:noWrap/>
                  <w:vAlign w:val="center"/>
                </w:tcPr>
                <w:p>
                  <w:pPr>
                    <w:pStyle w:val="4"/>
                    <w:keepNext/>
                    <w:spacing w:line="240" w:lineRule="auto"/>
                    <w:ind w:firstLine="0" w:firstLineChars="0"/>
                    <w:jc w:val="center"/>
                    <w:outlineLvl w:val="1"/>
                    <w:rPr>
                      <w:b w:val="0"/>
                      <w:bCs w:val="0"/>
                      <w:color w:val="auto"/>
                      <w:sz w:val="21"/>
                      <w:szCs w:val="21"/>
                      <w:highlight w:val="none"/>
                      <w:lang w:val="en-US"/>
                    </w:rPr>
                  </w:pPr>
                  <w:r>
                    <w:rPr>
                      <w:rFonts w:hint="eastAsia"/>
                      <w:b w:val="0"/>
                      <w:bCs w:val="0"/>
                      <w:color w:val="auto"/>
                      <w:sz w:val="21"/>
                      <w:szCs w:val="21"/>
                      <w:highlight w:val="none"/>
                      <w:lang w:val="en-US"/>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rFonts w:ascii="Times New Roman" w:hAnsi="Times New Roman" w:cs="Times New Roman"/>
                      <w:b w:val="0"/>
                      <w:bCs w:val="0"/>
                      <w:color w:val="auto"/>
                      <w:sz w:val="21"/>
                      <w:szCs w:val="21"/>
                      <w:highlight w:val="none"/>
                      <w:lang w:val="en-US"/>
                    </w:rPr>
                  </w:pPr>
                  <w:r>
                    <w:rPr>
                      <w:rFonts w:ascii="Times New Roman" w:hAnsi="Times New Roman" w:cs="Times New Roman"/>
                      <w:b w:val="0"/>
                      <w:bCs w:val="0"/>
                      <w:color w:val="auto"/>
                      <w:sz w:val="21"/>
                      <w:szCs w:val="21"/>
                      <w:highlight w:val="none"/>
                      <w:lang w:val="en-US"/>
                    </w:rPr>
                    <w:t>2</w:t>
                  </w:r>
                </w:p>
              </w:tc>
              <w:tc>
                <w:tcPr>
                  <w:tcW w:w="4140" w:type="dxa"/>
                  <w:noWrap/>
                  <w:vAlign w:val="center"/>
                </w:tcPr>
                <w:p>
                  <w:pPr>
                    <w:pStyle w:val="4"/>
                    <w:keepNext/>
                    <w:spacing w:line="240" w:lineRule="auto"/>
                    <w:ind w:firstLine="0" w:firstLineChars="0"/>
                    <w:jc w:val="left"/>
                    <w:outlineLvl w:val="1"/>
                    <w:rPr>
                      <w:rFonts w:ascii="Times New Roman" w:hAnsi="Times New Roman" w:cs="Times New Roman"/>
                      <w:b w:val="0"/>
                      <w:bCs w:val="0"/>
                      <w:color w:val="auto"/>
                      <w:sz w:val="21"/>
                      <w:szCs w:val="21"/>
                      <w:highlight w:val="none"/>
                      <w:lang w:val="en-US"/>
                    </w:rPr>
                  </w:pPr>
                  <w:r>
                    <w:rPr>
                      <w:rFonts w:ascii="Times New Roman" w:cs="Times New Roman"/>
                      <w:b w:val="0"/>
                      <w:bCs w:val="0"/>
                      <w:color w:val="auto"/>
                      <w:sz w:val="21"/>
                      <w:szCs w:val="21"/>
                      <w:highlight w:val="none"/>
                      <w:lang w:val="en-US"/>
                    </w:rPr>
                    <w:t>加强湿地保护和修复，强化河流、湖库水域保护及管理。最大限度保留区内原有自然生态系统，保护好河湖湿地生境，禁止未经法定许可占用水域和建设影响河道自然形态和水生态（环境）功能的项目；除防洪、重要航道必须的护岸外，禁止非生态型河湖堤岸改造。水电工程建设应保证合理的下泄生态流量，并实施生态流量在线监控。</w:t>
                  </w:r>
                </w:p>
              </w:tc>
              <w:tc>
                <w:tcPr>
                  <w:tcW w:w="2144" w:type="dxa"/>
                  <w:noWrap/>
                  <w:vAlign w:val="center"/>
                </w:tcPr>
                <w:p>
                  <w:pPr>
                    <w:pStyle w:val="4"/>
                    <w:keepNext/>
                    <w:spacing w:line="240" w:lineRule="auto"/>
                    <w:ind w:firstLine="0" w:firstLineChars="0"/>
                    <w:outlineLvl w:val="1"/>
                    <w:rPr>
                      <w:b w:val="0"/>
                      <w:bCs w:val="0"/>
                      <w:color w:val="auto"/>
                      <w:sz w:val="21"/>
                      <w:szCs w:val="21"/>
                      <w:highlight w:val="none"/>
                      <w:lang w:val="en-US"/>
                    </w:rPr>
                  </w:pPr>
                  <w:r>
                    <w:rPr>
                      <w:rStyle w:val="33"/>
                      <w:rFonts w:ascii="Times New Roman" w:hAnsi="Times New Roman"/>
                      <w:b w:val="0"/>
                      <w:bCs w:val="0"/>
                      <w:color w:val="auto"/>
                      <w:sz w:val="21"/>
                      <w:szCs w:val="21"/>
                      <w:highlight w:val="none"/>
                    </w:rPr>
                    <w:t>本项目位于</w:t>
                  </w:r>
                  <w:r>
                    <w:rPr>
                      <w:rStyle w:val="33"/>
                      <w:rFonts w:hint="eastAsia" w:ascii="Times New Roman" w:hAnsi="Times New Roman"/>
                      <w:b w:val="0"/>
                      <w:bCs w:val="0"/>
                      <w:color w:val="auto"/>
                      <w:sz w:val="21"/>
                      <w:szCs w:val="21"/>
                      <w:highlight w:val="none"/>
                      <w:lang w:val="en-US"/>
                    </w:rPr>
                    <w:t>德清县乾元镇苕溪东街1155号</w:t>
                  </w:r>
                  <w:r>
                    <w:rPr>
                      <w:rFonts w:ascii="Times New Roman" w:hAnsi="Times New Roman"/>
                      <w:b w:val="0"/>
                      <w:bCs w:val="0"/>
                      <w:color w:val="auto"/>
                      <w:sz w:val="21"/>
                      <w:szCs w:val="21"/>
                      <w:highlight w:val="none"/>
                    </w:rPr>
                    <w:t>，</w:t>
                  </w:r>
                  <w:r>
                    <w:rPr>
                      <w:rStyle w:val="33"/>
                      <w:rFonts w:ascii="Times New Roman" w:hAnsi="Times New Roman"/>
                      <w:b w:val="0"/>
                      <w:bCs w:val="0"/>
                      <w:color w:val="auto"/>
                      <w:sz w:val="21"/>
                      <w:szCs w:val="21"/>
                      <w:highlight w:val="none"/>
                    </w:rPr>
                    <w:t>不</w:t>
                  </w:r>
                  <w:r>
                    <w:rPr>
                      <w:rStyle w:val="33"/>
                      <w:rFonts w:hint="eastAsia" w:ascii="Times New Roman" w:hAnsi="Times New Roman"/>
                      <w:b w:val="0"/>
                      <w:bCs w:val="0"/>
                      <w:color w:val="auto"/>
                      <w:sz w:val="21"/>
                      <w:szCs w:val="21"/>
                      <w:highlight w:val="none"/>
                      <w:lang w:val="en-US"/>
                    </w:rPr>
                    <w:t>属于</w:t>
                  </w:r>
                  <w:r>
                    <w:rPr>
                      <w:rFonts w:hint="eastAsia"/>
                      <w:b w:val="0"/>
                      <w:bCs w:val="0"/>
                      <w:color w:val="auto"/>
                      <w:sz w:val="21"/>
                      <w:szCs w:val="21"/>
                      <w:highlight w:val="none"/>
                      <w:lang w:val="en-US"/>
                    </w:rPr>
                    <w:t>占用水域和建设影响河道自然形态和水生态（环境）功能的项目，不涉及非生态型河湖堤岸改造</w:t>
                  </w:r>
                  <w:r>
                    <w:rPr>
                      <w:rStyle w:val="33"/>
                      <w:rFonts w:ascii="Times New Roman" w:hAnsi="Times New Roman"/>
                      <w:b w:val="0"/>
                      <w:bCs w:val="0"/>
                      <w:color w:val="auto"/>
                      <w:sz w:val="21"/>
                      <w:szCs w:val="21"/>
                      <w:highlight w:val="none"/>
                    </w:rPr>
                    <w:t>。</w:t>
                  </w:r>
                </w:p>
              </w:tc>
              <w:tc>
                <w:tcPr>
                  <w:tcW w:w="629" w:type="dxa"/>
                  <w:noWrap/>
                  <w:vAlign w:val="center"/>
                </w:tcPr>
                <w:p>
                  <w:pPr>
                    <w:pStyle w:val="4"/>
                    <w:keepNext/>
                    <w:spacing w:line="240" w:lineRule="auto"/>
                    <w:ind w:firstLine="0" w:firstLineChars="0"/>
                    <w:jc w:val="center"/>
                    <w:outlineLvl w:val="1"/>
                    <w:rPr>
                      <w:b w:val="0"/>
                      <w:bCs w:val="0"/>
                      <w:color w:val="auto"/>
                      <w:sz w:val="21"/>
                      <w:szCs w:val="21"/>
                      <w:highlight w:val="none"/>
                      <w:lang w:val="en-US"/>
                    </w:rPr>
                  </w:pPr>
                  <w:r>
                    <w:rPr>
                      <w:rFonts w:hint="eastAsia"/>
                      <w:b w:val="0"/>
                      <w:bCs w:val="0"/>
                      <w:color w:val="auto"/>
                      <w:sz w:val="21"/>
                      <w:szCs w:val="21"/>
                      <w:highlight w:val="none"/>
                      <w:lang w:val="en-US"/>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rFonts w:ascii="Times New Roman" w:hAnsi="Times New Roman" w:cs="Times New Roman"/>
                      <w:b w:val="0"/>
                      <w:bCs w:val="0"/>
                      <w:color w:val="auto"/>
                      <w:sz w:val="21"/>
                      <w:szCs w:val="21"/>
                      <w:highlight w:val="none"/>
                      <w:lang w:val="en-US"/>
                    </w:rPr>
                  </w:pPr>
                  <w:r>
                    <w:rPr>
                      <w:rFonts w:ascii="Times New Roman" w:hAnsi="Times New Roman" w:cs="Times New Roman"/>
                      <w:b w:val="0"/>
                      <w:bCs w:val="0"/>
                      <w:color w:val="auto"/>
                      <w:sz w:val="21"/>
                      <w:szCs w:val="21"/>
                      <w:highlight w:val="none"/>
                      <w:lang w:val="en-US"/>
                    </w:rPr>
                    <w:t>3</w:t>
                  </w:r>
                </w:p>
              </w:tc>
              <w:tc>
                <w:tcPr>
                  <w:tcW w:w="4140" w:type="dxa"/>
                  <w:noWrap/>
                  <w:vAlign w:val="center"/>
                </w:tcPr>
                <w:p>
                  <w:pPr>
                    <w:pStyle w:val="4"/>
                    <w:keepNext/>
                    <w:spacing w:line="240" w:lineRule="auto"/>
                    <w:ind w:firstLine="0" w:firstLineChars="0"/>
                    <w:jc w:val="left"/>
                    <w:outlineLvl w:val="1"/>
                    <w:rPr>
                      <w:rFonts w:ascii="Times New Roman" w:hAnsi="Times New Roman" w:cs="Times New Roman"/>
                      <w:b w:val="0"/>
                      <w:bCs w:val="0"/>
                      <w:color w:val="auto"/>
                      <w:sz w:val="21"/>
                      <w:szCs w:val="21"/>
                      <w:highlight w:val="none"/>
                      <w:lang w:val="en-US"/>
                    </w:rPr>
                  </w:pPr>
                  <w:r>
                    <w:rPr>
                      <w:rFonts w:ascii="Times New Roman" w:cs="Times New Roman"/>
                      <w:b w:val="0"/>
                      <w:bCs w:val="0"/>
                      <w:color w:val="auto"/>
                      <w:sz w:val="21"/>
                      <w:szCs w:val="21"/>
                      <w:highlight w:val="none"/>
                      <w:lang w:val="en-US"/>
                    </w:rPr>
                    <w:t>落实省市水污染物总量控制和入海污染物排放总量控制要求，严格执行地区削减目标。优化产业空间布局，严格按照区域水环境承载能力设置环境准入门槛，严格限制在水环境优先保护区上游相邻控制单元建设水污染较大、水环境风险较高的项目；严格限制在重要湖库控制单元和太湖流域建设氮磷污染物排放较高的项目。加快城乡污水处理设施建设与提标改造，推进生活小区和工业集聚区</w:t>
                  </w:r>
                  <w:r>
                    <w:rPr>
                      <w:rFonts w:ascii="Times New Roman" w:hAnsi="Times New Roman" w:cs="Times New Roman"/>
                      <w:b w:val="0"/>
                      <w:bCs w:val="0"/>
                      <w:color w:val="auto"/>
                      <w:sz w:val="21"/>
                      <w:szCs w:val="21"/>
                      <w:highlight w:val="none"/>
                      <w:lang w:val="en-US"/>
                    </w:rPr>
                    <w:t>“</w:t>
                  </w:r>
                  <w:r>
                    <w:rPr>
                      <w:rFonts w:ascii="Times New Roman" w:cs="Times New Roman"/>
                      <w:b w:val="0"/>
                      <w:bCs w:val="0"/>
                      <w:color w:val="auto"/>
                      <w:sz w:val="21"/>
                      <w:szCs w:val="21"/>
                      <w:highlight w:val="none"/>
                      <w:lang w:val="en-US"/>
                    </w:rPr>
                    <w:t>零直排</w:t>
                  </w:r>
                  <w:r>
                    <w:rPr>
                      <w:rFonts w:ascii="Times New Roman" w:hAnsi="Times New Roman" w:cs="Times New Roman"/>
                      <w:b w:val="0"/>
                      <w:bCs w:val="0"/>
                      <w:color w:val="auto"/>
                      <w:sz w:val="21"/>
                      <w:szCs w:val="21"/>
                      <w:highlight w:val="none"/>
                      <w:lang w:val="en-US"/>
                    </w:rPr>
                    <w:t>”</w:t>
                  </w:r>
                  <w:r>
                    <w:rPr>
                      <w:rFonts w:ascii="Times New Roman" w:cs="Times New Roman"/>
                      <w:b w:val="0"/>
                      <w:bCs w:val="0"/>
                      <w:color w:val="auto"/>
                      <w:sz w:val="21"/>
                      <w:szCs w:val="21"/>
                      <w:highlight w:val="none"/>
                      <w:lang w:val="en-US"/>
                    </w:rPr>
                    <w:t>区建设。加强对纳管企业总氮、总磷、重金属和其他有毒有害污染物的管控。加大农业面源污染防治，严格执行畜禽养殖禁养区、限养区制度，鼓励引导宜养区以地定畜；深入实施化肥农药减量增效行动；加强水产养殖禁养区、限养区和养殖区分类管理，逐步调减近岸海域的养殖规模。针对港湾污染重点管控区，严格控制开发强度，规范入海排污口设置，实施陆源污染物排海总量控制制度，严格管控涉海重大工程环境风险，完善分类分级的海上应急监测及处置预案，在石化基地、危化品储存区、滨海核电设施等邻近海域部署快速监测能力和应急处置物资设备。</w:t>
                  </w:r>
                </w:p>
              </w:tc>
              <w:tc>
                <w:tcPr>
                  <w:tcW w:w="2144" w:type="dxa"/>
                  <w:noWrap/>
                  <w:vAlign w:val="center"/>
                </w:tcPr>
                <w:p>
                  <w:pPr>
                    <w:pStyle w:val="4"/>
                    <w:keepNext/>
                    <w:wordWrap w:val="0"/>
                    <w:spacing w:line="240" w:lineRule="auto"/>
                    <w:ind w:firstLine="0" w:firstLineChars="0"/>
                    <w:outlineLvl w:val="1"/>
                    <w:rPr>
                      <w:b w:val="0"/>
                      <w:bCs w:val="0"/>
                      <w:color w:val="auto"/>
                      <w:sz w:val="21"/>
                      <w:szCs w:val="21"/>
                      <w:highlight w:val="none"/>
                      <w:lang w:val="en-US"/>
                    </w:rPr>
                  </w:pPr>
                  <w:r>
                    <w:rPr>
                      <w:rStyle w:val="33"/>
                      <w:rFonts w:ascii="Times New Roman" w:hAnsi="Times New Roman"/>
                      <w:b w:val="0"/>
                      <w:bCs w:val="0"/>
                      <w:color w:val="auto"/>
                      <w:sz w:val="21"/>
                      <w:szCs w:val="21"/>
                      <w:highlight w:val="none"/>
                    </w:rPr>
                    <w:t>本项目位于</w:t>
                  </w:r>
                  <w:r>
                    <w:rPr>
                      <w:rStyle w:val="33"/>
                      <w:rFonts w:hint="eastAsia" w:ascii="Times New Roman" w:hAnsi="Times New Roman"/>
                      <w:b w:val="0"/>
                      <w:bCs w:val="0"/>
                      <w:color w:val="auto"/>
                      <w:sz w:val="21"/>
                      <w:szCs w:val="21"/>
                      <w:highlight w:val="none"/>
                      <w:lang w:val="en-US"/>
                    </w:rPr>
                    <w:t>德清县乾元镇苕溪东街1155号</w:t>
                  </w:r>
                  <w:r>
                    <w:rPr>
                      <w:rFonts w:ascii="Times New Roman" w:hAnsi="Times New Roman"/>
                      <w:b w:val="0"/>
                      <w:bCs w:val="0"/>
                      <w:color w:val="auto"/>
                      <w:sz w:val="21"/>
                      <w:szCs w:val="21"/>
                      <w:highlight w:val="none"/>
                    </w:rPr>
                    <w:t>，</w:t>
                  </w:r>
                  <w:r>
                    <w:rPr>
                      <w:rFonts w:hint="eastAsia" w:ascii="Times New Roman" w:hAnsi="Times New Roman"/>
                      <w:b w:val="0"/>
                      <w:bCs w:val="0"/>
                      <w:color w:val="auto"/>
                      <w:sz w:val="21"/>
                      <w:szCs w:val="21"/>
                      <w:highlight w:val="none"/>
                      <w:lang w:val="en-US"/>
                    </w:rPr>
                    <w:t>生产过程中仅产生生活污水，污染因子为</w:t>
                  </w:r>
                  <w:r>
                    <w:rPr>
                      <w:rFonts w:ascii="Times New Roman" w:hAnsi="Times New Roman" w:cs="Times New Roman"/>
                      <w:b w:val="0"/>
                      <w:bCs w:val="0"/>
                      <w:color w:val="auto"/>
                      <w:sz w:val="21"/>
                      <w:szCs w:val="21"/>
                      <w:highlight w:val="none"/>
                    </w:rPr>
                    <w:t>COD</w:t>
                  </w:r>
                  <w:r>
                    <w:rPr>
                      <w:rFonts w:ascii="Times New Roman" w:hAnsi="Times New Roman" w:cs="Times New Roman"/>
                      <w:b w:val="0"/>
                      <w:bCs w:val="0"/>
                      <w:color w:val="auto"/>
                      <w:sz w:val="21"/>
                      <w:szCs w:val="21"/>
                      <w:highlight w:val="none"/>
                      <w:vertAlign w:val="subscript"/>
                    </w:rPr>
                    <w:t>Cr</w:t>
                  </w:r>
                  <w:r>
                    <w:rPr>
                      <w:rFonts w:ascii="Times New Roman" w:hAnsi="Times New Roman" w:cs="Times New Roman"/>
                      <w:b w:val="0"/>
                      <w:bCs w:val="0"/>
                      <w:color w:val="auto"/>
                      <w:sz w:val="21"/>
                      <w:szCs w:val="21"/>
                      <w:highlight w:val="none"/>
                    </w:rPr>
                    <w:t>、NH</w:t>
                  </w:r>
                  <w:r>
                    <w:rPr>
                      <w:rFonts w:ascii="Times New Roman" w:hAnsi="Times New Roman" w:cs="Times New Roman"/>
                      <w:b w:val="0"/>
                      <w:bCs w:val="0"/>
                      <w:color w:val="auto"/>
                      <w:sz w:val="21"/>
                      <w:szCs w:val="21"/>
                      <w:highlight w:val="none"/>
                      <w:vertAlign w:val="subscript"/>
                    </w:rPr>
                    <w:t>3</w:t>
                  </w:r>
                  <w:r>
                    <w:rPr>
                      <w:rFonts w:ascii="Times New Roman" w:hAnsi="Times New Roman" w:cs="Times New Roman"/>
                      <w:b w:val="0"/>
                      <w:bCs w:val="0"/>
                      <w:color w:val="auto"/>
                      <w:sz w:val="21"/>
                      <w:szCs w:val="21"/>
                      <w:highlight w:val="none"/>
                    </w:rPr>
                    <w:t>-N</w:t>
                  </w:r>
                  <w:r>
                    <w:rPr>
                      <w:rFonts w:hint="eastAsia"/>
                      <w:b w:val="0"/>
                      <w:bCs w:val="0"/>
                      <w:color w:val="auto"/>
                      <w:sz w:val="21"/>
                      <w:szCs w:val="21"/>
                      <w:highlight w:val="none"/>
                    </w:rPr>
                    <w:t>，</w:t>
                  </w:r>
                  <w:r>
                    <w:rPr>
                      <w:rFonts w:hint="eastAsia"/>
                      <w:b w:val="0"/>
                      <w:bCs w:val="0"/>
                      <w:color w:val="auto"/>
                      <w:sz w:val="21"/>
                      <w:szCs w:val="21"/>
                      <w:highlight w:val="none"/>
                      <w:lang w:val="en-US"/>
                    </w:rPr>
                    <w:t>无需进行削减替代，</w:t>
                  </w:r>
                  <w:r>
                    <w:rPr>
                      <w:rFonts w:hint="eastAsia"/>
                      <w:b w:val="0"/>
                      <w:bCs w:val="0"/>
                      <w:color w:val="auto"/>
                      <w:sz w:val="21"/>
                      <w:szCs w:val="21"/>
                      <w:highlight w:val="none"/>
                    </w:rPr>
                    <w:t>经预处理达到</w:t>
                  </w:r>
                  <w:r>
                    <w:rPr>
                      <w:rFonts w:hint="eastAsia"/>
                      <w:b w:val="0"/>
                      <w:bCs w:val="0"/>
                      <w:color w:val="auto"/>
                      <w:sz w:val="21"/>
                      <w:szCs w:val="21"/>
                      <w:highlight w:val="none"/>
                      <w:lang w:val="en-US"/>
                    </w:rPr>
                    <w:t>污水处理厂纳管标准后</w:t>
                  </w:r>
                  <w:r>
                    <w:rPr>
                      <w:rFonts w:hint="eastAsia"/>
                      <w:b w:val="0"/>
                      <w:bCs w:val="0"/>
                      <w:color w:val="auto"/>
                      <w:sz w:val="21"/>
                      <w:szCs w:val="21"/>
                      <w:highlight w:val="none"/>
                    </w:rPr>
                    <w:t>要求后</w:t>
                  </w:r>
                  <w:r>
                    <w:rPr>
                      <w:rFonts w:hint="eastAsia"/>
                      <w:b w:val="0"/>
                      <w:bCs w:val="0"/>
                      <w:color w:val="auto"/>
                      <w:sz w:val="21"/>
                      <w:szCs w:val="21"/>
                      <w:highlight w:val="none"/>
                      <w:lang w:val="en-US"/>
                    </w:rPr>
                    <w:t>委托环卫部门槽罐车清运至德清县乾元污水处理有限公司</w:t>
                  </w:r>
                  <w:r>
                    <w:rPr>
                      <w:rFonts w:hint="eastAsia"/>
                      <w:b w:val="0"/>
                      <w:bCs w:val="0"/>
                      <w:color w:val="auto"/>
                      <w:sz w:val="21"/>
                      <w:szCs w:val="21"/>
                      <w:highlight w:val="none"/>
                    </w:rPr>
                    <w:t>。</w:t>
                  </w:r>
                </w:p>
              </w:tc>
              <w:tc>
                <w:tcPr>
                  <w:tcW w:w="629" w:type="dxa"/>
                  <w:noWrap/>
                  <w:vAlign w:val="center"/>
                </w:tcPr>
                <w:p>
                  <w:pPr>
                    <w:pStyle w:val="4"/>
                    <w:keepNext/>
                    <w:spacing w:line="240" w:lineRule="auto"/>
                    <w:ind w:firstLine="0" w:firstLineChars="0"/>
                    <w:jc w:val="center"/>
                    <w:outlineLvl w:val="1"/>
                    <w:rPr>
                      <w:b w:val="0"/>
                      <w:bCs w:val="0"/>
                      <w:color w:val="auto"/>
                      <w:sz w:val="21"/>
                      <w:szCs w:val="21"/>
                      <w:highlight w:val="none"/>
                      <w:lang w:val="en-US"/>
                    </w:rPr>
                  </w:pPr>
                  <w:r>
                    <w:rPr>
                      <w:rFonts w:hint="eastAsia"/>
                      <w:b w:val="0"/>
                      <w:bCs w:val="0"/>
                      <w:color w:val="auto"/>
                      <w:sz w:val="21"/>
                      <w:szCs w:val="21"/>
                      <w:highlight w:val="none"/>
                      <w:lang w:val="en-US"/>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rFonts w:ascii="Times New Roman" w:hAnsi="Times New Roman" w:cs="Times New Roman"/>
                      <w:b w:val="0"/>
                      <w:bCs w:val="0"/>
                      <w:color w:val="auto"/>
                      <w:sz w:val="21"/>
                      <w:szCs w:val="21"/>
                      <w:highlight w:val="none"/>
                      <w:lang w:val="en-US"/>
                    </w:rPr>
                  </w:pPr>
                  <w:r>
                    <w:rPr>
                      <w:rFonts w:ascii="Times New Roman" w:hAnsi="Times New Roman" w:cs="Times New Roman"/>
                      <w:b w:val="0"/>
                      <w:bCs w:val="0"/>
                      <w:color w:val="auto"/>
                      <w:sz w:val="21"/>
                      <w:szCs w:val="21"/>
                      <w:highlight w:val="none"/>
                      <w:lang w:val="en-US"/>
                    </w:rPr>
                    <w:t>4</w:t>
                  </w:r>
                </w:p>
              </w:tc>
              <w:tc>
                <w:tcPr>
                  <w:tcW w:w="4140" w:type="dxa"/>
                  <w:noWrap/>
                  <w:vAlign w:val="center"/>
                </w:tcPr>
                <w:p>
                  <w:pPr>
                    <w:pStyle w:val="4"/>
                    <w:keepNext/>
                    <w:spacing w:line="240" w:lineRule="auto"/>
                    <w:ind w:firstLine="0" w:firstLineChars="0"/>
                    <w:jc w:val="left"/>
                    <w:outlineLvl w:val="1"/>
                    <w:rPr>
                      <w:rFonts w:ascii="Times New Roman" w:hAnsi="Times New Roman" w:cs="Times New Roman"/>
                      <w:b w:val="0"/>
                      <w:bCs w:val="0"/>
                      <w:color w:val="auto"/>
                      <w:sz w:val="21"/>
                      <w:szCs w:val="21"/>
                      <w:highlight w:val="none"/>
                      <w:lang w:val="en-US"/>
                    </w:rPr>
                  </w:pPr>
                  <w:r>
                    <w:rPr>
                      <w:rFonts w:ascii="Times New Roman" w:cs="Times New Roman"/>
                      <w:b w:val="0"/>
                      <w:bCs w:val="0"/>
                      <w:color w:val="auto"/>
                      <w:sz w:val="21"/>
                      <w:szCs w:val="21"/>
                      <w:highlight w:val="none"/>
                      <w:lang w:val="en-US"/>
                    </w:rPr>
                    <w:t>严格控制新增燃煤项目建设，严格控制燃煤机组新增装机规模，不再新建</w:t>
                  </w:r>
                  <w:r>
                    <w:rPr>
                      <w:rFonts w:ascii="Times New Roman" w:hAnsi="Times New Roman" w:cs="Times New Roman"/>
                      <w:b w:val="0"/>
                      <w:bCs w:val="0"/>
                      <w:color w:val="auto"/>
                      <w:sz w:val="21"/>
                      <w:szCs w:val="21"/>
                      <w:highlight w:val="none"/>
                      <w:lang w:val="en-US"/>
                    </w:rPr>
                    <w:t>35</w:t>
                  </w:r>
                  <w:r>
                    <w:rPr>
                      <w:rFonts w:ascii="Times New Roman" w:cs="Times New Roman"/>
                      <w:b w:val="0"/>
                      <w:bCs w:val="0"/>
                      <w:color w:val="auto"/>
                      <w:sz w:val="21"/>
                      <w:szCs w:val="21"/>
                      <w:highlight w:val="none"/>
                      <w:lang w:val="en-US"/>
                    </w:rPr>
                    <w:t>蒸吨</w:t>
                  </w:r>
                  <w:r>
                    <w:rPr>
                      <w:rFonts w:ascii="Times New Roman" w:hAnsi="Times New Roman" w:cs="Times New Roman"/>
                      <w:b w:val="0"/>
                      <w:bCs w:val="0"/>
                      <w:color w:val="auto"/>
                      <w:sz w:val="21"/>
                      <w:szCs w:val="21"/>
                      <w:highlight w:val="none"/>
                      <w:lang w:val="en-US"/>
                    </w:rPr>
                    <w:t>/</w:t>
                  </w:r>
                  <w:r>
                    <w:rPr>
                      <w:rFonts w:ascii="Times New Roman" w:cs="Times New Roman"/>
                      <w:b w:val="0"/>
                      <w:bCs w:val="0"/>
                      <w:color w:val="auto"/>
                      <w:sz w:val="21"/>
                      <w:szCs w:val="21"/>
                      <w:highlight w:val="none"/>
                      <w:lang w:val="en-US"/>
                    </w:rPr>
                    <w:t>小时以下的高污染燃料锅炉。严禁新增钢铁、焦化、电解铝、铸造、水泥和平板玻璃产能。禁止新增化工园区，加大现有化工园区整治力度。未纳入《石化产业规划布局方案》的新建炼化项目一律不得建设。加快城市主城区内钢铁、石化、化工、有色金属冶炼、水泥、平板玻璃等重污染企业搬迁改造，推进城市建成区及城市周边石化工业向沿海地区转移。严格落实《关于执行国家排放标准大气污染物特别排放限值的通告》要求，全面实施国家大气污染物排放标准中的二氧化硫、氮氧化物、颗粒物和挥发性有机物特别排放限值。开展生物质锅炉综合整治，实施燃煤锅炉超低排放改造。加强机动车污染防治，启动非道路移动机械治理。严格大气环境布局敏感区和弱扩散区大气污染物排放总量控制，新建涉气项目原则上在区域内实施减量替代；现有的强化源头管控，逐步削减大气污染物排放总量。</w:t>
                  </w:r>
                </w:p>
              </w:tc>
              <w:tc>
                <w:tcPr>
                  <w:tcW w:w="2144" w:type="dxa"/>
                  <w:noWrap/>
                  <w:vAlign w:val="center"/>
                </w:tcPr>
                <w:p>
                  <w:pPr>
                    <w:pStyle w:val="4"/>
                    <w:keepNext/>
                    <w:spacing w:line="240" w:lineRule="auto"/>
                    <w:ind w:firstLine="0" w:firstLineChars="0"/>
                    <w:outlineLvl w:val="1"/>
                    <w:rPr>
                      <w:b w:val="0"/>
                      <w:bCs w:val="0"/>
                      <w:color w:val="auto"/>
                      <w:sz w:val="21"/>
                      <w:szCs w:val="21"/>
                      <w:highlight w:val="none"/>
                      <w:lang w:val="en-US"/>
                    </w:rPr>
                  </w:pPr>
                  <w:r>
                    <w:rPr>
                      <w:rFonts w:hint="eastAsia"/>
                      <w:b w:val="0"/>
                      <w:bCs w:val="0"/>
                      <w:color w:val="auto"/>
                      <w:sz w:val="21"/>
                      <w:szCs w:val="21"/>
                      <w:highlight w:val="none"/>
                      <w:lang w:val="en-US"/>
                    </w:rPr>
                    <w:t>本项目为新建项目，</w:t>
                  </w:r>
                  <w:r>
                    <w:rPr>
                      <w:b w:val="0"/>
                      <w:bCs w:val="0"/>
                      <w:color w:val="auto"/>
                      <w:sz w:val="21"/>
                      <w:szCs w:val="21"/>
                      <w:highlight w:val="none"/>
                    </w:rPr>
                    <w:t>行业类别为</w:t>
                  </w:r>
                  <w:r>
                    <w:rPr>
                      <w:rFonts w:hint="eastAsia"/>
                      <w:b w:val="0"/>
                      <w:bCs w:val="0"/>
                      <w:color w:val="auto"/>
                      <w:sz w:val="21"/>
                      <w:szCs w:val="21"/>
                      <w:highlight w:val="none"/>
                      <w:lang w:val="en-US"/>
                    </w:rPr>
                    <w:t>其他建筑材料制造</w:t>
                  </w:r>
                  <w:r>
                    <w:rPr>
                      <w:b w:val="0"/>
                      <w:bCs w:val="0"/>
                      <w:color w:val="auto"/>
                      <w:sz w:val="21"/>
                      <w:szCs w:val="21"/>
                      <w:highlight w:val="none"/>
                    </w:rPr>
                    <w:t>，</w:t>
                  </w:r>
                  <w:r>
                    <w:rPr>
                      <w:rFonts w:hint="eastAsia"/>
                      <w:b w:val="0"/>
                      <w:bCs w:val="0"/>
                      <w:color w:val="auto"/>
                      <w:sz w:val="21"/>
                      <w:szCs w:val="21"/>
                      <w:highlight w:val="none"/>
                      <w:lang w:val="en-US"/>
                    </w:rPr>
                    <w:t>产品为特种砂浆，颗粒物按</w:t>
                  </w:r>
                  <w:r>
                    <w:rPr>
                      <w:rFonts w:ascii="Times New Roman" w:hAnsi="Times New Roman" w:cs="Times New Roman"/>
                      <w:b w:val="0"/>
                      <w:bCs w:val="0"/>
                      <w:color w:val="auto"/>
                      <w:sz w:val="21"/>
                      <w:szCs w:val="21"/>
                      <w:highlight w:val="none"/>
                      <w:lang w:val="en-US"/>
                    </w:rPr>
                    <w:t>1：2</w:t>
                  </w:r>
                  <w:r>
                    <w:rPr>
                      <w:rFonts w:hint="eastAsia"/>
                      <w:b w:val="0"/>
                      <w:bCs w:val="0"/>
                      <w:color w:val="auto"/>
                      <w:sz w:val="21"/>
                      <w:szCs w:val="21"/>
                      <w:highlight w:val="none"/>
                      <w:lang w:val="en-US"/>
                    </w:rPr>
                    <w:t>进行区域削减替代，主要用能为水和电，不涉及煤消耗和高污染燃料。</w:t>
                  </w:r>
                </w:p>
              </w:tc>
              <w:tc>
                <w:tcPr>
                  <w:tcW w:w="629" w:type="dxa"/>
                  <w:noWrap/>
                  <w:vAlign w:val="center"/>
                </w:tcPr>
                <w:p>
                  <w:pPr>
                    <w:pStyle w:val="4"/>
                    <w:keepNext/>
                    <w:spacing w:line="240" w:lineRule="auto"/>
                    <w:ind w:firstLine="0" w:firstLineChars="0"/>
                    <w:jc w:val="center"/>
                    <w:outlineLvl w:val="1"/>
                    <w:rPr>
                      <w:b w:val="0"/>
                      <w:bCs w:val="0"/>
                      <w:color w:val="auto"/>
                      <w:sz w:val="21"/>
                      <w:szCs w:val="21"/>
                      <w:highlight w:val="none"/>
                      <w:lang w:val="en-US"/>
                    </w:rPr>
                  </w:pPr>
                  <w:r>
                    <w:rPr>
                      <w:rFonts w:hint="eastAsia"/>
                      <w:b w:val="0"/>
                      <w:bCs w:val="0"/>
                      <w:color w:val="auto"/>
                      <w:sz w:val="21"/>
                      <w:szCs w:val="21"/>
                      <w:highlight w:val="none"/>
                      <w:lang w:val="en-US"/>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rFonts w:ascii="Times New Roman" w:hAnsi="Times New Roman" w:cs="Times New Roman"/>
                      <w:b w:val="0"/>
                      <w:bCs w:val="0"/>
                      <w:color w:val="auto"/>
                      <w:sz w:val="21"/>
                      <w:szCs w:val="21"/>
                      <w:highlight w:val="none"/>
                      <w:lang w:val="en-US"/>
                    </w:rPr>
                  </w:pPr>
                  <w:r>
                    <w:rPr>
                      <w:rFonts w:ascii="Times New Roman" w:hAnsi="Times New Roman" w:cs="Times New Roman"/>
                      <w:b w:val="0"/>
                      <w:bCs w:val="0"/>
                      <w:color w:val="auto"/>
                      <w:sz w:val="21"/>
                      <w:szCs w:val="21"/>
                      <w:highlight w:val="none"/>
                      <w:lang w:val="en-US"/>
                    </w:rPr>
                    <w:t>5</w:t>
                  </w:r>
                </w:p>
              </w:tc>
              <w:tc>
                <w:tcPr>
                  <w:tcW w:w="4140" w:type="dxa"/>
                  <w:noWrap/>
                  <w:vAlign w:val="center"/>
                </w:tcPr>
                <w:p>
                  <w:pPr>
                    <w:pStyle w:val="4"/>
                    <w:keepNext/>
                    <w:spacing w:line="240" w:lineRule="auto"/>
                    <w:ind w:firstLine="0" w:firstLineChars="0"/>
                    <w:jc w:val="left"/>
                    <w:outlineLvl w:val="1"/>
                    <w:rPr>
                      <w:rFonts w:ascii="Times New Roman" w:hAnsi="Times New Roman" w:cs="Times New Roman"/>
                      <w:b w:val="0"/>
                      <w:bCs w:val="0"/>
                      <w:color w:val="auto"/>
                      <w:sz w:val="21"/>
                      <w:szCs w:val="21"/>
                      <w:highlight w:val="none"/>
                      <w:lang w:val="en-US"/>
                    </w:rPr>
                  </w:pPr>
                  <w:r>
                    <w:rPr>
                      <w:rFonts w:ascii="Times New Roman" w:cs="Times New Roman"/>
                      <w:b w:val="0"/>
                      <w:bCs w:val="0"/>
                      <w:color w:val="auto"/>
                      <w:sz w:val="21"/>
                      <w:szCs w:val="21"/>
                      <w:highlight w:val="none"/>
                      <w:lang w:val="en-US"/>
                    </w:rPr>
                    <w:t>严格土壤污染风险管控。严格按照《土壤污染防治法》、《农用地土壤环境管理办法》、《污染地块土壤环境管理办法》、《浙江省污染地块开发利用监督管理暂行办法》、《工矿用地土壤环境管理办法》、《浙江省重点重金属污染物减排计划（</w:t>
                  </w:r>
                  <w:r>
                    <w:rPr>
                      <w:rFonts w:ascii="Times New Roman" w:hAnsi="Times New Roman" w:cs="Times New Roman"/>
                      <w:b w:val="0"/>
                      <w:bCs w:val="0"/>
                      <w:color w:val="auto"/>
                      <w:sz w:val="21"/>
                      <w:szCs w:val="21"/>
                      <w:highlight w:val="none"/>
                      <w:lang w:val="en-US"/>
                    </w:rPr>
                    <w:t>2017-2020</w:t>
                  </w:r>
                  <w:r>
                    <w:rPr>
                      <w:rFonts w:ascii="Times New Roman" w:cs="Times New Roman"/>
                      <w:b w:val="0"/>
                      <w:bCs w:val="0"/>
                      <w:color w:val="auto"/>
                      <w:sz w:val="21"/>
                      <w:szCs w:val="21"/>
                      <w:highlight w:val="none"/>
                      <w:lang w:val="en-US"/>
                    </w:rPr>
                    <w:t>年）》实施分类管控。在永久基本农田集中区域，不得新建可能造成土壤污染的建设项目；已经建成的，应当限期关闭拆除。对安全利用类农用地地块应当结合主要作物品种和种植习惯等情况，制定并实施安全利用方案；对严格管控类农用地地块应当采取相应的风险管控措施。对安全利用类农用地和严格管控类农用地区域周边原有的工业企业，应严格控制环境风险，逐步削减具有土壤污染风险的污染物排放总量；农用地资源紧缺或耕地保有量不足的区域，应做好企业关闭搬迁计划和农用地土壤修复规划。</w:t>
                  </w:r>
                </w:p>
              </w:tc>
              <w:tc>
                <w:tcPr>
                  <w:tcW w:w="2144" w:type="dxa"/>
                  <w:noWrap/>
                  <w:vAlign w:val="center"/>
                </w:tcPr>
                <w:p>
                  <w:pPr>
                    <w:pStyle w:val="4"/>
                    <w:keepNext/>
                    <w:spacing w:line="240" w:lineRule="auto"/>
                    <w:ind w:firstLine="0" w:firstLineChars="0"/>
                    <w:outlineLvl w:val="1"/>
                    <w:rPr>
                      <w:b w:val="0"/>
                      <w:bCs w:val="0"/>
                      <w:color w:val="auto"/>
                      <w:sz w:val="21"/>
                      <w:szCs w:val="21"/>
                      <w:highlight w:val="none"/>
                      <w:lang w:val="en-US"/>
                    </w:rPr>
                  </w:pPr>
                  <w:r>
                    <w:rPr>
                      <w:rStyle w:val="33"/>
                      <w:rFonts w:ascii="Times New Roman" w:hAnsi="Times New Roman"/>
                      <w:b w:val="0"/>
                      <w:bCs w:val="0"/>
                      <w:color w:val="auto"/>
                      <w:sz w:val="21"/>
                      <w:szCs w:val="21"/>
                      <w:highlight w:val="none"/>
                    </w:rPr>
                    <w:t>本项目位于</w:t>
                  </w:r>
                  <w:r>
                    <w:rPr>
                      <w:rStyle w:val="33"/>
                      <w:rFonts w:hint="eastAsia" w:ascii="Times New Roman" w:hAnsi="Times New Roman"/>
                      <w:b w:val="0"/>
                      <w:bCs w:val="0"/>
                      <w:color w:val="auto"/>
                      <w:sz w:val="21"/>
                      <w:szCs w:val="21"/>
                      <w:highlight w:val="none"/>
                      <w:lang w:val="en-US"/>
                    </w:rPr>
                    <w:t>德清县乾元镇苕溪东街1155号</w:t>
                  </w:r>
                  <w:r>
                    <w:rPr>
                      <w:rFonts w:hint="eastAsia" w:ascii="Times New Roman" w:hAnsi="Times New Roman"/>
                      <w:b w:val="0"/>
                      <w:bCs w:val="0"/>
                      <w:color w:val="auto"/>
                      <w:sz w:val="21"/>
                      <w:szCs w:val="21"/>
                      <w:highlight w:val="none"/>
                      <w:lang w:val="en-US"/>
                    </w:rPr>
                    <w:t>，属于二类工业工地，不属于永久基本农田区域。</w:t>
                  </w:r>
                </w:p>
              </w:tc>
              <w:tc>
                <w:tcPr>
                  <w:tcW w:w="629" w:type="dxa"/>
                  <w:noWrap/>
                  <w:vAlign w:val="center"/>
                </w:tcPr>
                <w:p>
                  <w:pPr>
                    <w:pStyle w:val="4"/>
                    <w:keepNext/>
                    <w:spacing w:line="240" w:lineRule="auto"/>
                    <w:ind w:firstLine="0" w:firstLineChars="0"/>
                    <w:jc w:val="center"/>
                    <w:outlineLvl w:val="1"/>
                    <w:rPr>
                      <w:b w:val="0"/>
                      <w:bCs w:val="0"/>
                      <w:color w:val="auto"/>
                      <w:sz w:val="21"/>
                      <w:szCs w:val="21"/>
                      <w:highlight w:val="none"/>
                      <w:lang w:val="en-US"/>
                    </w:rPr>
                  </w:pPr>
                  <w:r>
                    <w:rPr>
                      <w:rFonts w:hint="eastAsia"/>
                      <w:b w:val="0"/>
                      <w:bCs w:val="0"/>
                      <w:color w:val="auto"/>
                      <w:sz w:val="21"/>
                      <w:szCs w:val="21"/>
                      <w:highlight w:val="none"/>
                      <w:lang w:val="en-US"/>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rFonts w:ascii="Times New Roman" w:hAnsi="Times New Roman" w:cs="Times New Roman"/>
                      <w:b w:val="0"/>
                      <w:bCs w:val="0"/>
                      <w:color w:val="auto"/>
                      <w:sz w:val="21"/>
                      <w:szCs w:val="21"/>
                      <w:highlight w:val="none"/>
                      <w:lang w:val="en-US"/>
                    </w:rPr>
                  </w:pPr>
                  <w:r>
                    <w:rPr>
                      <w:rFonts w:ascii="Times New Roman" w:hAnsi="Times New Roman" w:cs="Times New Roman"/>
                      <w:b w:val="0"/>
                      <w:bCs w:val="0"/>
                      <w:color w:val="auto"/>
                      <w:sz w:val="21"/>
                      <w:szCs w:val="21"/>
                      <w:highlight w:val="none"/>
                      <w:lang w:val="en-US"/>
                    </w:rPr>
                    <w:t>6</w:t>
                  </w:r>
                </w:p>
              </w:tc>
              <w:tc>
                <w:tcPr>
                  <w:tcW w:w="4140" w:type="dxa"/>
                  <w:noWrap/>
                  <w:vAlign w:val="center"/>
                </w:tcPr>
                <w:p>
                  <w:pPr>
                    <w:pStyle w:val="4"/>
                    <w:keepNext/>
                    <w:spacing w:line="240" w:lineRule="auto"/>
                    <w:ind w:firstLine="0" w:firstLineChars="0"/>
                    <w:jc w:val="left"/>
                    <w:outlineLvl w:val="1"/>
                    <w:rPr>
                      <w:rFonts w:ascii="Times New Roman" w:hAnsi="Times New Roman" w:cs="Times New Roman"/>
                      <w:b w:val="0"/>
                      <w:bCs w:val="0"/>
                      <w:color w:val="auto"/>
                      <w:sz w:val="21"/>
                      <w:szCs w:val="21"/>
                      <w:highlight w:val="none"/>
                      <w:lang w:val="en-US"/>
                    </w:rPr>
                  </w:pPr>
                  <w:r>
                    <w:rPr>
                      <w:rFonts w:ascii="Times New Roman" w:cs="Times New Roman"/>
                      <w:b w:val="0"/>
                      <w:bCs w:val="0"/>
                      <w:color w:val="auto"/>
                      <w:sz w:val="21"/>
                      <w:szCs w:val="21"/>
                      <w:highlight w:val="none"/>
                      <w:lang w:val="en-US"/>
                    </w:rPr>
                    <w:t>污染地块的开发利用实行联动监管。污染地块经治理与修复，并符合相应规划用地土壤环境质量要求后可以进入用地程序。列入建设用地土壤污染风险管控和修复名录的地块，不得作为住宅、公共管理和公共服务用地。对暂不开发利用的污染地块，实施以防止污染扩散为目的的风险管控。对拟开发利用为居住用地和商业、学校、医疗、养老机构等公共设施用地的污染地块，实施以安全利用为目的的风险管控。</w:t>
                  </w:r>
                </w:p>
              </w:tc>
              <w:tc>
                <w:tcPr>
                  <w:tcW w:w="2144" w:type="dxa"/>
                  <w:noWrap/>
                  <w:vAlign w:val="center"/>
                </w:tcPr>
                <w:p>
                  <w:pPr>
                    <w:pStyle w:val="4"/>
                    <w:keepNext/>
                    <w:spacing w:line="240" w:lineRule="auto"/>
                    <w:ind w:firstLine="0" w:firstLineChars="0"/>
                    <w:outlineLvl w:val="1"/>
                    <w:rPr>
                      <w:rStyle w:val="33"/>
                      <w:rFonts w:ascii="Times New Roman" w:hAnsi="Times New Roman"/>
                      <w:b w:val="0"/>
                      <w:bCs w:val="0"/>
                      <w:color w:val="auto"/>
                      <w:sz w:val="21"/>
                      <w:szCs w:val="21"/>
                      <w:highlight w:val="none"/>
                      <w:lang w:val="en-US"/>
                    </w:rPr>
                  </w:pPr>
                  <w:r>
                    <w:rPr>
                      <w:rStyle w:val="33"/>
                      <w:rFonts w:hint="eastAsia" w:ascii="Times New Roman" w:hAnsi="Times New Roman"/>
                      <w:b w:val="0"/>
                      <w:bCs w:val="0"/>
                      <w:color w:val="auto"/>
                      <w:sz w:val="21"/>
                      <w:szCs w:val="21"/>
                      <w:highlight w:val="none"/>
                      <w:lang w:val="en-US"/>
                    </w:rPr>
                    <w:t>本项目不涉及。</w:t>
                  </w:r>
                </w:p>
              </w:tc>
              <w:tc>
                <w:tcPr>
                  <w:tcW w:w="629" w:type="dxa"/>
                  <w:noWrap/>
                  <w:vAlign w:val="center"/>
                </w:tcPr>
                <w:p>
                  <w:pPr>
                    <w:pStyle w:val="4"/>
                    <w:keepNext/>
                    <w:spacing w:line="240" w:lineRule="auto"/>
                    <w:ind w:firstLine="0" w:firstLineChars="0"/>
                    <w:jc w:val="center"/>
                    <w:outlineLvl w:val="1"/>
                    <w:rPr>
                      <w:b w:val="0"/>
                      <w:bCs w:val="0"/>
                      <w:color w:val="auto"/>
                      <w:sz w:val="21"/>
                      <w:szCs w:val="21"/>
                      <w:highlight w:val="none"/>
                      <w:lang w:val="en-US"/>
                    </w:rPr>
                  </w:pPr>
                  <w:r>
                    <w:rPr>
                      <w:rFonts w:hint="eastAsia"/>
                      <w:b w:val="0"/>
                      <w:bCs w:val="0"/>
                      <w:color w:val="auto"/>
                      <w:sz w:val="21"/>
                      <w:szCs w:val="21"/>
                      <w:highlight w:val="none"/>
                      <w:lang w:val="en-US"/>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7" w:type="dxa"/>
                  <w:noWrap/>
                  <w:vAlign w:val="center"/>
                </w:tcPr>
                <w:p>
                  <w:pPr>
                    <w:pStyle w:val="4"/>
                    <w:keepNext/>
                    <w:spacing w:line="240" w:lineRule="auto"/>
                    <w:ind w:firstLine="0" w:firstLineChars="0"/>
                    <w:jc w:val="center"/>
                    <w:outlineLvl w:val="1"/>
                    <w:rPr>
                      <w:rFonts w:ascii="Times New Roman" w:hAnsi="Times New Roman" w:cs="Times New Roman"/>
                      <w:b w:val="0"/>
                      <w:bCs w:val="0"/>
                      <w:color w:val="auto"/>
                      <w:sz w:val="21"/>
                      <w:szCs w:val="21"/>
                      <w:highlight w:val="none"/>
                      <w:lang w:val="en-US"/>
                    </w:rPr>
                  </w:pPr>
                  <w:r>
                    <w:rPr>
                      <w:rFonts w:ascii="Times New Roman" w:hAnsi="Times New Roman" w:cs="Times New Roman"/>
                      <w:b w:val="0"/>
                      <w:bCs w:val="0"/>
                      <w:color w:val="auto"/>
                      <w:sz w:val="21"/>
                      <w:szCs w:val="21"/>
                      <w:highlight w:val="none"/>
                      <w:lang w:val="en-US"/>
                    </w:rPr>
                    <w:t>7</w:t>
                  </w:r>
                </w:p>
              </w:tc>
              <w:tc>
                <w:tcPr>
                  <w:tcW w:w="4140" w:type="dxa"/>
                  <w:noWrap/>
                  <w:vAlign w:val="center"/>
                </w:tcPr>
                <w:p>
                  <w:pPr>
                    <w:pStyle w:val="4"/>
                    <w:keepNext/>
                    <w:spacing w:line="240" w:lineRule="auto"/>
                    <w:ind w:firstLine="0" w:firstLineChars="0"/>
                    <w:jc w:val="left"/>
                    <w:outlineLvl w:val="1"/>
                    <w:rPr>
                      <w:rFonts w:ascii="Times New Roman" w:hAnsi="Times New Roman" w:cs="Times New Roman"/>
                      <w:b w:val="0"/>
                      <w:bCs w:val="0"/>
                      <w:color w:val="auto"/>
                      <w:sz w:val="21"/>
                      <w:szCs w:val="21"/>
                      <w:highlight w:val="none"/>
                      <w:lang w:val="en-US"/>
                    </w:rPr>
                  </w:pPr>
                  <w:r>
                    <w:rPr>
                      <w:rFonts w:ascii="Times New Roman" w:cs="Times New Roman"/>
                      <w:b w:val="0"/>
                      <w:bCs w:val="0"/>
                      <w:color w:val="auto"/>
                      <w:sz w:val="21"/>
                      <w:szCs w:val="21"/>
                      <w:highlight w:val="none"/>
                      <w:lang w:val="en-US"/>
                    </w:rPr>
                    <w:t>严格执行相关行业企业布局选址要求，禁止在居民区、学校、疗养和养老机构等敏感区域周边新建、改建、扩建可能造成土壤污染的建设项目。土壤污染重点监管单位新（改、扩）建项目用地应当符合国家或地方有关建设用地土壤风险管控标准。支持电镀、制革、电池等涉重企业向工业园区集聚发展。重点涉重行业（电镀、铅蓄电池、制革、铅锌矿采选、铅锌铜冶炼等行业）建设项目要按各重金属污染物新增量与削减量不低于</w:t>
                  </w:r>
                  <w:r>
                    <w:rPr>
                      <w:rFonts w:ascii="Times New Roman" w:hAnsi="Times New Roman" w:cs="Times New Roman"/>
                      <w:b w:val="0"/>
                      <w:bCs w:val="0"/>
                      <w:color w:val="auto"/>
                      <w:sz w:val="21"/>
                      <w:szCs w:val="21"/>
                      <w:highlight w:val="none"/>
                      <w:lang w:val="en-US"/>
                    </w:rPr>
                    <w:t>1:1.2</w:t>
                  </w:r>
                  <w:r>
                    <w:rPr>
                      <w:rFonts w:ascii="Times New Roman" w:cs="Times New Roman"/>
                      <w:b w:val="0"/>
                      <w:bCs w:val="0"/>
                      <w:color w:val="auto"/>
                      <w:sz w:val="21"/>
                      <w:szCs w:val="21"/>
                      <w:highlight w:val="none"/>
                      <w:lang w:val="en-US"/>
                    </w:rPr>
                    <w:t>比例替代，其余涉重建设项目按</w:t>
                  </w:r>
                  <w:r>
                    <w:rPr>
                      <w:rFonts w:ascii="Times New Roman" w:hAnsi="Times New Roman" w:cs="Times New Roman"/>
                      <w:b w:val="0"/>
                      <w:bCs w:val="0"/>
                      <w:color w:val="auto"/>
                      <w:sz w:val="21"/>
                      <w:szCs w:val="21"/>
                      <w:highlight w:val="none"/>
                      <w:lang w:val="en-US"/>
                    </w:rPr>
                    <w:t>1:1</w:t>
                  </w:r>
                  <w:r>
                    <w:rPr>
                      <w:rFonts w:ascii="Times New Roman" w:cs="Times New Roman"/>
                      <w:b w:val="0"/>
                      <w:bCs w:val="0"/>
                      <w:color w:val="auto"/>
                      <w:sz w:val="21"/>
                      <w:szCs w:val="21"/>
                      <w:highlight w:val="none"/>
                      <w:lang w:val="en-US"/>
                    </w:rPr>
                    <w:t>比例替代。涉重产业园区应严格准入管控，严控污染增量，实施总量替代，新建项目清洁生产水平达到国内先进水平；建立土壤和地下水污染隐患排查治理制度、风险防控体系和长效监管机制。</w:t>
                  </w:r>
                </w:p>
              </w:tc>
              <w:tc>
                <w:tcPr>
                  <w:tcW w:w="2144" w:type="dxa"/>
                  <w:noWrap/>
                  <w:vAlign w:val="center"/>
                </w:tcPr>
                <w:p>
                  <w:pPr>
                    <w:pStyle w:val="4"/>
                    <w:keepNext/>
                    <w:spacing w:line="240" w:lineRule="auto"/>
                    <w:ind w:firstLine="0" w:firstLineChars="0"/>
                    <w:outlineLvl w:val="1"/>
                    <w:rPr>
                      <w:rStyle w:val="33"/>
                      <w:rFonts w:ascii="Times New Roman" w:hAnsi="Times New Roman"/>
                      <w:b w:val="0"/>
                      <w:bCs w:val="0"/>
                      <w:color w:val="auto"/>
                      <w:sz w:val="21"/>
                      <w:szCs w:val="21"/>
                      <w:highlight w:val="none"/>
                      <w:lang w:val="en-US"/>
                    </w:rPr>
                  </w:pPr>
                  <w:r>
                    <w:rPr>
                      <w:rStyle w:val="33"/>
                      <w:rFonts w:hint="eastAsia" w:ascii="Times New Roman" w:hAnsi="Times New Roman"/>
                      <w:b w:val="0"/>
                      <w:bCs w:val="0"/>
                      <w:color w:val="auto"/>
                      <w:sz w:val="21"/>
                      <w:szCs w:val="21"/>
                      <w:highlight w:val="none"/>
                      <w:lang w:val="en-US"/>
                    </w:rPr>
                    <w:t>本项目不涉及。</w:t>
                  </w:r>
                </w:p>
              </w:tc>
              <w:tc>
                <w:tcPr>
                  <w:tcW w:w="629" w:type="dxa"/>
                  <w:noWrap/>
                  <w:vAlign w:val="center"/>
                </w:tcPr>
                <w:p>
                  <w:pPr>
                    <w:pStyle w:val="4"/>
                    <w:keepNext/>
                    <w:spacing w:line="240" w:lineRule="auto"/>
                    <w:ind w:firstLine="0" w:firstLineChars="0"/>
                    <w:jc w:val="center"/>
                    <w:outlineLvl w:val="1"/>
                    <w:rPr>
                      <w:b w:val="0"/>
                      <w:bCs w:val="0"/>
                      <w:color w:val="auto"/>
                      <w:sz w:val="21"/>
                      <w:szCs w:val="21"/>
                      <w:highlight w:val="none"/>
                      <w:lang w:val="en-US"/>
                    </w:rPr>
                  </w:pPr>
                  <w:r>
                    <w:rPr>
                      <w:rFonts w:hint="eastAsia"/>
                      <w:b w:val="0"/>
                      <w:bCs w:val="0"/>
                      <w:color w:val="auto"/>
                      <w:sz w:val="21"/>
                      <w:szCs w:val="21"/>
                      <w:highlight w:val="none"/>
                      <w:lang w:val="en-US"/>
                    </w:rPr>
                    <w:t>符合</w:t>
                  </w:r>
                </w:p>
              </w:tc>
            </w:tr>
          </w:tbl>
          <w:p>
            <w:pPr>
              <w:pStyle w:val="2"/>
              <w:spacing w:line="500" w:lineRule="exact"/>
              <w:ind w:firstLine="480"/>
              <w:rPr>
                <w:color w:val="auto"/>
                <w:sz w:val="24"/>
                <w:szCs w:val="24"/>
                <w:highlight w:val="none"/>
              </w:rPr>
            </w:pPr>
            <w:r>
              <w:rPr>
                <w:rStyle w:val="33"/>
                <w:b w:val="0"/>
                <w:color w:val="auto"/>
                <w:sz w:val="24"/>
                <w:szCs w:val="24"/>
                <w:highlight w:val="none"/>
              </w:rPr>
              <w:t>综上所述，本项目符合</w:t>
            </w:r>
            <w:r>
              <w:rPr>
                <w:color w:val="auto"/>
                <w:sz w:val="24"/>
                <w:szCs w:val="24"/>
                <w:highlight w:val="none"/>
              </w:rPr>
              <w:t>总体准入清单</w:t>
            </w:r>
            <w:r>
              <w:rPr>
                <w:rFonts w:hint="eastAsia"/>
                <w:color w:val="auto"/>
                <w:sz w:val="24"/>
                <w:szCs w:val="24"/>
                <w:highlight w:val="none"/>
              </w:rPr>
              <w:t>管控</w:t>
            </w:r>
            <w:r>
              <w:rPr>
                <w:rStyle w:val="33"/>
                <w:b w:val="0"/>
                <w:color w:val="auto"/>
                <w:sz w:val="24"/>
                <w:szCs w:val="24"/>
                <w:highlight w:val="none"/>
              </w:rPr>
              <w:t>要求。</w:t>
            </w:r>
          </w:p>
          <w:p>
            <w:pPr>
              <w:wordWrap w:val="0"/>
              <w:spacing w:line="500" w:lineRule="exact"/>
              <w:ind w:firstLine="480"/>
              <w:jc w:val="left"/>
              <w:rPr>
                <w:color w:val="auto"/>
                <w:szCs w:val="24"/>
                <w:highlight w:val="none"/>
              </w:rPr>
            </w:pPr>
            <w:r>
              <w:rPr>
                <w:rFonts w:hint="eastAsia"/>
                <w:color w:val="auto"/>
                <w:szCs w:val="24"/>
                <w:highlight w:val="none"/>
              </w:rPr>
              <w:t>（2）</w:t>
            </w:r>
            <w:r>
              <w:rPr>
                <w:bCs/>
                <w:color w:val="auto"/>
                <w:szCs w:val="24"/>
                <w:highlight w:val="none"/>
              </w:rPr>
              <w:t>德清县</w:t>
            </w:r>
            <w:r>
              <w:rPr>
                <w:rFonts w:hint="eastAsia"/>
                <w:bCs/>
                <w:color w:val="auto"/>
                <w:szCs w:val="24"/>
                <w:highlight w:val="none"/>
              </w:rPr>
              <w:t>“</w:t>
            </w:r>
            <w:r>
              <w:rPr>
                <w:bCs/>
                <w:color w:val="auto"/>
                <w:szCs w:val="24"/>
                <w:highlight w:val="none"/>
              </w:rPr>
              <w:t>三线一单</w:t>
            </w:r>
            <w:r>
              <w:rPr>
                <w:rFonts w:hint="eastAsia"/>
                <w:bCs/>
                <w:color w:val="auto"/>
                <w:szCs w:val="24"/>
                <w:highlight w:val="none"/>
              </w:rPr>
              <w:t>”</w:t>
            </w:r>
            <w:r>
              <w:rPr>
                <w:bCs/>
                <w:color w:val="auto"/>
                <w:szCs w:val="24"/>
                <w:highlight w:val="none"/>
              </w:rPr>
              <w:t>生态环境分区管控方案符合性</w:t>
            </w:r>
            <w:r>
              <w:rPr>
                <w:rFonts w:hint="eastAsia"/>
                <w:bCs/>
                <w:color w:val="auto"/>
                <w:szCs w:val="24"/>
                <w:highlight w:val="none"/>
              </w:rPr>
              <w:t>分析</w:t>
            </w:r>
          </w:p>
          <w:p>
            <w:pPr>
              <w:wordWrap w:val="0"/>
              <w:spacing w:line="500" w:lineRule="exact"/>
              <w:ind w:firstLine="480"/>
              <w:jc w:val="left"/>
              <w:rPr>
                <w:b/>
                <w:bCs/>
                <w:color w:val="auto"/>
                <w:szCs w:val="24"/>
                <w:highlight w:val="none"/>
              </w:rPr>
            </w:pPr>
            <w:r>
              <w:rPr>
                <w:rFonts w:hint="eastAsia"/>
                <w:color w:val="auto"/>
                <w:szCs w:val="24"/>
                <w:highlight w:val="none"/>
              </w:rPr>
              <w:t>根据《德清县“三线一单”生态环境分区管控方案》（德政函〔2020〕77号）本项目位于</w:t>
            </w:r>
            <w:r>
              <w:rPr>
                <w:b/>
                <w:bCs/>
                <w:color w:val="auto"/>
                <w:szCs w:val="24"/>
                <w:highlight w:val="none"/>
              </w:rPr>
              <w:t>湖州市德清县临杭产业集聚重点管控单元（ZH33052120005）</w:t>
            </w:r>
            <w:r>
              <w:rPr>
                <w:rFonts w:hint="eastAsia"/>
                <w:color w:val="auto"/>
                <w:szCs w:val="24"/>
                <w:highlight w:val="none"/>
              </w:rPr>
              <w:t>内，具体相符性分析见表1-4。</w:t>
            </w:r>
          </w:p>
          <w:p>
            <w:pPr>
              <w:spacing w:line="460" w:lineRule="exact"/>
              <w:ind w:firstLine="0" w:firstLineChars="0"/>
              <w:jc w:val="center"/>
              <w:rPr>
                <w:color w:val="auto"/>
                <w:sz w:val="21"/>
                <w:szCs w:val="21"/>
                <w:highlight w:val="none"/>
              </w:rPr>
            </w:pPr>
            <w:r>
              <w:rPr>
                <w:b/>
                <w:bCs/>
                <w:color w:val="auto"/>
                <w:sz w:val="21"/>
                <w:szCs w:val="21"/>
                <w:highlight w:val="none"/>
              </w:rPr>
              <w:t>表</w:t>
            </w:r>
            <w:r>
              <w:rPr>
                <w:rFonts w:hint="eastAsia"/>
                <w:b/>
                <w:bCs/>
                <w:color w:val="auto"/>
                <w:sz w:val="21"/>
                <w:szCs w:val="21"/>
                <w:highlight w:val="none"/>
              </w:rPr>
              <w:t>1-4</w:t>
            </w:r>
            <w:r>
              <w:rPr>
                <w:b/>
                <w:bCs/>
                <w:color w:val="auto"/>
                <w:sz w:val="21"/>
                <w:szCs w:val="21"/>
                <w:highlight w:val="none"/>
              </w:rPr>
              <w:t xml:space="preserve">  湖州市德清县临杭产业集聚重点管控单元</w:t>
            </w:r>
            <w:r>
              <w:rPr>
                <w:rFonts w:hint="eastAsia"/>
                <w:b/>
                <w:bCs/>
                <w:color w:val="auto"/>
                <w:sz w:val="21"/>
                <w:szCs w:val="21"/>
                <w:highlight w:val="none"/>
              </w:rPr>
              <w:t>符合性分析</w:t>
            </w:r>
          </w:p>
          <w:tbl>
            <w:tblPr>
              <w:tblStyle w:val="31"/>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821"/>
              <w:gridCol w:w="3637"/>
              <w:gridCol w:w="2992"/>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22" w:type="dxa"/>
                  <w:noWrap/>
                  <w:vAlign w:val="center"/>
                </w:tcPr>
                <w:p>
                  <w:pPr>
                    <w:spacing w:line="240" w:lineRule="auto"/>
                    <w:ind w:firstLine="0" w:firstLineChars="0"/>
                    <w:jc w:val="center"/>
                    <w:rPr>
                      <w:rFonts w:hint="eastAsia"/>
                      <w:b/>
                      <w:color w:val="auto"/>
                      <w:sz w:val="21"/>
                      <w:szCs w:val="21"/>
                      <w:highlight w:val="none"/>
                    </w:rPr>
                  </w:pPr>
                  <w:r>
                    <w:rPr>
                      <w:b/>
                      <w:color w:val="auto"/>
                      <w:sz w:val="21"/>
                      <w:szCs w:val="21"/>
                      <w:highlight w:val="none"/>
                    </w:rPr>
                    <w:t>管控</w:t>
                  </w:r>
                </w:p>
                <w:p>
                  <w:pPr>
                    <w:spacing w:line="240" w:lineRule="auto"/>
                    <w:ind w:firstLine="0" w:firstLineChars="0"/>
                    <w:jc w:val="center"/>
                    <w:rPr>
                      <w:b/>
                      <w:color w:val="auto"/>
                      <w:sz w:val="21"/>
                      <w:szCs w:val="21"/>
                      <w:highlight w:val="none"/>
                    </w:rPr>
                  </w:pPr>
                  <w:r>
                    <w:rPr>
                      <w:b/>
                      <w:color w:val="auto"/>
                      <w:sz w:val="21"/>
                      <w:szCs w:val="21"/>
                      <w:highlight w:val="none"/>
                    </w:rPr>
                    <w:t>类型</w:t>
                  </w:r>
                </w:p>
              </w:tc>
              <w:tc>
                <w:tcPr>
                  <w:tcW w:w="3637"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管控要求</w:t>
                  </w:r>
                </w:p>
              </w:tc>
              <w:tc>
                <w:tcPr>
                  <w:tcW w:w="2992"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相符性分析</w:t>
                  </w:r>
                </w:p>
              </w:tc>
              <w:tc>
                <w:tcPr>
                  <w:tcW w:w="602"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2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空间布局约束</w:t>
                  </w:r>
                </w:p>
              </w:tc>
              <w:tc>
                <w:tcPr>
                  <w:tcW w:w="3637" w:type="dxa"/>
                  <w:noWrap/>
                  <w:vAlign w:val="center"/>
                </w:tcPr>
                <w:p>
                  <w:pPr>
                    <w:spacing w:line="240" w:lineRule="auto"/>
                    <w:ind w:firstLine="0" w:firstLineChars="0"/>
                    <w:jc w:val="center"/>
                    <w:rPr>
                      <w:color w:val="auto"/>
                      <w:kern w:val="0"/>
                      <w:sz w:val="21"/>
                      <w:szCs w:val="21"/>
                      <w:highlight w:val="none"/>
                    </w:rPr>
                  </w:pPr>
                  <w:r>
                    <w:rPr>
                      <w:color w:val="auto"/>
                      <w:sz w:val="21"/>
                      <w:szCs w:val="21"/>
                      <w:highlight w:val="none"/>
                    </w:rPr>
                    <w:t>优化完善区域产业布局，合理规划布局三类工业项目，鼓励对三类工业项目进行淘汰和提升改造。在居住区和工业区、工业企业之间设置防护绿地、生态绿地等隔离带。土壤污染重点监管单位新（改、扩）建项目用地应当符合国家或地方有关建设用地土壤风险管控标准。</w:t>
                  </w:r>
                </w:p>
              </w:tc>
              <w:tc>
                <w:tcPr>
                  <w:tcW w:w="2992" w:type="dxa"/>
                  <w:noWrap/>
                  <w:vAlign w:val="center"/>
                </w:tcPr>
                <w:p>
                  <w:pPr>
                    <w:spacing w:line="240" w:lineRule="auto"/>
                    <w:ind w:firstLine="0" w:firstLineChars="0"/>
                    <w:jc w:val="center"/>
                    <w:rPr>
                      <w:color w:val="auto"/>
                      <w:kern w:val="0"/>
                      <w:sz w:val="21"/>
                      <w:szCs w:val="21"/>
                      <w:highlight w:val="none"/>
                    </w:rPr>
                  </w:pPr>
                  <w:r>
                    <w:rPr>
                      <w:color w:val="auto"/>
                      <w:kern w:val="0"/>
                      <w:sz w:val="21"/>
                      <w:szCs w:val="21"/>
                      <w:highlight w:val="none"/>
                    </w:rPr>
                    <w:t>本项目属于二类工业项目，</w:t>
                  </w:r>
                  <w:r>
                    <w:rPr>
                      <w:rFonts w:hint="eastAsia"/>
                      <w:color w:val="auto"/>
                      <w:sz w:val="21"/>
                      <w:szCs w:val="21"/>
                      <w:highlight w:val="none"/>
                    </w:rPr>
                    <w:t>乾元镇</w:t>
                  </w:r>
                  <w:r>
                    <w:rPr>
                      <w:color w:val="auto"/>
                      <w:sz w:val="21"/>
                      <w:szCs w:val="21"/>
                      <w:highlight w:val="none"/>
                    </w:rPr>
                    <w:t>有关部门已在居住区和工业区、工业企业间设置了防护绿地、生态绿地等隔离带；</w:t>
                  </w:r>
                  <w:r>
                    <w:rPr>
                      <w:rFonts w:hint="eastAsia"/>
                      <w:color w:val="auto"/>
                      <w:sz w:val="21"/>
                      <w:szCs w:val="21"/>
                      <w:highlight w:val="none"/>
                    </w:rPr>
                    <w:t>浙江安捷森建材科技有限公司</w:t>
                  </w:r>
                  <w:r>
                    <w:rPr>
                      <w:color w:val="auto"/>
                      <w:sz w:val="21"/>
                      <w:szCs w:val="21"/>
                      <w:highlight w:val="none"/>
                    </w:rPr>
                    <w:t>未列入土壤污染重点监管单位，且项目所在地土壤环境能够达到国家或地方有关建设用地土壤风险管控标准</w:t>
                  </w:r>
                  <w:r>
                    <w:rPr>
                      <w:color w:val="auto"/>
                      <w:kern w:val="0"/>
                      <w:sz w:val="21"/>
                      <w:szCs w:val="21"/>
                      <w:highlight w:val="none"/>
                    </w:rPr>
                    <w:t>。</w:t>
                  </w:r>
                </w:p>
              </w:tc>
              <w:tc>
                <w:tcPr>
                  <w:tcW w:w="60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2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污染物排放管控</w:t>
                  </w:r>
                </w:p>
              </w:tc>
              <w:tc>
                <w:tcPr>
                  <w:tcW w:w="36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实施污染物总量控制制度，严格</w:t>
                  </w:r>
                  <w:r>
                    <w:rPr>
                      <w:rFonts w:hint="eastAsia"/>
                      <w:color w:val="auto"/>
                      <w:sz w:val="21"/>
                      <w:szCs w:val="21"/>
                      <w:highlight w:val="none"/>
                    </w:rPr>
                    <w:t>能够达到</w:t>
                  </w:r>
                  <w:r>
                    <w:rPr>
                      <w:color w:val="auto"/>
                      <w:sz w:val="21"/>
                      <w:szCs w:val="21"/>
                      <w:highlight w:val="none"/>
                    </w:rPr>
                    <w:t>地区削减目标。新建二类、三类工业项目污染物排放水平要达到同行业国内先进水平。推进工业集聚区“零直排区”建设，所有企业实现雨污分流，现有工业集聚区内工业企业废水必须经预处理达到集中处理要求，方可进入污水集中处理设施。</w:t>
                  </w:r>
                </w:p>
              </w:tc>
              <w:tc>
                <w:tcPr>
                  <w:tcW w:w="2992" w:type="dxa"/>
                  <w:noWrap/>
                  <w:vAlign w:val="center"/>
                </w:tcPr>
                <w:p>
                  <w:pPr>
                    <w:spacing w:line="240" w:lineRule="auto"/>
                    <w:ind w:firstLine="0" w:firstLineChars="0"/>
                    <w:jc w:val="center"/>
                    <w:rPr>
                      <w:bCs/>
                      <w:color w:val="auto"/>
                      <w:sz w:val="21"/>
                      <w:szCs w:val="21"/>
                      <w:highlight w:val="none"/>
                    </w:rPr>
                  </w:pPr>
                  <w:r>
                    <w:rPr>
                      <w:bCs/>
                      <w:color w:val="auto"/>
                      <w:sz w:val="21"/>
                      <w:szCs w:val="21"/>
                      <w:highlight w:val="none"/>
                    </w:rPr>
                    <w:t>本项目属于二类工业项目，其污染物排放量相对不大，总体而言污染物排放水平能够达到</w:t>
                  </w:r>
                  <w:r>
                    <w:rPr>
                      <w:color w:val="auto"/>
                      <w:sz w:val="21"/>
                      <w:szCs w:val="21"/>
                      <w:highlight w:val="none"/>
                    </w:rPr>
                    <w:t>同行业国内先进水平；</w:t>
                  </w:r>
                  <w:r>
                    <w:rPr>
                      <w:bCs/>
                      <w:color w:val="auto"/>
                      <w:sz w:val="21"/>
                      <w:szCs w:val="21"/>
                      <w:highlight w:val="none"/>
                    </w:rPr>
                    <w:t>项目所在地污水管网已接通，同时厂区将实行雨污分流制，生活污水经化粪池预处理后</w:t>
                  </w:r>
                  <w:r>
                    <w:rPr>
                      <w:rFonts w:hint="eastAsia"/>
                      <w:bCs/>
                      <w:color w:val="auto"/>
                      <w:sz w:val="21"/>
                      <w:szCs w:val="21"/>
                      <w:highlight w:val="none"/>
                    </w:rPr>
                    <w:t>清运至德清县乾元污水处理有限公司</w:t>
                  </w:r>
                  <w:r>
                    <w:rPr>
                      <w:bCs/>
                      <w:color w:val="auto"/>
                      <w:sz w:val="21"/>
                      <w:szCs w:val="21"/>
                      <w:highlight w:val="none"/>
                    </w:rPr>
                    <w:t>集中处理，达标排放。</w:t>
                  </w:r>
                </w:p>
              </w:tc>
              <w:tc>
                <w:tcPr>
                  <w:tcW w:w="60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2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环境风险管控</w:t>
                  </w:r>
                </w:p>
              </w:tc>
              <w:tc>
                <w:tcPr>
                  <w:tcW w:w="36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严格控制石油加工、化学原料和化学制品制造、医药制造、化学纤维制造、有色金属冶炼、纺织印染等项目环境风险。定期评估沿江河湖库工业企业、工业集聚区环境和健康风险，落实防控措施。强化工业集聚区应急预案和风险防控体系建设，防范重点企业环境风险。</w:t>
                  </w:r>
                </w:p>
              </w:tc>
              <w:tc>
                <w:tcPr>
                  <w:tcW w:w="2992" w:type="dxa"/>
                  <w:noWrap/>
                  <w:vAlign w:val="center"/>
                </w:tcPr>
                <w:p>
                  <w:pPr>
                    <w:spacing w:line="240" w:lineRule="auto"/>
                    <w:ind w:firstLine="0" w:firstLineChars="0"/>
                    <w:rPr>
                      <w:color w:val="auto"/>
                      <w:kern w:val="0"/>
                      <w:sz w:val="21"/>
                      <w:szCs w:val="21"/>
                      <w:highlight w:val="none"/>
                    </w:rPr>
                  </w:pPr>
                  <w:r>
                    <w:rPr>
                      <w:color w:val="auto"/>
                      <w:kern w:val="0"/>
                      <w:sz w:val="21"/>
                      <w:szCs w:val="21"/>
                      <w:highlight w:val="none"/>
                    </w:rPr>
                    <w:t>本项目不属于</w:t>
                  </w:r>
                  <w:r>
                    <w:rPr>
                      <w:color w:val="auto"/>
                      <w:sz w:val="21"/>
                      <w:szCs w:val="21"/>
                      <w:highlight w:val="none"/>
                    </w:rPr>
                    <w:t>石油加工、化学原料和化学制品制造、医药制造、化学纤维制造、有色金属冶炼、纺织印染项目，</w:t>
                  </w:r>
                  <w:r>
                    <w:rPr>
                      <w:rFonts w:hint="eastAsia"/>
                      <w:color w:val="auto"/>
                      <w:sz w:val="21"/>
                      <w:szCs w:val="21"/>
                      <w:highlight w:val="none"/>
                    </w:rPr>
                    <w:t>乾元镇</w:t>
                  </w:r>
                  <w:r>
                    <w:rPr>
                      <w:color w:val="auto"/>
                      <w:sz w:val="21"/>
                      <w:szCs w:val="21"/>
                      <w:highlight w:val="none"/>
                    </w:rPr>
                    <w:t>有关部门将定期对沿江河湖库工业企业、工业集聚区的环境和健康风险进行评估，落实防控措施，同时强化工业集聚区应急预案和风险防控体系建设，防范重点企业环境风险。</w:t>
                  </w:r>
                </w:p>
              </w:tc>
              <w:tc>
                <w:tcPr>
                  <w:tcW w:w="60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2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资源利用效率</w:t>
                  </w:r>
                </w:p>
              </w:tc>
              <w:tc>
                <w:tcPr>
                  <w:tcW w:w="36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推进工业集聚区生态化改造，强化企业清洁生产改造，推进节水型企业、节水型工业园区建设，落实煤炭消费减量替代要求，提高资源能源利用效率。</w:t>
                  </w:r>
                </w:p>
              </w:tc>
              <w:tc>
                <w:tcPr>
                  <w:tcW w:w="2992" w:type="dxa"/>
                  <w:noWrap/>
                  <w:vAlign w:val="center"/>
                </w:tcPr>
                <w:p>
                  <w:pPr>
                    <w:spacing w:line="240" w:lineRule="auto"/>
                    <w:ind w:firstLine="0" w:firstLineChars="0"/>
                    <w:rPr>
                      <w:color w:val="auto"/>
                      <w:kern w:val="0"/>
                      <w:sz w:val="21"/>
                      <w:szCs w:val="21"/>
                      <w:highlight w:val="none"/>
                    </w:rPr>
                  </w:pPr>
                  <w:r>
                    <w:rPr>
                      <w:rFonts w:hint="eastAsia"/>
                      <w:color w:val="auto"/>
                      <w:kern w:val="0"/>
                      <w:sz w:val="21"/>
                      <w:szCs w:val="21"/>
                      <w:highlight w:val="none"/>
                    </w:rPr>
                    <w:t>本项目运营期主要用能为电和水，用量相对较小。</w:t>
                  </w:r>
                </w:p>
              </w:tc>
              <w:tc>
                <w:tcPr>
                  <w:tcW w:w="60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符合要求</w:t>
                  </w:r>
                </w:p>
              </w:tc>
            </w:tr>
          </w:tbl>
          <w:p>
            <w:pPr>
              <w:spacing w:line="500" w:lineRule="exact"/>
              <w:ind w:firstLine="480"/>
              <w:rPr>
                <w:color w:val="auto"/>
                <w:szCs w:val="24"/>
                <w:highlight w:val="none"/>
              </w:rPr>
            </w:pPr>
            <w:r>
              <w:rPr>
                <w:color w:val="auto"/>
                <w:szCs w:val="24"/>
                <w:highlight w:val="none"/>
              </w:rPr>
              <w:t>综上所述，本项目符合</w:t>
            </w:r>
            <w:r>
              <w:rPr>
                <w:rFonts w:hint="eastAsia"/>
                <w:color w:val="auto"/>
                <w:szCs w:val="24"/>
                <w:highlight w:val="none"/>
              </w:rPr>
              <w:t>“</w:t>
            </w:r>
            <w:r>
              <w:rPr>
                <w:color w:val="auto"/>
                <w:szCs w:val="24"/>
                <w:highlight w:val="none"/>
              </w:rPr>
              <w:t>三线一单</w:t>
            </w:r>
            <w:r>
              <w:rPr>
                <w:rFonts w:hint="eastAsia"/>
                <w:color w:val="auto"/>
                <w:szCs w:val="24"/>
                <w:highlight w:val="none"/>
              </w:rPr>
              <w:t>”</w:t>
            </w:r>
            <w:r>
              <w:rPr>
                <w:color w:val="auto"/>
                <w:szCs w:val="24"/>
                <w:highlight w:val="none"/>
              </w:rPr>
              <w:t>的相关要求。</w:t>
            </w:r>
          </w:p>
          <w:p>
            <w:pPr>
              <w:spacing w:line="500" w:lineRule="exact"/>
              <w:ind w:firstLine="0" w:firstLineChars="0"/>
              <w:rPr>
                <w:color w:val="auto"/>
                <w:szCs w:val="24"/>
                <w:highlight w:val="none"/>
              </w:rPr>
            </w:pPr>
            <w:r>
              <w:rPr>
                <w:rFonts w:hint="eastAsia"/>
                <w:b/>
                <w:bCs/>
                <w:color w:val="auto"/>
                <w:szCs w:val="24"/>
                <w:highlight w:val="none"/>
              </w:rPr>
              <w:t>1.5“</w:t>
            </w:r>
            <w:r>
              <w:rPr>
                <w:b/>
                <w:bCs/>
                <w:color w:val="auto"/>
                <w:szCs w:val="24"/>
                <w:highlight w:val="none"/>
              </w:rPr>
              <w:t>四性五不准</w:t>
            </w:r>
            <w:r>
              <w:rPr>
                <w:rFonts w:hint="eastAsia"/>
                <w:b/>
                <w:bCs/>
                <w:color w:val="auto"/>
                <w:szCs w:val="24"/>
                <w:highlight w:val="none"/>
              </w:rPr>
              <w:t>”符合性</w:t>
            </w:r>
            <w:r>
              <w:rPr>
                <w:b/>
                <w:bCs/>
                <w:color w:val="auto"/>
                <w:szCs w:val="24"/>
                <w:highlight w:val="none"/>
              </w:rPr>
              <w:t>分析</w:t>
            </w:r>
          </w:p>
          <w:p>
            <w:pPr>
              <w:widowControl/>
              <w:wordWrap w:val="0"/>
              <w:spacing w:line="500" w:lineRule="exact"/>
              <w:ind w:firstLine="480"/>
              <w:jc w:val="left"/>
              <w:rPr>
                <w:color w:val="auto"/>
                <w:szCs w:val="24"/>
                <w:highlight w:val="none"/>
              </w:rPr>
            </w:pPr>
            <w:r>
              <w:rPr>
                <w:rFonts w:hint="eastAsia"/>
                <w:color w:val="auto"/>
                <w:szCs w:val="24"/>
                <w:highlight w:val="none"/>
              </w:rPr>
              <w:t>对照《建设项目环境保护管理条例》（2017年修正本）中第九条和第十一条中的重点</w:t>
            </w:r>
            <w:r>
              <w:rPr>
                <w:color w:val="auto"/>
                <w:szCs w:val="24"/>
                <w:highlight w:val="none"/>
              </w:rPr>
              <w:t>要求进行符合性分析，见表</w:t>
            </w:r>
            <w:r>
              <w:rPr>
                <w:rFonts w:hint="eastAsia"/>
                <w:color w:val="auto"/>
                <w:szCs w:val="24"/>
                <w:highlight w:val="none"/>
              </w:rPr>
              <w:t>1</w:t>
            </w:r>
            <w:r>
              <w:rPr>
                <w:color w:val="auto"/>
                <w:szCs w:val="24"/>
                <w:highlight w:val="none"/>
              </w:rPr>
              <w:t>-</w:t>
            </w:r>
            <w:r>
              <w:rPr>
                <w:rFonts w:hint="eastAsia"/>
                <w:color w:val="auto"/>
                <w:szCs w:val="24"/>
                <w:highlight w:val="none"/>
              </w:rPr>
              <w:t>5</w:t>
            </w:r>
            <w:r>
              <w:rPr>
                <w:color w:val="auto"/>
                <w:szCs w:val="24"/>
                <w:highlight w:val="none"/>
              </w:rPr>
              <w:t>。</w:t>
            </w:r>
          </w:p>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1-5</w:t>
            </w:r>
            <w:r>
              <w:rPr>
                <w:b/>
                <w:color w:val="auto"/>
                <w:sz w:val="21"/>
                <w:szCs w:val="21"/>
                <w:highlight w:val="none"/>
              </w:rPr>
              <w:t xml:space="preserve">  建设项目环境保护管理条例重点要求（</w:t>
            </w:r>
            <w:r>
              <w:rPr>
                <w:rFonts w:hint="eastAsia"/>
                <w:b/>
                <w:color w:val="auto"/>
                <w:sz w:val="21"/>
                <w:szCs w:val="21"/>
                <w:highlight w:val="none"/>
              </w:rPr>
              <w:t>“</w:t>
            </w:r>
            <w:r>
              <w:rPr>
                <w:b/>
                <w:color w:val="auto"/>
                <w:sz w:val="21"/>
                <w:szCs w:val="21"/>
                <w:highlight w:val="none"/>
              </w:rPr>
              <w:t>四性五不准</w:t>
            </w:r>
            <w:r>
              <w:rPr>
                <w:rFonts w:hint="eastAsia"/>
                <w:b/>
                <w:color w:val="auto"/>
                <w:sz w:val="21"/>
                <w:szCs w:val="21"/>
                <w:highlight w:val="none"/>
              </w:rPr>
              <w:t>”</w:t>
            </w:r>
            <w:r>
              <w:rPr>
                <w:b/>
                <w:color w:val="auto"/>
                <w:sz w:val="21"/>
                <w:szCs w:val="21"/>
                <w:highlight w:val="none"/>
              </w:rPr>
              <w:t>）相符性分析</w:t>
            </w:r>
          </w:p>
          <w:tbl>
            <w:tblPr>
              <w:tblStyle w:val="30"/>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781"/>
              <w:gridCol w:w="4446"/>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20" w:type="dxa"/>
                  <w:gridSpan w:val="2"/>
                  <w:noWrap/>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建设项目环境保护管理条例</w:t>
                  </w:r>
                </w:p>
              </w:tc>
              <w:tc>
                <w:tcPr>
                  <w:tcW w:w="4128" w:type="dxa"/>
                  <w:noWrap/>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符合性分析</w:t>
                  </w:r>
                </w:p>
              </w:tc>
              <w:tc>
                <w:tcPr>
                  <w:tcW w:w="1022" w:type="dxa"/>
                  <w:noWrap/>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四性</w:t>
                  </w:r>
                </w:p>
              </w:tc>
              <w:tc>
                <w:tcPr>
                  <w:tcW w:w="1654"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建设项目的环境可行性</w:t>
                  </w:r>
                </w:p>
              </w:tc>
              <w:tc>
                <w:tcPr>
                  <w:tcW w:w="4128" w:type="dxa"/>
                  <w:noWrap/>
                  <w:vAlign w:val="center"/>
                </w:tcPr>
                <w:p>
                  <w:pPr>
                    <w:spacing w:line="240" w:lineRule="auto"/>
                    <w:ind w:firstLine="0" w:firstLineChars="0"/>
                    <w:rPr>
                      <w:color w:val="auto"/>
                      <w:sz w:val="21"/>
                      <w:szCs w:val="21"/>
                      <w:highlight w:val="none"/>
                    </w:rPr>
                  </w:pPr>
                  <w:r>
                    <w:rPr>
                      <w:rFonts w:hAnsi="宋体"/>
                      <w:color w:val="auto"/>
                      <w:sz w:val="21"/>
                      <w:szCs w:val="21"/>
                      <w:highlight w:val="none"/>
                    </w:rPr>
                    <w:t>本项目</w:t>
                  </w:r>
                  <w:r>
                    <w:rPr>
                      <w:rFonts w:hint="eastAsia" w:hAnsi="宋体"/>
                      <w:color w:val="auto"/>
                      <w:sz w:val="21"/>
                      <w:szCs w:val="21"/>
                      <w:highlight w:val="none"/>
                    </w:rPr>
                    <w:t>系租用</w:t>
                  </w:r>
                  <w:r>
                    <w:rPr>
                      <w:rFonts w:hint="eastAsia"/>
                      <w:color w:val="auto"/>
                      <w:sz w:val="21"/>
                      <w:szCs w:val="21"/>
                      <w:highlight w:val="none"/>
                    </w:rPr>
                    <w:t>德清扬泰建筑材料有限公司闲置工业厂房进行生产，</w:t>
                  </w:r>
                  <w:r>
                    <w:rPr>
                      <w:bCs/>
                      <w:color w:val="auto"/>
                      <w:sz w:val="21"/>
                      <w:szCs w:val="21"/>
                      <w:highlight w:val="none"/>
                    </w:rPr>
                    <w:t>符合</w:t>
                  </w:r>
                  <w:r>
                    <w:rPr>
                      <w:rFonts w:hint="eastAsia"/>
                      <w:bCs/>
                      <w:color w:val="auto"/>
                      <w:sz w:val="21"/>
                      <w:szCs w:val="21"/>
                      <w:highlight w:val="none"/>
                    </w:rPr>
                    <w:t>乾元镇</w:t>
                  </w:r>
                  <w:r>
                    <w:rPr>
                      <w:bCs/>
                      <w:color w:val="auto"/>
                      <w:sz w:val="21"/>
                      <w:szCs w:val="21"/>
                      <w:highlight w:val="none"/>
                    </w:rPr>
                    <w:t>土地利用规划，</w:t>
                  </w:r>
                  <w:r>
                    <w:rPr>
                      <w:rFonts w:hAnsi="宋体"/>
                      <w:color w:val="auto"/>
                      <w:sz w:val="21"/>
                      <w:szCs w:val="21"/>
                      <w:highlight w:val="none"/>
                    </w:rPr>
                    <w:t>选址可行；本项目符合《关于以改善环境质量为核心加强环境影响评价管理的通知》（环环评[2016]150号）中“三线一单”要求。</w:t>
                  </w:r>
                </w:p>
              </w:tc>
              <w:tc>
                <w:tcPr>
                  <w:tcW w:w="1022"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continue"/>
                  <w:noWrap/>
                  <w:vAlign w:val="center"/>
                </w:tcPr>
                <w:p>
                  <w:pPr>
                    <w:adjustRightInd w:val="0"/>
                    <w:snapToGrid w:val="0"/>
                    <w:spacing w:line="240" w:lineRule="auto"/>
                    <w:ind w:firstLine="0" w:firstLineChars="0"/>
                    <w:jc w:val="center"/>
                    <w:rPr>
                      <w:color w:val="auto"/>
                      <w:sz w:val="21"/>
                      <w:szCs w:val="21"/>
                      <w:highlight w:val="none"/>
                    </w:rPr>
                  </w:pPr>
                </w:p>
              </w:tc>
              <w:tc>
                <w:tcPr>
                  <w:tcW w:w="1654"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环境影响分析预测评估的可靠性</w:t>
                  </w:r>
                </w:p>
              </w:tc>
              <w:tc>
                <w:tcPr>
                  <w:tcW w:w="4128" w:type="dxa"/>
                  <w:noWrap/>
                  <w:vAlign w:val="center"/>
                </w:tcPr>
                <w:p>
                  <w:pPr>
                    <w:spacing w:line="240" w:lineRule="auto"/>
                    <w:ind w:firstLine="0" w:firstLineChars="0"/>
                    <w:rPr>
                      <w:color w:val="auto"/>
                      <w:sz w:val="21"/>
                      <w:szCs w:val="21"/>
                      <w:highlight w:val="none"/>
                    </w:rPr>
                  </w:pPr>
                  <w:r>
                    <w:rPr>
                      <w:rFonts w:hint="eastAsia" w:hAnsi="宋体"/>
                      <w:color w:val="auto"/>
                      <w:sz w:val="21"/>
                      <w:szCs w:val="21"/>
                      <w:highlight w:val="none"/>
                    </w:rPr>
                    <w:t>本项目环境影响分析根据相应导则进行分析。</w:t>
                  </w:r>
                </w:p>
              </w:tc>
              <w:tc>
                <w:tcPr>
                  <w:tcW w:w="1022"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continue"/>
                  <w:noWrap/>
                  <w:vAlign w:val="center"/>
                </w:tcPr>
                <w:p>
                  <w:pPr>
                    <w:adjustRightInd w:val="0"/>
                    <w:snapToGrid w:val="0"/>
                    <w:spacing w:line="240" w:lineRule="auto"/>
                    <w:ind w:firstLine="0" w:firstLineChars="0"/>
                    <w:jc w:val="center"/>
                    <w:rPr>
                      <w:color w:val="auto"/>
                      <w:sz w:val="21"/>
                      <w:szCs w:val="21"/>
                      <w:highlight w:val="none"/>
                    </w:rPr>
                  </w:pPr>
                </w:p>
              </w:tc>
              <w:tc>
                <w:tcPr>
                  <w:tcW w:w="1654"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环境保护措施的有效性</w:t>
                  </w:r>
                </w:p>
              </w:tc>
              <w:tc>
                <w:tcPr>
                  <w:tcW w:w="4128" w:type="dxa"/>
                  <w:noWrap/>
                  <w:vAlign w:val="center"/>
                </w:tcPr>
                <w:p>
                  <w:pPr>
                    <w:spacing w:line="240" w:lineRule="auto"/>
                    <w:ind w:firstLine="0" w:firstLineChars="0"/>
                    <w:rPr>
                      <w:color w:val="auto"/>
                      <w:sz w:val="21"/>
                      <w:szCs w:val="21"/>
                      <w:highlight w:val="none"/>
                    </w:rPr>
                  </w:pPr>
                  <w:r>
                    <w:rPr>
                      <w:rFonts w:hAnsi="宋体"/>
                      <w:color w:val="auto"/>
                      <w:sz w:val="21"/>
                      <w:szCs w:val="21"/>
                      <w:highlight w:val="none"/>
                    </w:rPr>
                    <w:t>本项目产生污染物均有较为成熟的技术进行处理，从技术上分析，只要切实落实本报告提出的污染防治措施，本项目废气、废水、噪声可做到达标排放，固废可实现零排放。</w:t>
                  </w:r>
                </w:p>
              </w:tc>
              <w:tc>
                <w:tcPr>
                  <w:tcW w:w="1022"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continue"/>
                  <w:noWrap/>
                  <w:vAlign w:val="center"/>
                </w:tcPr>
                <w:p>
                  <w:pPr>
                    <w:adjustRightInd w:val="0"/>
                    <w:snapToGrid w:val="0"/>
                    <w:spacing w:line="240" w:lineRule="auto"/>
                    <w:ind w:firstLine="0" w:firstLineChars="0"/>
                    <w:jc w:val="center"/>
                    <w:rPr>
                      <w:color w:val="auto"/>
                      <w:sz w:val="21"/>
                      <w:szCs w:val="21"/>
                      <w:highlight w:val="none"/>
                    </w:rPr>
                  </w:pPr>
                </w:p>
              </w:tc>
              <w:tc>
                <w:tcPr>
                  <w:tcW w:w="1654"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环境影响评价结论的科学性</w:t>
                  </w:r>
                </w:p>
              </w:tc>
              <w:tc>
                <w:tcPr>
                  <w:tcW w:w="4128" w:type="dxa"/>
                  <w:noWrap/>
                  <w:vAlign w:val="center"/>
                </w:tcPr>
                <w:p>
                  <w:pPr>
                    <w:adjustRightInd w:val="0"/>
                    <w:snapToGrid w:val="0"/>
                    <w:spacing w:line="240" w:lineRule="auto"/>
                    <w:ind w:firstLine="0" w:firstLineChars="0"/>
                    <w:rPr>
                      <w:color w:val="auto"/>
                      <w:sz w:val="21"/>
                      <w:szCs w:val="21"/>
                      <w:highlight w:val="none"/>
                    </w:rPr>
                  </w:pPr>
                  <w:r>
                    <w:rPr>
                      <w:rFonts w:hAnsi="宋体"/>
                      <w:color w:val="auto"/>
                      <w:sz w:val="21"/>
                      <w:szCs w:val="21"/>
                      <w:highlight w:val="none"/>
                    </w:rPr>
                    <w:t>本环评结论客观、过程公开、评价公正，并综合考虑建设项目实施后对各种环境因素可能造成的影响，环评结论是科学的。</w:t>
                  </w:r>
                </w:p>
              </w:tc>
              <w:tc>
                <w:tcPr>
                  <w:tcW w:w="1022"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五不</w:t>
                  </w:r>
                  <w:r>
                    <w:rPr>
                      <w:rFonts w:hint="eastAsia"/>
                      <w:color w:val="auto"/>
                      <w:sz w:val="21"/>
                      <w:szCs w:val="21"/>
                      <w:highlight w:val="none"/>
                    </w:rPr>
                    <w:t>准</w:t>
                  </w:r>
                </w:p>
              </w:tc>
              <w:tc>
                <w:tcPr>
                  <w:tcW w:w="1654"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（一）建设项目类型及其选址、布局、规模等不符合环境保护法律法规和相关法定规划</w:t>
                  </w:r>
                </w:p>
              </w:tc>
              <w:tc>
                <w:tcPr>
                  <w:tcW w:w="4128" w:type="dxa"/>
                  <w:noWrap/>
                  <w:vAlign w:val="center"/>
                </w:tcPr>
                <w:p>
                  <w:pPr>
                    <w:adjustRightInd w:val="0"/>
                    <w:snapToGrid w:val="0"/>
                    <w:spacing w:line="240" w:lineRule="auto"/>
                    <w:ind w:firstLine="0" w:firstLineChars="0"/>
                    <w:rPr>
                      <w:color w:val="auto"/>
                      <w:sz w:val="21"/>
                      <w:szCs w:val="21"/>
                      <w:highlight w:val="none"/>
                    </w:rPr>
                  </w:pPr>
                  <w:r>
                    <w:rPr>
                      <w:rFonts w:hAnsi="宋体"/>
                      <w:bCs/>
                      <w:color w:val="auto"/>
                      <w:sz w:val="21"/>
                      <w:szCs w:val="21"/>
                      <w:highlight w:val="none"/>
                    </w:rPr>
                    <w:t>本项目符合当地总体规划，符合国家、地方产业政策，项目营运过程中各类污染源均可得到有效控制并能做到达标排放，基本符合清洁生产、总量控制和达标排放的原则，对环境影响不大，环境风险很小，项目实施不会改变所在地的环境质量水平和环境功能，可实现经济效益、社会效益、环境效益的统一，符合环境保护法律法规和相关法定规划。</w:t>
                  </w:r>
                </w:p>
              </w:tc>
              <w:tc>
                <w:tcPr>
                  <w:tcW w:w="1022"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continue"/>
                  <w:noWrap/>
                  <w:vAlign w:val="center"/>
                </w:tcPr>
                <w:p>
                  <w:pPr>
                    <w:adjustRightInd w:val="0"/>
                    <w:snapToGrid w:val="0"/>
                    <w:spacing w:line="240" w:lineRule="auto"/>
                    <w:ind w:firstLine="0" w:firstLineChars="0"/>
                    <w:jc w:val="center"/>
                    <w:rPr>
                      <w:color w:val="auto"/>
                      <w:sz w:val="21"/>
                      <w:szCs w:val="21"/>
                      <w:highlight w:val="none"/>
                    </w:rPr>
                  </w:pPr>
                </w:p>
              </w:tc>
              <w:tc>
                <w:tcPr>
                  <w:tcW w:w="1654"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（二）所在区域环境质量未达到国家或者地方环境质量标准，且建设项目拟采取的措施不能满足区域环境质量改善目标管理要求</w:t>
                  </w:r>
                </w:p>
              </w:tc>
              <w:tc>
                <w:tcPr>
                  <w:tcW w:w="4128" w:type="dxa"/>
                  <w:noWrap/>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20</w:t>
                  </w:r>
                  <w:r>
                    <w:rPr>
                      <w:rFonts w:hint="eastAsia"/>
                      <w:color w:val="auto"/>
                      <w:sz w:val="21"/>
                      <w:szCs w:val="21"/>
                      <w:highlight w:val="none"/>
                    </w:rPr>
                    <w:t>20</w:t>
                  </w:r>
                  <w:r>
                    <w:rPr>
                      <w:rFonts w:hAnsi="宋体"/>
                      <w:color w:val="auto"/>
                      <w:sz w:val="21"/>
                      <w:szCs w:val="21"/>
                      <w:highlight w:val="none"/>
                    </w:rPr>
                    <w:t>年</w:t>
                  </w:r>
                  <w:r>
                    <w:rPr>
                      <w:rFonts w:hint="eastAsia" w:hAnsi="宋体"/>
                      <w:color w:val="auto"/>
                      <w:sz w:val="21"/>
                      <w:szCs w:val="21"/>
                      <w:highlight w:val="none"/>
                    </w:rPr>
                    <w:t>德清县</w:t>
                  </w:r>
                  <w:r>
                    <w:rPr>
                      <w:rFonts w:hAnsi="宋体"/>
                      <w:color w:val="auto"/>
                      <w:sz w:val="21"/>
                      <w:szCs w:val="21"/>
                      <w:highlight w:val="none"/>
                    </w:rPr>
                    <w:t>环境空气质量达到《环境空气质量标准》</w:t>
                  </w:r>
                  <w:r>
                    <w:rPr>
                      <w:rFonts w:hint="eastAsia" w:hAnsi="宋体"/>
                      <w:color w:val="auto"/>
                      <w:sz w:val="21"/>
                      <w:szCs w:val="21"/>
                      <w:highlight w:val="none"/>
                    </w:rPr>
                    <w:t>（</w:t>
                  </w:r>
                  <w:r>
                    <w:rPr>
                      <w:color w:val="auto"/>
                      <w:sz w:val="21"/>
                      <w:szCs w:val="21"/>
                      <w:highlight w:val="none"/>
                    </w:rPr>
                    <w:t>GB3095-2012</w:t>
                  </w:r>
                  <w:r>
                    <w:rPr>
                      <w:rFonts w:hint="eastAsia" w:hAnsi="宋体"/>
                      <w:color w:val="auto"/>
                      <w:sz w:val="21"/>
                      <w:szCs w:val="21"/>
                      <w:highlight w:val="none"/>
                    </w:rPr>
                    <w:t>）</w:t>
                  </w:r>
                  <w:r>
                    <w:rPr>
                      <w:rFonts w:hAnsi="宋体"/>
                      <w:color w:val="auto"/>
                      <w:sz w:val="21"/>
                      <w:szCs w:val="21"/>
                      <w:highlight w:val="none"/>
                    </w:rPr>
                    <w:t>中的二级标准，项目所在区域属于达标区。</w:t>
                  </w:r>
                  <w:r>
                    <w:rPr>
                      <w:rFonts w:hint="eastAsia" w:hAnsi="宋体"/>
                      <w:color w:val="auto"/>
                      <w:sz w:val="21"/>
                      <w:szCs w:val="21"/>
                      <w:highlight w:val="none"/>
                    </w:rPr>
                    <w:t>水环境</w:t>
                  </w:r>
                  <w:r>
                    <w:rPr>
                      <w:rFonts w:hAnsi="宋体"/>
                      <w:color w:val="auto"/>
                      <w:sz w:val="21"/>
                      <w:szCs w:val="21"/>
                      <w:highlight w:val="none"/>
                    </w:rPr>
                    <w:t>各类指标均能达到《地表水环境质量标准》</w:t>
                  </w:r>
                  <w:r>
                    <w:rPr>
                      <w:rFonts w:hint="eastAsia" w:hAnsi="宋体"/>
                      <w:color w:val="auto"/>
                      <w:sz w:val="21"/>
                      <w:szCs w:val="21"/>
                      <w:highlight w:val="none"/>
                    </w:rPr>
                    <w:t>（</w:t>
                  </w:r>
                  <w:r>
                    <w:rPr>
                      <w:color w:val="auto"/>
                      <w:sz w:val="21"/>
                      <w:szCs w:val="21"/>
                      <w:highlight w:val="none"/>
                    </w:rPr>
                    <w:t>GB3838-2002</w:t>
                  </w:r>
                  <w:r>
                    <w:rPr>
                      <w:rFonts w:hint="eastAsia" w:hAnsi="宋体"/>
                      <w:color w:val="auto"/>
                      <w:sz w:val="21"/>
                      <w:szCs w:val="21"/>
                      <w:highlight w:val="none"/>
                    </w:rPr>
                    <w:t>）</w:t>
                  </w:r>
                  <w:r>
                    <w:rPr>
                      <w:rFonts w:hAnsi="宋体"/>
                      <w:color w:val="auto"/>
                      <w:sz w:val="21"/>
                      <w:szCs w:val="21"/>
                      <w:highlight w:val="none"/>
                    </w:rPr>
                    <w:t>中的</w:t>
                  </w:r>
                  <w:r>
                    <w:rPr>
                      <w:rFonts w:hint="eastAsia" w:ascii="宋体" w:hAnsi="宋体" w:cs="宋体"/>
                      <w:color w:val="auto"/>
                      <w:sz w:val="21"/>
                      <w:szCs w:val="21"/>
                      <w:highlight w:val="none"/>
                    </w:rPr>
                    <w:t>Ⅲ</w:t>
                  </w:r>
                  <w:r>
                    <w:rPr>
                      <w:rFonts w:hAnsi="宋体"/>
                      <w:color w:val="auto"/>
                      <w:sz w:val="21"/>
                      <w:szCs w:val="21"/>
                      <w:highlight w:val="none"/>
                    </w:rPr>
                    <w:t>类标准，水环境质量较好。区域环境噪声能够满足《声环境质量标准》</w:t>
                  </w:r>
                  <w:r>
                    <w:rPr>
                      <w:rFonts w:hint="eastAsia" w:hAnsi="宋体"/>
                      <w:color w:val="auto"/>
                      <w:sz w:val="21"/>
                      <w:szCs w:val="21"/>
                      <w:highlight w:val="none"/>
                    </w:rPr>
                    <w:t>（</w:t>
                  </w:r>
                  <w:r>
                    <w:rPr>
                      <w:color w:val="auto"/>
                      <w:sz w:val="21"/>
                      <w:szCs w:val="21"/>
                      <w:highlight w:val="none"/>
                    </w:rPr>
                    <w:t>GB3096-2008</w:t>
                  </w:r>
                  <w:r>
                    <w:rPr>
                      <w:rFonts w:hint="eastAsia" w:hAnsi="宋体"/>
                      <w:color w:val="auto"/>
                      <w:sz w:val="21"/>
                      <w:szCs w:val="21"/>
                      <w:highlight w:val="none"/>
                    </w:rPr>
                    <w:t>）</w:t>
                  </w:r>
                  <w:r>
                    <w:rPr>
                      <w:rFonts w:hAnsi="宋体"/>
                      <w:color w:val="auto"/>
                      <w:sz w:val="21"/>
                      <w:szCs w:val="21"/>
                      <w:highlight w:val="none"/>
                    </w:rPr>
                    <w:t>中的</w:t>
                  </w:r>
                  <w:r>
                    <w:rPr>
                      <w:color w:val="auto"/>
                      <w:sz w:val="21"/>
                      <w:szCs w:val="21"/>
                      <w:highlight w:val="none"/>
                    </w:rPr>
                    <w:t>3</w:t>
                  </w:r>
                  <w:r>
                    <w:rPr>
                      <w:rFonts w:hAnsi="宋体"/>
                      <w:color w:val="auto"/>
                      <w:sz w:val="21"/>
                      <w:szCs w:val="21"/>
                      <w:highlight w:val="none"/>
                    </w:rPr>
                    <w:t>类标准。</w:t>
                  </w:r>
                  <w:r>
                    <w:rPr>
                      <w:rFonts w:hint="eastAsia" w:hAnsi="宋体"/>
                      <w:bCs/>
                      <w:color w:val="auto"/>
                      <w:sz w:val="21"/>
                      <w:szCs w:val="21"/>
                      <w:highlight w:val="none"/>
                    </w:rPr>
                    <w:t>项目</w:t>
                  </w:r>
                  <w:r>
                    <w:rPr>
                      <w:rFonts w:hAnsi="宋体"/>
                      <w:bCs/>
                      <w:color w:val="auto"/>
                      <w:sz w:val="21"/>
                      <w:szCs w:val="21"/>
                      <w:highlight w:val="none"/>
                    </w:rPr>
                    <w:t>营运过程中各类污染源均可得到有效控制并能做到达标排放，基本符合清洁生产、总量控制和达标排放原则，对环境影响不大，环境风险很小，项目实施不会改变所在地的环境质量水平和环境功能。</w:t>
                  </w:r>
                </w:p>
              </w:tc>
              <w:tc>
                <w:tcPr>
                  <w:tcW w:w="1022" w:type="dxa"/>
                  <w:noWrap/>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continue"/>
                  <w:noWrap/>
                  <w:vAlign w:val="center"/>
                </w:tcPr>
                <w:p>
                  <w:pPr>
                    <w:adjustRightInd w:val="0"/>
                    <w:snapToGrid w:val="0"/>
                    <w:spacing w:line="240" w:lineRule="auto"/>
                    <w:ind w:firstLine="0" w:firstLineChars="0"/>
                    <w:jc w:val="center"/>
                    <w:rPr>
                      <w:color w:val="auto"/>
                      <w:sz w:val="21"/>
                      <w:szCs w:val="21"/>
                      <w:highlight w:val="none"/>
                    </w:rPr>
                  </w:pPr>
                </w:p>
              </w:tc>
              <w:tc>
                <w:tcPr>
                  <w:tcW w:w="1654"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（三）建设项目采取的污染防治措施无法确保污染物排放达到国家和地方排放标准，或者未采取必要措施预防和控制生态破坏</w:t>
                  </w:r>
                </w:p>
              </w:tc>
              <w:tc>
                <w:tcPr>
                  <w:tcW w:w="4128" w:type="dxa"/>
                  <w:noWrap/>
                  <w:vAlign w:val="center"/>
                </w:tcPr>
                <w:p>
                  <w:pPr>
                    <w:adjustRightInd w:val="0"/>
                    <w:snapToGrid w:val="0"/>
                    <w:spacing w:line="240" w:lineRule="auto"/>
                    <w:ind w:firstLine="0" w:firstLineChars="0"/>
                    <w:rPr>
                      <w:color w:val="auto"/>
                      <w:sz w:val="21"/>
                      <w:szCs w:val="21"/>
                      <w:highlight w:val="none"/>
                    </w:rPr>
                  </w:pPr>
                  <w:r>
                    <w:rPr>
                      <w:rFonts w:hAnsi="宋体"/>
                      <w:bCs/>
                      <w:color w:val="auto"/>
                      <w:sz w:val="21"/>
                      <w:szCs w:val="21"/>
                      <w:highlight w:val="none"/>
                    </w:rPr>
                    <w:t>项目营运过程中各类污染源均可得到有效控制并能做到达标排放。</w:t>
                  </w:r>
                </w:p>
              </w:tc>
              <w:tc>
                <w:tcPr>
                  <w:tcW w:w="1022" w:type="dxa"/>
                  <w:noWrap/>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continue"/>
                  <w:noWrap/>
                  <w:vAlign w:val="center"/>
                </w:tcPr>
                <w:p>
                  <w:pPr>
                    <w:adjustRightInd w:val="0"/>
                    <w:snapToGrid w:val="0"/>
                    <w:spacing w:line="240" w:lineRule="auto"/>
                    <w:ind w:firstLine="0" w:firstLineChars="0"/>
                    <w:jc w:val="center"/>
                    <w:rPr>
                      <w:color w:val="auto"/>
                      <w:sz w:val="21"/>
                      <w:szCs w:val="21"/>
                      <w:highlight w:val="none"/>
                    </w:rPr>
                  </w:pPr>
                </w:p>
              </w:tc>
              <w:tc>
                <w:tcPr>
                  <w:tcW w:w="1654" w:type="dxa"/>
                  <w:noWrap/>
                  <w:vAlign w:val="center"/>
                </w:tcPr>
                <w:p>
                  <w:pPr>
                    <w:adjustRightInd w:val="0"/>
                    <w:snapToGrid w:val="0"/>
                    <w:spacing w:line="240" w:lineRule="auto"/>
                    <w:ind w:firstLine="0" w:firstLineChars="0"/>
                    <w:jc w:val="center"/>
                    <w:rPr>
                      <w:color w:val="auto"/>
                      <w:sz w:val="21"/>
                      <w:szCs w:val="21"/>
                      <w:highlight w:val="none"/>
                      <w:shd w:val="clear" w:color="auto" w:fill="FFFFFF"/>
                    </w:rPr>
                  </w:pPr>
                  <w:r>
                    <w:rPr>
                      <w:color w:val="auto"/>
                      <w:sz w:val="21"/>
                      <w:szCs w:val="21"/>
                      <w:highlight w:val="none"/>
                      <w:shd w:val="clear" w:color="auto" w:fill="FFFFFF"/>
                    </w:rPr>
                    <w:t>（四）改建、扩建和技术改造项目，未针对项目原有环境污染和生态破坏提出有效防治措施</w:t>
                  </w:r>
                </w:p>
              </w:tc>
              <w:tc>
                <w:tcPr>
                  <w:tcW w:w="4128" w:type="dxa"/>
                  <w:noWrap/>
                  <w:vAlign w:val="center"/>
                </w:tcPr>
                <w:p>
                  <w:pPr>
                    <w:adjustRightInd w:val="0"/>
                    <w:snapToGrid w:val="0"/>
                    <w:spacing w:line="240" w:lineRule="auto"/>
                    <w:ind w:firstLine="0" w:firstLineChars="0"/>
                    <w:rPr>
                      <w:color w:val="auto"/>
                      <w:sz w:val="21"/>
                      <w:szCs w:val="21"/>
                      <w:highlight w:val="none"/>
                    </w:rPr>
                  </w:pPr>
                  <w:r>
                    <w:rPr>
                      <w:rFonts w:hAnsi="宋体"/>
                      <w:color w:val="auto"/>
                      <w:sz w:val="21"/>
                      <w:szCs w:val="21"/>
                      <w:highlight w:val="none"/>
                    </w:rPr>
                    <w:t>本项目实施后，进一步完善了厂区绿化，进一步加强了生产管理和设备维护保养，加强工人的生产操作管理，减少或降低人为噪声的产生。避免了噪声造成的生态环境恶化。</w:t>
                  </w:r>
                </w:p>
              </w:tc>
              <w:tc>
                <w:tcPr>
                  <w:tcW w:w="1022"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Merge w:val="continue"/>
                  <w:noWrap/>
                  <w:vAlign w:val="center"/>
                </w:tcPr>
                <w:p>
                  <w:pPr>
                    <w:adjustRightInd w:val="0"/>
                    <w:snapToGrid w:val="0"/>
                    <w:spacing w:line="240" w:lineRule="auto"/>
                    <w:ind w:firstLine="0" w:firstLineChars="0"/>
                    <w:jc w:val="center"/>
                    <w:rPr>
                      <w:color w:val="auto"/>
                      <w:sz w:val="21"/>
                      <w:szCs w:val="21"/>
                      <w:highlight w:val="none"/>
                    </w:rPr>
                  </w:pPr>
                </w:p>
              </w:tc>
              <w:tc>
                <w:tcPr>
                  <w:tcW w:w="1654" w:type="dxa"/>
                  <w:noWrap/>
                  <w:vAlign w:val="center"/>
                </w:tcPr>
                <w:p>
                  <w:pPr>
                    <w:adjustRightInd w:val="0"/>
                    <w:snapToGrid w:val="0"/>
                    <w:spacing w:line="240" w:lineRule="auto"/>
                    <w:ind w:firstLine="0" w:firstLineChars="0"/>
                    <w:jc w:val="center"/>
                    <w:rPr>
                      <w:color w:val="auto"/>
                      <w:sz w:val="21"/>
                      <w:szCs w:val="21"/>
                      <w:highlight w:val="none"/>
                      <w:shd w:val="clear" w:color="auto" w:fill="FFFFFF"/>
                    </w:rPr>
                  </w:pPr>
                  <w:r>
                    <w:rPr>
                      <w:color w:val="auto"/>
                      <w:sz w:val="21"/>
                      <w:szCs w:val="21"/>
                      <w:highlight w:val="none"/>
                      <w:shd w:val="clear" w:color="auto" w:fill="FFFFFF"/>
                    </w:rPr>
                    <w:t>（五）建设项目的环境影响报告书、环境影响报告表的基础资料数据明显不实，内容存在重大缺陷、遗漏，或者环境影响评价结论不明确、不合理。</w:t>
                  </w:r>
                </w:p>
              </w:tc>
              <w:tc>
                <w:tcPr>
                  <w:tcW w:w="4128"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w:t>
                  </w:r>
                </w:p>
              </w:tc>
              <w:tc>
                <w:tcPr>
                  <w:tcW w:w="1022" w:type="dxa"/>
                  <w:noWrap/>
                  <w:vAlign w:val="center"/>
                </w:tcPr>
                <w:p>
                  <w:pPr>
                    <w:adjustRightInd w:val="0"/>
                    <w:snapToGrid w:val="0"/>
                    <w:spacing w:line="240" w:lineRule="auto"/>
                    <w:ind w:firstLine="0" w:firstLineChars="0"/>
                    <w:jc w:val="center"/>
                    <w:rPr>
                      <w:color w:val="auto"/>
                      <w:sz w:val="21"/>
                      <w:szCs w:val="21"/>
                      <w:highlight w:val="none"/>
                      <w:shd w:val="clear" w:color="auto" w:fill="FFFFFF"/>
                    </w:rPr>
                  </w:pPr>
                  <w:r>
                    <w:rPr>
                      <w:color w:val="auto"/>
                      <w:sz w:val="21"/>
                      <w:szCs w:val="21"/>
                      <w:highlight w:val="none"/>
                      <w:shd w:val="clear" w:color="auto" w:fill="FFFFFF"/>
                    </w:rPr>
                    <w:t>/</w:t>
                  </w:r>
                </w:p>
              </w:tc>
            </w:tr>
          </w:tbl>
          <w:p>
            <w:pPr>
              <w:spacing w:line="500" w:lineRule="exact"/>
              <w:ind w:firstLine="480"/>
              <w:rPr>
                <w:rFonts w:asciiTheme="minorEastAsia" w:hAnsiTheme="minorEastAsia" w:eastAsiaTheme="minorEastAsia"/>
                <w:color w:val="auto"/>
                <w:szCs w:val="24"/>
                <w:highlight w:val="none"/>
              </w:rPr>
            </w:pPr>
            <w:r>
              <w:rPr>
                <w:color w:val="auto"/>
                <w:szCs w:val="24"/>
                <w:highlight w:val="none"/>
              </w:rPr>
              <w:t>综上所述，项目符合</w:t>
            </w:r>
            <w:r>
              <w:rPr>
                <w:rFonts w:hint="eastAsia"/>
                <w:color w:val="auto"/>
                <w:szCs w:val="24"/>
                <w:highlight w:val="none"/>
              </w:rPr>
              <w:t>“</w:t>
            </w:r>
            <w:r>
              <w:rPr>
                <w:color w:val="auto"/>
                <w:szCs w:val="24"/>
                <w:highlight w:val="none"/>
              </w:rPr>
              <w:t>四性五不准</w:t>
            </w:r>
            <w:r>
              <w:rPr>
                <w:rFonts w:hint="eastAsia"/>
                <w:color w:val="auto"/>
                <w:szCs w:val="24"/>
                <w:highlight w:val="none"/>
              </w:rPr>
              <w:t>”</w:t>
            </w:r>
            <w:r>
              <w:rPr>
                <w:color w:val="auto"/>
                <w:szCs w:val="24"/>
                <w:highlight w:val="none"/>
              </w:rPr>
              <w:t>要求。</w:t>
            </w:r>
          </w:p>
          <w:p>
            <w:pPr>
              <w:spacing w:line="500" w:lineRule="exact"/>
              <w:ind w:firstLine="0" w:firstLineChars="0"/>
              <w:rPr>
                <w:b/>
                <w:color w:val="auto"/>
                <w:szCs w:val="24"/>
                <w:highlight w:val="none"/>
              </w:rPr>
            </w:pPr>
            <w:r>
              <w:rPr>
                <w:rFonts w:hint="eastAsia"/>
                <w:b/>
                <w:color w:val="auto"/>
                <w:szCs w:val="24"/>
                <w:highlight w:val="none"/>
              </w:rPr>
              <w:t>1.6《浙江省建设项目环境保护管理办法》（浙江省人民政府令第388号）</w:t>
            </w:r>
          </w:p>
          <w:p>
            <w:pPr>
              <w:spacing w:line="500" w:lineRule="exact"/>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对照《浙江省建设项目环境保护管理办法》（浙江省人民政府令第</w:t>
            </w:r>
            <w:r>
              <w:rPr>
                <w:rFonts w:eastAsiaTheme="minorEastAsia"/>
                <w:color w:val="auto"/>
                <w:szCs w:val="24"/>
                <w:highlight w:val="none"/>
              </w:rPr>
              <w:t>388号）文件中的审批原则中的第三条进行分析。</w:t>
            </w:r>
          </w:p>
          <w:p>
            <w:pPr>
              <w:spacing w:line="460" w:lineRule="exact"/>
              <w:ind w:firstLine="0" w:firstLineChars="0"/>
              <w:jc w:val="center"/>
              <w:textAlignment w:val="center"/>
              <w:rPr>
                <w:b/>
                <w:color w:val="auto"/>
                <w:sz w:val="21"/>
                <w:szCs w:val="21"/>
                <w:highlight w:val="none"/>
              </w:rPr>
            </w:pPr>
            <w:r>
              <w:rPr>
                <w:b/>
                <w:color w:val="auto"/>
                <w:sz w:val="21"/>
                <w:szCs w:val="21"/>
                <w:highlight w:val="none"/>
              </w:rPr>
              <w:t>表</w:t>
            </w:r>
            <w:r>
              <w:rPr>
                <w:rFonts w:hint="eastAsia"/>
                <w:b/>
                <w:color w:val="auto"/>
                <w:sz w:val="21"/>
                <w:szCs w:val="21"/>
                <w:highlight w:val="none"/>
              </w:rPr>
              <w:t>1</w:t>
            </w:r>
            <w:r>
              <w:rPr>
                <w:b/>
                <w:color w:val="auto"/>
                <w:sz w:val="21"/>
                <w:szCs w:val="21"/>
                <w:highlight w:val="none"/>
              </w:rPr>
              <w:t>-</w:t>
            </w:r>
            <w:r>
              <w:rPr>
                <w:rFonts w:hint="eastAsia"/>
                <w:b/>
                <w:color w:val="auto"/>
                <w:sz w:val="21"/>
                <w:szCs w:val="21"/>
                <w:highlight w:val="none"/>
              </w:rPr>
              <w:t xml:space="preserve">6 </w:t>
            </w:r>
            <w:r>
              <w:rPr>
                <w:b/>
                <w:color w:val="auto"/>
                <w:sz w:val="21"/>
                <w:szCs w:val="21"/>
                <w:highlight w:val="none"/>
              </w:rPr>
              <w:t>《浙江省建设项目环境保护管理办法》第三条</w:t>
            </w:r>
            <w:r>
              <w:rPr>
                <w:rFonts w:hint="eastAsia" w:ascii="宋体" w:hAnsi="宋体" w:cs="宋体"/>
                <w:b/>
                <w:color w:val="auto"/>
                <w:sz w:val="21"/>
                <w:szCs w:val="21"/>
                <w:highlight w:val="none"/>
              </w:rPr>
              <w:t>符</w:t>
            </w:r>
            <w:r>
              <w:rPr>
                <w:b/>
                <w:color w:val="auto"/>
                <w:sz w:val="21"/>
                <w:szCs w:val="21"/>
                <w:highlight w:val="none"/>
              </w:rPr>
              <w:t>合性分析</w:t>
            </w:r>
          </w:p>
          <w:tbl>
            <w:tblPr>
              <w:tblStyle w:val="30"/>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8"/>
              <w:gridCol w:w="4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内容</w:t>
                  </w:r>
                </w:p>
              </w:tc>
              <w:tc>
                <w:tcPr>
                  <w:tcW w:w="3784"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本项目实际情况</w:t>
                  </w:r>
                </w:p>
              </w:tc>
              <w:tc>
                <w:tcPr>
                  <w:tcW w:w="951"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是否</w:t>
                  </w:r>
                </w:p>
                <w:p>
                  <w:pPr>
                    <w:spacing w:line="240" w:lineRule="auto"/>
                    <w:ind w:firstLine="0" w:firstLineChars="0"/>
                    <w:jc w:val="center"/>
                    <w:rPr>
                      <w:b/>
                      <w:bCs/>
                      <w:color w:val="auto"/>
                      <w:sz w:val="21"/>
                      <w:szCs w:val="21"/>
                      <w:highlight w:val="none"/>
                    </w:rPr>
                  </w:pPr>
                  <w:r>
                    <w:rPr>
                      <w:b/>
                      <w:bCs/>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生态保护红线</w:t>
                  </w:r>
                </w:p>
              </w:tc>
              <w:tc>
                <w:tcPr>
                  <w:tcW w:w="3784" w:type="dxa"/>
                  <w:noWrap/>
                  <w:vAlign w:val="center"/>
                </w:tcPr>
                <w:p>
                  <w:pPr>
                    <w:spacing w:line="240" w:lineRule="auto"/>
                    <w:ind w:firstLine="0" w:firstLineChars="0"/>
                    <w:rPr>
                      <w:color w:val="auto"/>
                      <w:sz w:val="21"/>
                      <w:szCs w:val="21"/>
                      <w:highlight w:val="none"/>
                    </w:rPr>
                  </w:pPr>
                  <w:r>
                    <w:rPr>
                      <w:color w:val="auto"/>
                      <w:sz w:val="21"/>
                      <w:szCs w:val="21"/>
                      <w:highlight w:val="none"/>
                    </w:rPr>
                    <w:t>本项目位于德清县</w:t>
                  </w:r>
                  <w:r>
                    <w:rPr>
                      <w:rFonts w:hint="eastAsia"/>
                      <w:color w:val="auto"/>
                      <w:sz w:val="21"/>
                      <w:szCs w:val="21"/>
                      <w:highlight w:val="none"/>
                    </w:rPr>
                    <w:t>乾元镇</w:t>
                  </w:r>
                  <w:r>
                    <w:rPr>
                      <w:color w:val="auto"/>
                      <w:sz w:val="21"/>
                      <w:szCs w:val="21"/>
                      <w:highlight w:val="none"/>
                    </w:rPr>
                    <w:t>苕溪东街1155号，不属于红线区域，符合生态保护红线规划要求。</w:t>
                  </w:r>
                </w:p>
              </w:tc>
              <w:tc>
                <w:tcPr>
                  <w:tcW w:w="95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环境质量底线</w:t>
                  </w:r>
                </w:p>
              </w:tc>
              <w:tc>
                <w:tcPr>
                  <w:tcW w:w="3784" w:type="dxa"/>
                  <w:noWrap/>
                  <w:vAlign w:val="center"/>
                </w:tcPr>
                <w:p>
                  <w:pPr>
                    <w:spacing w:line="240" w:lineRule="auto"/>
                    <w:ind w:firstLine="0" w:firstLineChars="0"/>
                    <w:rPr>
                      <w:color w:val="auto"/>
                      <w:sz w:val="21"/>
                      <w:szCs w:val="21"/>
                      <w:highlight w:val="none"/>
                    </w:rPr>
                  </w:pPr>
                  <w:r>
                    <w:rPr>
                      <w:color w:val="auto"/>
                      <w:sz w:val="21"/>
                      <w:szCs w:val="21"/>
                      <w:highlight w:val="none"/>
                    </w:rPr>
                    <w:t>根据环境质量现状监测数据，项目所在区域地表水满足《地表水环境质量标准》（GB3838-2002）III类标准要求；环境空气常规污染因子空气质量均能够满足《环境空气质量标准》（GB3095-2012）二级标准；声环境满足《声环境质量标准》（GB3096-2008）3类标准要求。项目建成后，不会对环境质量造成明显影响。</w:t>
                  </w:r>
                </w:p>
              </w:tc>
              <w:tc>
                <w:tcPr>
                  <w:tcW w:w="95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资源利用上线</w:t>
                  </w:r>
                </w:p>
              </w:tc>
              <w:tc>
                <w:tcPr>
                  <w:tcW w:w="3784" w:type="dxa"/>
                  <w:noWrap/>
                  <w:vAlign w:val="center"/>
                </w:tcPr>
                <w:p>
                  <w:pPr>
                    <w:spacing w:line="240" w:lineRule="auto"/>
                    <w:ind w:firstLine="0" w:firstLineChars="0"/>
                    <w:rPr>
                      <w:color w:val="auto"/>
                      <w:sz w:val="21"/>
                      <w:szCs w:val="21"/>
                      <w:highlight w:val="none"/>
                    </w:rPr>
                  </w:pPr>
                  <w:r>
                    <w:rPr>
                      <w:color w:val="auto"/>
                      <w:sz w:val="21"/>
                      <w:szCs w:val="21"/>
                      <w:highlight w:val="none"/>
                    </w:rPr>
                    <w:t>本项目不新增工业用地，通过租用</w:t>
                  </w:r>
                  <w:r>
                    <w:rPr>
                      <w:rFonts w:hint="eastAsia"/>
                      <w:color w:val="auto"/>
                      <w:sz w:val="21"/>
                      <w:szCs w:val="21"/>
                      <w:highlight w:val="none"/>
                    </w:rPr>
                    <w:t>德清扬泰建筑材料有限公司</w:t>
                  </w:r>
                  <w:r>
                    <w:rPr>
                      <w:color w:val="auto"/>
                      <w:sz w:val="21"/>
                      <w:szCs w:val="21"/>
                      <w:highlight w:val="none"/>
                    </w:rPr>
                    <w:t>现有闲置工业厂房进行生产。另外，本项目主要用能为电和水，用量相对不大，不属于高能耗项目，总体而言，符合资源利用上线要求。</w:t>
                  </w:r>
                </w:p>
              </w:tc>
              <w:tc>
                <w:tcPr>
                  <w:tcW w:w="95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生态环境准入清单</w:t>
                  </w:r>
                </w:p>
              </w:tc>
              <w:tc>
                <w:tcPr>
                  <w:tcW w:w="3784"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根据表1-4分析可知，本项目符合总体准入清单管控要求。</w:t>
                  </w:r>
                </w:p>
              </w:tc>
              <w:tc>
                <w:tcPr>
                  <w:tcW w:w="95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排放污染物应当符合国家、省规定的污染物排放标准</w:t>
                  </w:r>
                </w:p>
              </w:tc>
              <w:tc>
                <w:tcPr>
                  <w:tcW w:w="3784" w:type="dxa"/>
                  <w:noWrap/>
                  <w:vAlign w:val="center"/>
                </w:tcPr>
                <w:p>
                  <w:pPr>
                    <w:spacing w:line="240" w:lineRule="auto"/>
                    <w:ind w:firstLine="0" w:firstLineChars="0"/>
                    <w:rPr>
                      <w:color w:val="auto"/>
                      <w:sz w:val="21"/>
                      <w:szCs w:val="21"/>
                      <w:highlight w:val="none"/>
                    </w:rPr>
                  </w:pPr>
                  <w:r>
                    <w:rPr>
                      <w:color w:val="auto"/>
                      <w:sz w:val="21"/>
                      <w:szCs w:val="21"/>
                      <w:highlight w:val="none"/>
                    </w:rPr>
                    <w:t>本项目产生污染物均有较为成熟的技术进行处理，从技术上分析，只要切实落实环评报告中提出的污染防治措施，废气、废水、噪声均可做到达标排放，固废</w:t>
                  </w:r>
                  <w:r>
                    <w:rPr>
                      <w:rFonts w:hint="eastAsia"/>
                      <w:color w:val="auto"/>
                      <w:sz w:val="21"/>
                      <w:szCs w:val="21"/>
                      <w:highlight w:val="none"/>
                    </w:rPr>
                    <w:t>通过危废处置单位合理处置</w:t>
                  </w:r>
                  <w:r>
                    <w:rPr>
                      <w:color w:val="auto"/>
                      <w:sz w:val="21"/>
                      <w:szCs w:val="21"/>
                      <w:highlight w:val="none"/>
                    </w:rPr>
                    <w:t>，对所在区域环境影响不大。</w:t>
                  </w:r>
                </w:p>
              </w:tc>
              <w:tc>
                <w:tcPr>
                  <w:tcW w:w="95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重点污染物排放总量控制要求</w:t>
                  </w:r>
                </w:p>
              </w:tc>
              <w:tc>
                <w:tcPr>
                  <w:tcW w:w="3784"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本项目营运期只排放生活污水，经预处理后委托环卫部门槽罐车集中清运至德清县乾元污水处理有限公司集中处理，COD</w:t>
                  </w:r>
                  <w:r>
                    <w:rPr>
                      <w:rFonts w:hint="eastAsia"/>
                      <w:color w:val="auto"/>
                      <w:sz w:val="21"/>
                      <w:szCs w:val="21"/>
                      <w:highlight w:val="none"/>
                      <w:vertAlign w:val="subscript"/>
                    </w:rPr>
                    <w:t>Cr</w:t>
                  </w: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-N排入自然环境的量分别为0.006t/a、0.001t/a。根据《浙江省建设项目主要污染物总量准入审核办法（试行）》（浙环发[2012]10号），本项目产生的COD</w:t>
                  </w:r>
                  <w:r>
                    <w:rPr>
                      <w:rFonts w:hint="eastAsia"/>
                      <w:color w:val="auto"/>
                      <w:sz w:val="21"/>
                      <w:szCs w:val="21"/>
                      <w:highlight w:val="none"/>
                      <w:vertAlign w:val="subscript"/>
                    </w:rPr>
                    <w:t>Cr</w:t>
                  </w: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-N无需进行区域替代削减。</w:t>
                  </w:r>
                </w:p>
                <w:p>
                  <w:pPr>
                    <w:spacing w:line="240" w:lineRule="auto"/>
                    <w:ind w:firstLine="0" w:firstLineChars="0"/>
                    <w:rPr>
                      <w:color w:val="auto"/>
                      <w:sz w:val="21"/>
                      <w:szCs w:val="21"/>
                      <w:highlight w:val="none"/>
                    </w:rPr>
                  </w:pPr>
                  <w:r>
                    <w:rPr>
                      <w:rFonts w:hint="eastAsia"/>
                      <w:color w:val="auto"/>
                      <w:sz w:val="21"/>
                      <w:szCs w:val="21"/>
                      <w:highlight w:val="none"/>
                    </w:rPr>
                    <w:t>本项目总量控制指标颗粒物申请量为0.</w:t>
                  </w:r>
                  <w:r>
                    <w:rPr>
                      <w:rFonts w:hint="eastAsia"/>
                      <w:color w:val="auto"/>
                      <w:sz w:val="21"/>
                      <w:szCs w:val="21"/>
                      <w:highlight w:val="none"/>
                      <w:lang w:val="en-US" w:eastAsia="zh-CN"/>
                    </w:rPr>
                    <w:t>837</w:t>
                  </w:r>
                  <w:r>
                    <w:rPr>
                      <w:rFonts w:hint="eastAsia"/>
                      <w:color w:val="auto"/>
                      <w:sz w:val="21"/>
                      <w:szCs w:val="21"/>
                      <w:highlight w:val="none"/>
                    </w:rPr>
                    <w:t>t/a。根据《关于印发〈建设项目主要污染物排放总量指标审核及管理暂行办法〉》（国家环发〔2014〕197号）、《浙江省生态环境保护“十三五”规划》（浙政办发〔2016〕140 号）和《浙江省大气污染防治“十三五”规划》（浙发改规划〔2017〕250号）等相关规定，本项目颗粒物申请量按照1：2进行区域削减替代，其削减替代量为</w:t>
                  </w:r>
                  <w:r>
                    <w:rPr>
                      <w:rFonts w:hint="eastAsia"/>
                      <w:color w:val="auto"/>
                      <w:sz w:val="21"/>
                      <w:szCs w:val="21"/>
                      <w:highlight w:val="none"/>
                      <w:lang w:val="en-US" w:eastAsia="zh-CN"/>
                    </w:rPr>
                    <w:t>1.674</w:t>
                  </w:r>
                  <w:r>
                    <w:rPr>
                      <w:rFonts w:hint="eastAsia"/>
                      <w:color w:val="auto"/>
                      <w:sz w:val="21"/>
                      <w:szCs w:val="21"/>
                      <w:highlight w:val="none"/>
                    </w:rPr>
                    <w:t>t/a，由当地生态环境部门予以区域平衡。</w:t>
                  </w:r>
                </w:p>
              </w:tc>
              <w:tc>
                <w:tcPr>
                  <w:tcW w:w="95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国土空间规划的要求</w:t>
                  </w:r>
                </w:p>
              </w:tc>
              <w:tc>
                <w:tcPr>
                  <w:tcW w:w="3784"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本项目所属行业类别为其他建筑材料制造，产品为特种砂浆，位于德清县乾元镇</w:t>
                  </w:r>
                  <w:r>
                    <w:rPr>
                      <w:color w:val="auto"/>
                      <w:sz w:val="21"/>
                      <w:szCs w:val="21"/>
                      <w:highlight w:val="none"/>
                    </w:rPr>
                    <w:t>苕溪东街1155号</w:t>
                  </w:r>
                  <w:r>
                    <w:rPr>
                      <w:rFonts w:hint="eastAsia"/>
                      <w:color w:val="auto"/>
                      <w:sz w:val="21"/>
                      <w:szCs w:val="21"/>
                      <w:highlight w:val="none"/>
                    </w:rPr>
                    <w:t>，通过租用德清扬泰建筑材料有限公司闲置工业厂房进行生产，不占用农田、耕地等土地资源。项目建成后，一方面能够有效盘活镇域闲置工业土地，另一方面能够进一步加强乡镇经济，符合总体规划及乾元镇土地利用总体规划。</w:t>
                  </w:r>
                </w:p>
              </w:tc>
              <w:tc>
                <w:tcPr>
                  <w:tcW w:w="95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35"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国家和省产业政策等要求</w:t>
                  </w:r>
                </w:p>
              </w:tc>
              <w:tc>
                <w:tcPr>
                  <w:tcW w:w="3784"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对照《产业结构调整指导目录（2019年本）》及《湖州市产业发展导向目录（2012年本）》等，本项目的产品、设备、生产工艺均不在限制或禁止实施之列，因此符合国家和地方产业政策和发展方向。</w:t>
                  </w:r>
                </w:p>
              </w:tc>
              <w:tc>
                <w:tcPr>
                  <w:tcW w:w="95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bl>
          <w:p>
            <w:pPr>
              <w:autoSpaceDE w:val="0"/>
              <w:autoSpaceDN w:val="0"/>
              <w:adjustRightInd w:val="0"/>
              <w:snapToGrid w:val="0"/>
              <w:spacing w:line="500" w:lineRule="exact"/>
              <w:ind w:firstLine="480"/>
              <w:jc w:val="left"/>
              <w:rPr>
                <w:color w:val="auto"/>
                <w:szCs w:val="24"/>
                <w:highlight w:val="none"/>
              </w:rPr>
            </w:pPr>
            <w:r>
              <w:rPr>
                <w:rFonts w:hint="eastAsia"/>
                <w:color w:val="auto"/>
                <w:szCs w:val="24"/>
                <w:highlight w:val="none"/>
              </w:rPr>
              <w:t>综上所述，本项目符合《浙江省建设项目环境保护管理办法》（浙江省人民政府令第388号）中第三条中的相关要求。</w:t>
            </w: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autoSpaceDE w:val="0"/>
              <w:autoSpaceDN w:val="0"/>
              <w:adjustRightInd w:val="0"/>
              <w:snapToGrid w:val="0"/>
              <w:spacing w:line="500" w:lineRule="exact"/>
              <w:ind w:firstLine="480"/>
              <w:jc w:val="left"/>
              <w:rPr>
                <w:color w:val="auto"/>
                <w:szCs w:val="24"/>
                <w:highlight w:val="none"/>
              </w:rPr>
            </w:pPr>
          </w:p>
          <w:p>
            <w:pPr>
              <w:ind w:left="0" w:leftChars="0" w:firstLine="0" w:firstLineChars="0"/>
              <w:rPr>
                <w:color w:val="auto"/>
                <w:highlight w:val="none"/>
              </w:rPr>
            </w:pPr>
          </w:p>
        </w:tc>
      </w:tr>
    </w:tbl>
    <w:p>
      <w:pPr>
        <w:ind w:firstLine="0" w:firstLineChars="0"/>
        <w:rPr>
          <w:color w:val="auto"/>
          <w:highlight w:val="none"/>
        </w:rPr>
        <w:sectPr>
          <w:headerReference r:id="rId13" w:type="default"/>
          <w:footerReference r:id="rId14" w:type="default"/>
          <w:pgSz w:w="11906" w:h="16838"/>
          <w:pgMar w:top="1559" w:right="1559" w:bottom="1559" w:left="1559" w:header="851" w:footer="992" w:gutter="0"/>
          <w:pgNumType w:start="1"/>
          <w:cols w:space="720" w:num="1"/>
          <w:docGrid w:type="lines" w:linePitch="312" w:charSpace="0"/>
        </w:sectPr>
      </w:pPr>
    </w:p>
    <w:p>
      <w:pPr>
        <w:spacing w:line="500" w:lineRule="exact"/>
        <w:ind w:firstLine="0" w:firstLineChars="0"/>
        <w:jc w:val="center"/>
        <w:outlineLvl w:val="0"/>
        <w:rPr>
          <w:rFonts w:hAnsi="宋体"/>
          <w:b/>
          <w:color w:val="auto"/>
          <w:sz w:val="28"/>
          <w:szCs w:val="28"/>
          <w:highlight w:val="none"/>
        </w:rPr>
      </w:pPr>
      <w:bookmarkStart w:id="2" w:name="_Toc22961"/>
      <w:r>
        <w:rPr>
          <w:rFonts w:hint="eastAsia" w:hAnsi="宋体"/>
          <w:b/>
          <w:color w:val="auto"/>
          <w:sz w:val="28"/>
          <w:szCs w:val="28"/>
          <w:highlight w:val="none"/>
        </w:rPr>
        <w:t>二、建设项目工程分析</w:t>
      </w:r>
      <w:bookmarkEnd w:id="2"/>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noWrap/>
          </w:tcPr>
          <w:p>
            <w:pPr>
              <w:spacing w:line="500" w:lineRule="exact"/>
              <w:ind w:firstLine="0" w:firstLineChars="0"/>
              <w:rPr>
                <w:b/>
                <w:bCs/>
                <w:color w:val="auto"/>
                <w:highlight w:val="none"/>
              </w:rPr>
            </w:pPr>
            <w:r>
              <w:rPr>
                <w:rFonts w:hint="eastAsia"/>
                <w:b/>
                <w:bCs/>
                <w:color w:val="auto"/>
                <w:highlight w:val="none"/>
              </w:rPr>
              <w:t>2.1建设内容</w:t>
            </w:r>
          </w:p>
          <w:p>
            <w:pPr>
              <w:spacing w:line="500" w:lineRule="exact"/>
              <w:ind w:firstLine="0" w:firstLineChars="0"/>
              <w:rPr>
                <w:b/>
                <w:bCs/>
                <w:color w:val="auto"/>
                <w:highlight w:val="none"/>
              </w:rPr>
            </w:pPr>
            <w:r>
              <w:rPr>
                <w:rFonts w:hint="eastAsia"/>
                <w:b/>
                <w:bCs/>
                <w:color w:val="auto"/>
                <w:highlight w:val="none"/>
              </w:rPr>
              <w:t>2.1.1项目概况</w:t>
            </w:r>
          </w:p>
          <w:p>
            <w:pPr>
              <w:spacing w:line="500" w:lineRule="exact"/>
              <w:ind w:firstLine="480"/>
              <w:rPr>
                <w:color w:val="auto"/>
                <w:sz w:val="21"/>
                <w:szCs w:val="16"/>
                <w:highlight w:val="none"/>
              </w:rPr>
            </w:pPr>
            <w:r>
              <w:rPr>
                <w:color w:val="auto"/>
                <w:szCs w:val="24"/>
                <w:highlight w:val="none"/>
              </w:rPr>
              <w:t>基于目前良好的市场前景，自然人</w:t>
            </w:r>
            <w:r>
              <w:rPr>
                <w:rFonts w:hint="eastAsia"/>
                <w:color w:val="auto"/>
                <w:szCs w:val="24"/>
                <w:highlight w:val="none"/>
              </w:rPr>
              <w:t>张艳保</w:t>
            </w:r>
            <w:r>
              <w:rPr>
                <w:color w:val="auto"/>
                <w:szCs w:val="24"/>
                <w:highlight w:val="none"/>
              </w:rPr>
              <w:t>决定出资成立</w:t>
            </w:r>
            <w:r>
              <w:rPr>
                <w:rFonts w:hint="eastAsia"/>
                <w:color w:val="auto"/>
                <w:szCs w:val="24"/>
                <w:highlight w:val="none"/>
              </w:rPr>
              <w:t>浙江安捷森建材科技</w:t>
            </w:r>
            <w:r>
              <w:rPr>
                <w:color w:val="auto"/>
                <w:szCs w:val="24"/>
                <w:highlight w:val="none"/>
              </w:rPr>
              <w:t>有限公司</w:t>
            </w:r>
            <w:r>
              <w:rPr>
                <w:rFonts w:hint="eastAsia"/>
                <w:color w:val="auto"/>
                <w:szCs w:val="24"/>
                <w:highlight w:val="none"/>
              </w:rPr>
              <w:t>（以下简称安捷森公司）</w:t>
            </w:r>
            <w:r>
              <w:rPr>
                <w:color w:val="auto"/>
                <w:szCs w:val="24"/>
                <w:highlight w:val="none"/>
              </w:rPr>
              <w:t>，并拟投资</w:t>
            </w:r>
            <w:r>
              <w:rPr>
                <w:rFonts w:hint="eastAsia"/>
                <w:color w:val="auto"/>
                <w:szCs w:val="24"/>
                <w:highlight w:val="none"/>
              </w:rPr>
              <w:t>1100</w:t>
            </w:r>
            <w:r>
              <w:rPr>
                <w:color w:val="auto"/>
                <w:szCs w:val="24"/>
                <w:highlight w:val="none"/>
              </w:rPr>
              <w:t>万元实施</w:t>
            </w:r>
            <w:r>
              <w:rPr>
                <w:rFonts w:hint="eastAsia"/>
                <w:color w:val="auto"/>
                <w:szCs w:val="24"/>
                <w:highlight w:val="none"/>
              </w:rPr>
              <w:t>年产5万吨建筑特种砂浆建设</w:t>
            </w:r>
            <w:r>
              <w:rPr>
                <w:color w:val="auto"/>
                <w:szCs w:val="24"/>
                <w:highlight w:val="none"/>
              </w:rPr>
              <w:t>项目</w:t>
            </w:r>
            <w:r>
              <w:rPr>
                <w:rFonts w:hint="eastAsia"/>
                <w:color w:val="auto"/>
                <w:szCs w:val="24"/>
                <w:highlight w:val="none"/>
              </w:rPr>
              <w:t>（以下简称本项目）</w:t>
            </w:r>
            <w:r>
              <w:rPr>
                <w:color w:val="auto"/>
                <w:szCs w:val="24"/>
                <w:highlight w:val="none"/>
              </w:rPr>
              <w:t>。本项目选址于德清县</w:t>
            </w:r>
            <w:r>
              <w:rPr>
                <w:rFonts w:hint="eastAsia"/>
                <w:color w:val="auto"/>
                <w:szCs w:val="24"/>
                <w:highlight w:val="none"/>
              </w:rPr>
              <w:t>乾元镇</w:t>
            </w:r>
            <w:r>
              <w:rPr>
                <w:color w:val="auto"/>
                <w:szCs w:val="24"/>
                <w:highlight w:val="none"/>
              </w:rPr>
              <w:t>苕溪东街1155号，租用</w:t>
            </w:r>
            <w:r>
              <w:rPr>
                <w:rFonts w:hint="eastAsia"/>
                <w:color w:val="auto"/>
                <w:szCs w:val="24"/>
                <w:highlight w:val="none"/>
              </w:rPr>
              <w:t>德清扬泰建筑材料</w:t>
            </w:r>
            <w:r>
              <w:rPr>
                <w:color w:val="auto"/>
                <w:szCs w:val="24"/>
                <w:highlight w:val="none"/>
              </w:rPr>
              <w:t>有限公司厂区内</w:t>
            </w:r>
            <w:r>
              <w:rPr>
                <w:rFonts w:hint="eastAsia"/>
                <w:color w:val="auto"/>
                <w:szCs w:val="24"/>
                <w:highlight w:val="none"/>
              </w:rPr>
              <w:t>东侧</w:t>
            </w:r>
            <w:r>
              <w:rPr>
                <w:color w:val="auto"/>
                <w:szCs w:val="24"/>
                <w:highlight w:val="none"/>
              </w:rPr>
              <w:t>闲置的工业厂房来组织生产，租用的建筑面积为</w:t>
            </w:r>
            <w:r>
              <w:rPr>
                <w:rFonts w:hint="eastAsia"/>
                <w:color w:val="auto"/>
                <w:szCs w:val="24"/>
                <w:highlight w:val="none"/>
              </w:rPr>
              <w:t>1391</w:t>
            </w:r>
            <w:r>
              <w:rPr>
                <w:color w:val="auto"/>
                <w:szCs w:val="24"/>
                <w:highlight w:val="none"/>
              </w:rPr>
              <w:t>m</w:t>
            </w:r>
            <w:r>
              <w:rPr>
                <w:color w:val="auto"/>
                <w:szCs w:val="24"/>
                <w:highlight w:val="none"/>
                <w:vertAlign w:val="superscript"/>
              </w:rPr>
              <w:t>2</w:t>
            </w:r>
            <w:r>
              <w:rPr>
                <w:color w:val="auto"/>
                <w:szCs w:val="24"/>
                <w:highlight w:val="none"/>
              </w:rPr>
              <w:t>。</w:t>
            </w:r>
          </w:p>
          <w:p>
            <w:pPr>
              <w:spacing w:line="500" w:lineRule="exact"/>
              <w:ind w:firstLine="480"/>
              <w:rPr>
                <w:color w:val="auto"/>
                <w:highlight w:val="none"/>
              </w:rPr>
            </w:pPr>
            <w:r>
              <w:rPr>
                <w:color w:val="auto"/>
                <w:highlight w:val="none"/>
              </w:rPr>
              <w:t>根据《中华人民共和国环境影响评价法》和《国务院关于修改〈建设项目环境保护管理条例〉的决定》</w:t>
            </w:r>
            <w:r>
              <w:rPr>
                <w:rFonts w:hint="eastAsia"/>
                <w:color w:val="auto"/>
                <w:highlight w:val="none"/>
              </w:rPr>
              <w:t>（</w:t>
            </w:r>
            <w:r>
              <w:rPr>
                <w:color w:val="auto"/>
                <w:highlight w:val="none"/>
              </w:rPr>
              <w:t>国务院第682号令</w:t>
            </w:r>
            <w:r>
              <w:rPr>
                <w:rFonts w:hint="eastAsia"/>
                <w:color w:val="auto"/>
                <w:highlight w:val="none"/>
              </w:rPr>
              <w:t>）</w:t>
            </w:r>
            <w:r>
              <w:rPr>
                <w:color w:val="auto"/>
                <w:highlight w:val="none"/>
              </w:rPr>
              <w:t>等有关规定，建设项目须履行环境影响评价制度。</w:t>
            </w:r>
            <w:r>
              <w:rPr>
                <w:rFonts w:hint="eastAsia"/>
                <w:color w:val="auto"/>
                <w:highlight w:val="none"/>
              </w:rPr>
              <w:t>本项目产品为特种砂浆，属于其他建筑材料制造行业，</w:t>
            </w:r>
            <w:r>
              <w:rPr>
                <w:color w:val="auto"/>
                <w:highlight w:val="none"/>
              </w:rPr>
              <w:t>对照《建设项目环境影响评价分类管理名录</w:t>
            </w:r>
            <w:r>
              <w:rPr>
                <w:rFonts w:hint="eastAsia"/>
                <w:color w:val="auto"/>
                <w:highlight w:val="none"/>
              </w:rPr>
              <w:t>（2021年版）</w:t>
            </w:r>
            <w:r>
              <w:rPr>
                <w:color w:val="auto"/>
                <w:highlight w:val="none"/>
              </w:rPr>
              <w:t>》</w:t>
            </w:r>
            <w:r>
              <w:rPr>
                <w:rFonts w:hint="eastAsia"/>
                <w:color w:val="auto"/>
                <w:highlight w:val="none"/>
              </w:rPr>
              <w:t>（中华人民共和国生态环境部令第</w:t>
            </w:r>
            <w:r>
              <w:rPr>
                <w:color w:val="auto"/>
                <w:highlight w:val="none"/>
              </w:rPr>
              <w:t>16</w:t>
            </w:r>
            <w:r>
              <w:rPr>
                <w:rFonts w:hint="eastAsia"/>
                <w:color w:val="auto"/>
                <w:highlight w:val="none"/>
              </w:rPr>
              <w:t>号）</w:t>
            </w:r>
            <w:r>
              <w:rPr>
                <w:color w:val="auto"/>
                <w:highlight w:val="none"/>
              </w:rPr>
              <w:t>，本项目分类归属于</w:t>
            </w:r>
            <w:r>
              <w:rPr>
                <w:rFonts w:hint="eastAsia"/>
                <w:color w:val="auto"/>
                <w:highlight w:val="none"/>
              </w:rPr>
              <w:t>“二十七、非金属矿物制品业30  56砖瓦、石材等建筑材料制造303”</w:t>
            </w:r>
            <w:r>
              <w:rPr>
                <w:color w:val="auto"/>
                <w:highlight w:val="none"/>
              </w:rPr>
              <w:t>，应编制环境影响报告表，见表</w:t>
            </w:r>
            <w:r>
              <w:rPr>
                <w:rFonts w:hint="eastAsia"/>
                <w:color w:val="auto"/>
                <w:highlight w:val="none"/>
              </w:rPr>
              <w:t>2-1</w:t>
            </w:r>
            <w:r>
              <w:rPr>
                <w:color w:val="auto"/>
                <w:highlight w:val="none"/>
              </w:rPr>
              <w:t>。</w:t>
            </w:r>
          </w:p>
          <w:p>
            <w:pPr>
              <w:pStyle w:val="2"/>
              <w:spacing w:line="460" w:lineRule="exact"/>
              <w:ind w:firstLine="422"/>
              <w:jc w:val="center"/>
              <w:rPr>
                <w:b/>
                <w:bCs/>
                <w:color w:val="auto"/>
                <w:sz w:val="21"/>
                <w:szCs w:val="21"/>
                <w:highlight w:val="none"/>
              </w:rPr>
            </w:pPr>
            <w:r>
              <w:rPr>
                <w:b/>
                <w:bCs/>
                <w:color w:val="auto"/>
                <w:sz w:val="21"/>
                <w:szCs w:val="21"/>
                <w:highlight w:val="none"/>
              </w:rPr>
              <w:t>表</w:t>
            </w:r>
            <w:r>
              <w:rPr>
                <w:rFonts w:hint="eastAsia"/>
                <w:b/>
                <w:bCs/>
                <w:color w:val="auto"/>
                <w:sz w:val="21"/>
                <w:szCs w:val="21"/>
                <w:highlight w:val="none"/>
              </w:rPr>
              <w:t>2-1</w:t>
            </w:r>
            <w:r>
              <w:rPr>
                <w:b/>
                <w:bCs/>
                <w:color w:val="auto"/>
                <w:sz w:val="21"/>
                <w:szCs w:val="21"/>
                <w:highlight w:val="none"/>
              </w:rPr>
              <w:t xml:space="preserve">  建设项目环境影响评价分类管理名录</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111"/>
              <w:gridCol w:w="1395"/>
              <w:gridCol w:w="3353"/>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726" w:type="dxa"/>
                  <w:gridSpan w:val="2"/>
                  <w:tcBorders>
                    <w:tl2br w:val="single" w:color="auto" w:sz="4" w:space="0"/>
                  </w:tcBorders>
                  <w:shd w:val="clear" w:color="auto" w:fill="auto"/>
                  <w:vAlign w:val="center"/>
                </w:tcPr>
                <w:p>
                  <w:pPr>
                    <w:spacing w:line="240" w:lineRule="auto"/>
                    <w:ind w:firstLine="0" w:firstLineChars="0"/>
                    <w:jc w:val="right"/>
                    <w:rPr>
                      <w:b/>
                      <w:color w:val="auto"/>
                      <w:sz w:val="21"/>
                      <w:szCs w:val="21"/>
                      <w:highlight w:val="none"/>
                    </w:rPr>
                  </w:pPr>
                  <w:r>
                    <w:rPr>
                      <w:b/>
                      <w:color w:val="auto"/>
                      <w:sz w:val="21"/>
                      <w:szCs w:val="21"/>
                      <w:highlight w:val="none"/>
                    </w:rPr>
                    <w:t>环评类别</w:t>
                  </w:r>
                </w:p>
                <w:p>
                  <w:pPr>
                    <w:spacing w:line="240" w:lineRule="auto"/>
                    <w:ind w:firstLine="0" w:firstLineChars="0"/>
                    <w:jc w:val="left"/>
                    <w:rPr>
                      <w:b/>
                      <w:color w:val="auto"/>
                      <w:sz w:val="21"/>
                      <w:szCs w:val="21"/>
                      <w:highlight w:val="none"/>
                    </w:rPr>
                  </w:pPr>
                  <w:r>
                    <w:rPr>
                      <w:b/>
                      <w:color w:val="auto"/>
                      <w:sz w:val="21"/>
                      <w:szCs w:val="21"/>
                      <w:highlight w:val="none"/>
                    </w:rPr>
                    <w:t>项目类别</w:t>
                  </w:r>
                </w:p>
              </w:tc>
              <w:tc>
                <w:tcPr>
                  <w:tcW w:w="1395" w:type="dxa"/>
                  <w:shd w:val="clear" w:color="auto" w:fill="auto"/>
                  <w:vAlign w:val="center"/>
                </w:tcPr>
                <w:p>
                  <w:pPr>
                    <w:spacing w:line="240" w:lineRule="auto"/>
                    <w:ind w:firstLine="0" w:firstLineChars="0"/>
                    <w:jc w:val="center"/>
                    <w:rPr>
                      <w:color w:val="auto"/>
                      <w:sz w:val="21"/>
                      <w:szCs w:val="21"/>
                      <w:highlight w:val="none"/>
                    </w:rPr>
                  </w:pPr>
                  <w:r>
                    <w:rPr>
                      <w:color w:val="auto"/>
                      <w:sz w:val="21"/>
                      <w:szCs w:val="21"/>
                      <w:highlight w:val="none"/>
                    </w:rPr>
                    <w:t>报告书</w:t>
                  </w:r>
                </w:p>
              </w:tc>
              <w:tc>
                <w:tcPr>
                  <w:tcW w:w="3353" w:type="dxa"/>
                  <w:shd w:val="clear" w:color="auto" w:fill="auto"/>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报告表</w:t>
                  </w:r>
                </w:p>
              </w:tc>
              <w:tc>
                <w:tcPr>
                  <w:tcW w:w="1030" w:type="dxa"/>
                  <w:vAlign w:val="center"/>
                </w:tcPr>
                <w:p>
                  <w:pPr>
                    <w:spacing w:line="240" w:lineRule="auto"/>
                    <w:ind w:firstLine="0" w:firstLineChars="0"/>
                    <w:rPr>
                      <w:color w:val="auto"/>
                      <w:sz w:val="21"/>
                      <w:szCs w:val="21"/>
                      <w:highlight w:val="none"/>
                    </w:rPr>
                  </w:pPr>
                  <w:r>
                    <w:rPr>
                      <w:color w:val="auto"/>
                      <w:sz w:val="21"/>
                      <w:szCs w:val="21"/>
                      <w:highlight w:val="none"/>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4" w:type="dxa"/>
                  <w:gridSpan w:val="5"/>
                  <w:shd w:val="clear" w:color="auto" w:fill="auto"/>
                  <w:vAlign w:val="center"/>
                </w:tcPr>
                <w:p>
                  <w:pPr>
                    <w:spacing w:line="240" w:lineRule="auto"/>
                    <w:ind w:firstLine="0" w:firstLineChars="0"/>
                    <w:jc w:val="left"/>
                    <w:rPr>
                      <w:b/>
                      <w:bCs/>
                      <w:color w:val="auto"/>
                      <w:sz w:val="21"/>
                      <w:szCs w:val="21"/>
                      <w:highlight w:val="none"/>
                    </w:rPr>
                  </w:pPr>
                  <w:r>
                    <w:rPr>
                      <w:rFonts w:hint="eastAsia"/>
                      <w:b/>
                      <w:bCs/>
                      <w:color w:val="auto"/>
                      <w:sz w:val="21"/>
                      <w:szCs w:val="21"/>
                      <w:highlight w:val="none"/>
                    </w:rPr>
                    <w:t>二十七、非金属矿物制品业30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56</w:t>
                  </w:r>
                </w:p>
              </w:tc>
              <w:tc>
                <w:tcPr>
                  <w:tcW w:w="2111" w:type="dxa"/>
                  <w:shd w:val="clear" w:color="auto" w:fill="auto"/>
                  <w:vAlign w:val="center"/>
                </w:tcPr>
                <w:p>
                  <w:pPr>
                    <w:spacing w:line="240" w:lineRule="auto"/>
                    <w:ind w:firstLine="0" w:firstLineChars="0"/>
                    <w:rPr>
                      <w:color w:val="auto"/>
                      <w:sz w:val="21"/>
                      <w:szCs w:val="21"/>
                      <w:highlight w:val="none"/>
                    </w:rPr>
                  </w:pPr>
                  <w:r>
                    <w:rPr>
                      <w:rFonts w:hint="eastAsia"/>
                      <w:color w:val="auto"/>
                      <w:sz w:val="21"/>
                      <w:szCs w:val="21"/>
                      <w:highlight w:val="none"/>
                    </w:rPr>
                    <w:t>砖瓦、石材等建筑材料制造303</w:t>
                  </w:r>
                </w:p>
              </w:tc>
              <w:tc>
                <w:tcPr>
                  <w:tcW w:w="139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3353" w:type="dxa"/>
                  <w:shd w:val="clear" w:color="auto" w:fill="auto"/>
                  <w:vAlign w:val="center"/>
                </w:tcPr>
                <w:p>
                  <w:pPr>
                    <w:spacing w:line="240" w:lineRule="auto"/>
                    <w:ind w:firstLine="0" w:firstLineChars="0"/>
                    <w:rPr>
                      <w:b/>
                      <w:bCs/>
                      <w:color w:val="auto"/>
                      <w:sz w:val="21"/>
                      <w:szCs w:val="21"/>
                      <w:highlight w:val="none"/>
                    </w:rPr>
                  </w:pPr>
                  <w:r>
                    <w:rPr>
                      <w:rFonts w:hint="eastAsia"/>
                      <w:b/>
                      <w:bCs/>
                      <w:color w:val="auto"/>
                      <w:sz w:val="21"/>
                      <w:szCs w:val="21"/>
                      <w:highlight w:val="none"/>
                    </w:rPr>
                    <w:t>其他建筑材料制造（含干粉砂浆搅拌站）</w:t>
                  </w:r>
                </w:p>
              </w:tc>
              <w:tc>
                <w:tcPr>
                  <w:tcW w:w="103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bl>
          <w:p>
            <w:pPr>
              <w:widowControl/>
              <w:spacing w:line="500" w:lineRule="exact"/>
              <w:ind w:firstLine="0" w:firstLineChars="0"/>
              <w:jc w:val="left"/>
              <w:rPr>
                <w:b/>
                <w:bCs/>
                <w:color w:val="auto"/>
                <w:kern w:val="0"/>
                <w:szCs w:val="24"/>
                <w:highlight w:val="none"/>
              </w:rPr>
            </w:pPr>
            <w:r>
              <w:rPr>
                <w:rFonts w:hint="eastAsia"/>
                <w:b/>
                <w:bCs/>
                <w:color w:val="auto"/>
                <w:kern w:val="0"/>
                <w:szCs w:val="24"/>
                <w:highlight w:val="none"/>
              </w:rPr>
              <w:t>2.1.2</w:t>
            </w:r>
            <w:r>
              <w:rPr>
                <w:b/>
                <w:bCs/>
                <w:color w:val="auto"/>
                <w:kern w:val="0"/>
                <w:szCs w:val="24"/>
                <w:highlight w:val="none"/>
              </w:rPr>
              <w:t>产品方案</w:t>
            </w:r>
          </w:p>
          <w:p>
            <w:pPr>
              <w:spacing w:line="460" w:lineRule="exact"/>
              <w:ind w:firstLine="422"/>
              <w:jc w:val="center"/>
              <w:rPr>
                <w:b/>
                <w:color w:val="auto"/>
                <w:sz w:val="21"/>
                <w:szCs w:val="18"/>
                <w:highlight w:val="none"/>
              </w:rPr>
            </w:pPr>
            <w:r>
              <w:rPr>
                <w:rFonts w:hAnsi="宋体"/>
                <w:b/>
                <w:color w:val="auto"/>
                <w:sz w:val="21"/>
                <w:szCs w:val="18"/>
                <w:highlight w:val="none"/>
              </w:rPr>
              <w:t>表</w:t>
            </w:r>
            <w:r>
              <w:rPr>
                <w:rFonts w:hint="eastAsia" w:hAnsi="宋体"/>
                <w:b/>
                <w:color w:val="auto"/>
                <w:sz w:val="21"/>
                <w:szCs w:val="18"/>
                <w:highlight w:val="none"/>
              </w:rPr>
              <w:t>2-2 建设</w:t>
            </w:r>
            <w:r>
              <w:rPr>
                <w:rFonts w:hAnsi="宋体"/>
                <w:b/>
                <w:color w:val="auto"/>
                <w:sz w:val="21"/>
                <w:szCs w:val="18"/>
                <w:highlight w:val="none"/>
              </w:rPr>
              <w:t>项目主体工程及产品方案一览表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2410"/>
              <w:gridCol w:w="170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5"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工程名称</w:t>
                  </w:r>
                </w:p>
                <w:p>
                  <w:pPr>
                    <w:spacing w:line="240" w:lineRule="auto"/>
                    <w:ind w:firstLine="0" w:firstLineChars="0"/>
                    <w:jc w:val="center"/>
                    <w:rPr>
                      <w:b/>
                      <w:color w:val="auto"/>
                      <w:sz w:val="21"/>
                      <w:szCs w:val="21"/>
                      <w:highlight w:val="none"/>
                    </w:rPr>
                  </w:pPr>
                  <w:r>
                    <w:rPr>
                      <w:b/>
                      <w:color w:val="auto"/>
                      <w:sz w:val="21"/>
                      <w:szCs w:val="21"/>
                      <w:highlight w:val="none"/>
                    </w:rPr>
                    <w:t>（车间、生产装置或生产线）</w:t>
                  </w:r>
                </w:p>
              </w:tc>
              <w:tc>
                <w:tcPr>
                  <w:tcW w:w="2410"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产品名称及规格</w:t>
                  </w:r>
                </w:p>
              </w:tc>
              <w:tc>
                <w:tcPr>
                  <w:tcW w:w="1701"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设计年生产能力</w:t>
                  </w:r>
                </w:p>
              </w:tc>
              <w:tc>
                <w:tcPr>
                  <w:tcW w:w="1458"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年运行</w:t>
                  </w:r>
                  <w:r>
                    <w:rPr>
                      <w:rFonts w:hint="eastAsia"/>
                      <w:b/>
                      <w:color w:val="auto"/>
                      <w:sz w:val="21"/>
                      <w:szCs w:val="21"/>
                      <w:highlight w:val="none"/>
                    </w:rPr>
                    <w:t>时</w:t>
                  </w:r>
                  <w:r>
                    <w:rPr>
                      <w:b/>
                      <w:color w:val="auto"/>
                      <w:sz w:val="21"/>
                      <w:szCs w:val="21"/>
                      <w:highlight w:val="none"/>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1391</w:t>
                  </w:r>
                  <w:r>
                    <w:rPr>
                      <w:color w:val="auto"/>
                      <w:sz w:val="21"/>
                      <w:szCs w:val="21"/>
                      <w:highlight w:val="none"/>
                    </w:rPr>
                    <w:t>m</w:t>
                  </w:r>
                  <w:r>
                    <w:rPr>
                      <w:color w:val="auto"/>
                      <w:sz w:val="21"/>
                      <w:szCs w:val="21"/>
                      <w:highlight w:val="none"/>
                      <w:vertAlign w:val="superscript"/>
                    </w:rPr>
                    <w:t>2</w:t>
                  </w:r>
                  <w:r>
                    <w:rPr>
                      <w:color w:val="auto"/>
                      <w:sz w:val="21"/>
                      <w:szCs w:val="21"/>
                      <w:highlight w:val="none"/>
                    </w:rPr>
                    <w:t>生产车间</w:t>
                  </w:r>
                </w:p>
              </w:tc>
              <w:tc>
                <w:tcPr>
                  <w:tcW w:w="241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特种砂浆（25kg袋装）</w:t>
                  </w:r>
                </w:p>
              </w:tc>
              <w:tc>
                <w:tcPr>
                  <w:tcW w:w="170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5万吨</w:t>
                  </w:r>
                </w:p>
              </w:tc>
              <w:tc>
                <w:tcPr>
                  <w:tcW w:w="145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300d</w:t>
                  </w:r>
                </w:p>
              </w:tc>
            </w:tr>
          </w:tbl>
          <w:p>
            <w:pPr>
              <w:spacing w:line="460" w:lineRule="exact"/>
              <w:ind w:right="113" w:firstLine="105" w:firstLineChars="50"/>
              <w:rPr>
                <w:bCs/>
                <w:color w:val="auto"/>
                <w:sz w:val="21"/>
                <w:szCs w:val="21"/>
                <w:highlight w:val="none"/>
              </w:rPr>
            </w:pPr>
            <w:r>
              <w:rPr>
                <w:rFonts w:hint="eastAsia"/>
                <w:bCs/>
                <w:color w:val="auto"/>
                <w:sz w:val="21"/>
                <w:szCs w:val="21"/>
                <w:highlight w:val="none"/>
              </w:rPr>
              <w:t>注：产品质量指标执行《无机轻集料砂浆保温系统应用技术规程》（DB33/T1054-2016）。</w:t>
            </w:r>
          </w:p>
          <w:p>
            <w:pPr>
              <w:spacing w:line="500" w:lineRule="exact"/>
              <w:ind w:firstLine="0" w:firstLineChars="0"/>
              <w:rPr>
                <w:b/>
                <w:bCs/>
                <w:color w:val="auto"/>
                <w:highlight w:val="none"/>
              </w:rPr>
            </w:pPr>
            <w:r>
              <w:rPr>
                <w:rFonts w:hint="eastAsia"/>
                <w:b/>
                <w:bCs/>
                <w:color w:val="auto"/>
                <w:highlight w:val="none"/>
              </w:rPr>
              <w:t>2.1.3</w:t>
            </w:r>
            <w:r>
              <w:rPr>
                <w:b/>
                <w:bCs/>
                <w:color w:val="auto"/>
                <w:highlight w:val="none"/>
              </w:rPr>
              <w:t>主要设备</w:t>
            </w:r>
          </w:p>
          <w:p>
            <w:pPr>
              <w:pStyle w:val="37"/>
              <w:spacing w:line="500" w:lineRule="exact"/>
              <w:ind w:firstLine="480" w:firstLineChars="200"/>
              <w:jc w:val="left"/>
              <w:rPr>
                <w:rFonts w:hint="default"/>
                <w:color w:val="auto"/>
                <w:highlight w:val="none"/>
              </w:rPr>
            </w:pPr>
            <w:r>
              <w:rPr>
                <w:rFonts w:hint="default"/>
                <w:color w:val="auto"/>
                <w:highlight w:val="none"/>
              </w:rPr>
              <w:t>根据建设单位提供资料，项目主要设备情况</w:t>
            </w:r>
            <w:r>
              <w:rPr>
                <w:color w:val="auto"/>
                <w:highlight w:val="none"/>
              </w:rPr>
              <w:t>见表</w:t>
            </w:r>
            <w:r>
              <w:rPr>
                <w:rFonts w:hint="default" w:ascii="Times New Roman" w:hAnsi="Times New Roman"/>
                <w:color w:val="auto"/>
                <w:highlight w:val="none"/>
              </w:rPr>
              <w:t>2-</w:t>
            </w:r>
            <w:r>
              <w:rPr>
                <w:rFonts w:ascii="Times New Roman" w:hAnsi="Times New Roman"/>
                <w:color w:val="auto"/>
                <w:highlight w:val="none"/>
              </w:rPr>
              <w:t>3</w:t>
            </w:r>
            <w:r>
              <w:rPr>
                <w:rFonts w:hint="default"/>
                <w:color w:val="auto"/>
                <w:highlight w:val="none"/>
              </w:rPr>
              <w:t>。</w:t>
            </w:r>
          </w:p>
          <w:p>
            <w:pPr>
              <w:spacing w:line="460" w:lineRule="exact"/>
              <w:ind w:firstLine="422"/>
              <w:jc w:val="center"/>
              <w:rPr>
                <w:b/>
                <w:snapToGrid w:val="0"/>
                <w:color w:val="auto"/>
                <w:kern w:val="0"/>
                <w:sz w:val="21"/>
                <w:szCs w:val="13"/>
                <w:highlight w:val="none"/>
              </w:rPr>
            </w:pPr>
          </w:p>
          <w:p>
            <w:pPr>
              <w:spacing w:line="460" w:lineRule="exact"/>
              <w:ind w:firstLine="422"/>
              <w:jc w:val="center"/>
              <w:rPr>
                <w:b/>
                <w:snapToGrid w:val="0"/>
                <w:color w:val="auto"/>
                <w:kern w:val="0"/>
                <w:sz w:val="21"/>
                <w:szCs w:val="13"/>
                <w:highlight w:val="none"/>
              </w:rPr>
            </w:pPr>
          </w:p>
          <w:p>
            <w:pPr>
              <w:spacing w:line="460" w:lineRule="exact"/>
              <w:ind w:firstLine="422"/>
              <w:jc w:val="center"/>
              <w:rPr>
                <w:rFonts w:hAnsi="宋体"/>
                <w:b/>
                <w:snapToGrid w:val="0"/>
                <w:color w:val="auto"/>
                <w:kern w:val="0"/>
                <w:szCs w:val="21"/>
                <w:highlight w:val="none"/>
              </w:rPr>
            </w:pPr>
            <w:r>
              <w:rPr>
                <w:b/>
                <w:snapToGrid w:val="0"/>
                <w:color w:val="auto"/>
                <w:kern w:val="0"/>
                <w:sz w:val="21"/>
                <w:szCs w:val="13"/>
                <w:highlight w:val="none"/>
              </w:rPr>
              <w:t>表</w:t>
            </w:r>
            <w:r>
              <w:rPr>
                <w:rFonts w:hint="eastAsia"/>
                <w:b/>
                <w:snapToGrid w:val="0"/>
                <w:color w:val="auto"/>
                <w:kern w:val="0"/>
                <w:sz w:val="21"/>
                <w:szCs w:val="13"/>
                <w:highlight w:val="none"/>
              </w:rPr>
              <w:t>2-3  建设</w:t>
            </w:r>
            <w:r>
              <w:rPr>
                <w:b/>
                <w:color w:val="auto"/>
                <w:sz w:val="21"/>
                <w:szCs w:val="13"/>
                <w:highlight w:val="none"/>
              </w:rPr>
              <w:t>项目</w:t>
            </w:r>
            <w:r>
              <w:rPr>
                <w:b/>
                <w:snapToGrid w:val="0"/>
                <w:color w:val="auto"/>
                <w:kern w:val="0"/>
                <w:sz w:val="21"/>
                <w:szCs w:val="13"/>
                <w:highlight w:val="none"/>
              </w:rPr>
              <w:t>主要设备一览表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55"/>
              <w:gridCol w:w="2494"/>
              <w:gridCol w:w="992"/>
              <w:gridCol w:w="1678"/>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1555"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名称</w:t>
                  </w:r>
                </w:p>
              </w:tc>
              <w:tc>
                <w:tcPr>
                  <w:tcW w:w="2494" w:type="dxa"/>
                  <w:noWrap/>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型号/尺寸</w:t>
                  </w:r>
                </w:p>
              </w:tc>
              <w:tc>
                <w:tcPr>
                  <w:tcW w:w="992"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数量</w:t>
                  </w:r>
                </w:p>
              </w:tc>
              <w:tc>
                <w:tcPr>
                  <w:tcW w:w="1678"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用途</w:t>
                  </w:r>
                </w:p>
              </w:tc>
              <w:tc>
                <w:tcPr>
                  <w:tcW w:w="1056"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提升机</w:t>
                  </w:r>
                </w:p>
              </w:tc>
              <w:tc>
                <w:tcPr>
                  <w:tcW w:w="2494"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NE50</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4台</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送料</w:t>
                  </w:r>
                </w:p>
              </w:tc>
              <w:tc>
                <w:tcPr>
                  <w:tcW w:w="1056"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市场采购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水泥储罐</w:t>
                  </w:r>
                </w:p>
              </w:tc>
              <w:tc>
                <w:tcPr>
                  <w:tcW w:w="2494"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Φ</w:t>
                  </w:r>
                  <w:r>
                    <w:rPr>
                      <w:rFonts w:hint="eastAsia"/>
                      <w:color w:val="auto"/>
                      <w:sz w:val="21"/>
                      <w:szCs w:val="21"/>
                      <w:highlight w:val="none"/>
                    </w:rPr>
                    <w:t>3000×23m（150m</w:t>
                  </w:r>
                  <w:r>
                    <w:rPr>
                      <w:rFonts w:hint="eastAsia"/>
                      <w:color w:val="auto"/>
                      <w:sz w:val="21"/>
                      <w:szCs w:val="21"/>
                      <w:highlight w:val="none"/>
                      <w:vertAlign w:val="superscript"/>
                    </w:rPr>
                    <w:t>3</w:t>
                  </w:r>
                  <w:r>
                    <w:rPr>
                      <w:rFonts w:hint="eastAsia"/>
                      <w:color w:val="auto"/>
                      <w:sz w:val="21"/>
                      <w:szCs w:val="21"/>
                      <w:highlight w:val="none"/>
                    </w:rPr>
                    <w:t>）</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2个</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储存</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3</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粉煤灰储罐</w:t>
                  </w:r>
                </w:p>
              </w:tc>
              <w:tc>
                <w:tcPr>
                  <w:tcW w:w="2494"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Φ</w:t>
                  </w:r>
                  <w:r>
                    <w:rPr>
                      <w:rFonts w:hint="eastAsia"/>
                      <w:color w:val="auto"/>
                      <w:sz w:val="21"/>
                      <w:szCs w:val="21"/>
                      <w:highlight w:val="none"/>
                    </w:rPr>
                    <w:t>3000×23m（70m</w:t>
                  </w:r>
                  <w:r>
                    <w:rPr>
                      <w:rFonts w:hint="eastAsia"/>
                      <w:color w:val="auto"/>
                      <w:sz w:val="21"/>
                      <w:szCs w:val="21"/>
                      <w:highlight w:val="none"/>
                      <w:vertAlign w:val="superscript"/>
                    </w:rPr>
                    <w:t>3</w:t>
                  </w:r>
                  <w:r>
                    <w:rPr>
                      <w:rFonts w:hint="eastAsia"/>
                      <w:color w:val="auto"/>
                      <w:sz w:val="21"/>
                      <w:szCs w:val="21"/>
                      <w:highlight w:val="none"/>
                    </w:rPr>
                    <w:t>）</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1个</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储存</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4</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机制砂储罐</w:t>
                  </w:r>
                </w:p>
              </w:tc>
              <w:tc>
                <w:tcPr>
                  <w:tcW w:w="2494"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Φ</w:t>
                  </w:r>
                  <w:r>
                    <w:rPr>
                      <w:rFonts w:hint="eastAsia"/>
                      <w:color w:val="auto"/>
                      <w:sz w:val="21"/>
                      <w:szCs w:val="21"/>
                      <w:highlight w:val="none"/>
                    </w:rPr>
                    <w:t>3800×19.5m（150m</w:t>
                  </w:r>
                  <w:r>
                    <w:rPr>
                      <w:rFonts w:hint="eastAsia"/>
                      <w:color w:val="auto"/>
                      <w:sz w:val="21"/>
                      <w:szCs w:val="21"/>
                      <w:highlight w:val="none"/>
                      <w:vertAlign w:val="superscript"/>
                    </w:rPr>
                    <w:t>3</w:t>
                  </w:r>
                  <w:r>
                    <w:rPr>
                      <w:rFonts w:hint="eastAsia"/>
                      <w:color w:val="auto"/>
                      <w:sz w:val="21"/>
                      <w:szCs w:val="21"/>
                      <w:highlight w:val="none"/>
                    </w:rPr>
                    <w:t>）</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2个</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储存</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5</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灰钙粉储罐</w:t>
                  </w:r>
                </w:p>
              </w:tc>
              <w:tc>
                <w:tcPr>
                  <w:tcW w:w="2494"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Φ</w:t>
                  </w:r>
                  <w:r>
                    <w:rPr>
                      <w:rFonts w:hint="eastAsia"/>
                      <w:color w:val="auto"/>
                      <w:sz w:val="21"/>
                      <w:szCs w:val="21"/>
                      <w:highlight w:val="none"/>
                    </w:rPr>
                    <w:t>3000×23m（50m</w:t>
                  </w:r>
                  <w:r>
                    <w:rPr>
                      <w:rFonts w:hint="eastAsia"/>
                      <w:color w:val="auto"/>
                      <w:sz w:val="21"/>
                      <w:szCs w:val="21"/>
                      <w:highlight w:val="none"/>
                      <w:vertAlign w:val="superscript"/>
                    </w:rPr>
                    <w:t>3</w:t>
                  </w:r>
                  <w:r>
                    <w:rPr>
                      <w:rFonts w:hint="eastAsia"/>
                      <w:color w:val="auto"/>
                      <w:sz w:val="21"/>
                      <w:szCs w:val="21"/>
                      <w:highlight w:val="none"/>
                    </w:rPr>
                    <w:t>）</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1个</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储存</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6</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玻化微珠储罐</w:t>
                  </w:r>
                </w:p>
              </w:tc>
              <w:tc>
                <w:tcPr>
                  <w:tcW w:w="2494"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Φ</w:t>
                  </w:r>
                  <w:r>
                    <w:rPr>
                      <w:rFonts w:hint="eastAsia"/>
                      <w:color w:val="auto"/>
                      <w:sz w:val="21"/>
                      <w:szCs w:val="21"/>
                      <w:highlight w:val="none"/>
                    </w:rPr>
                    <w:t>3000×23m/</w:t>
                  </w:r>
                  <w:r>
                    <w:rPr>
                      <w:color w:val="auto"/>
                      <w:sz w:val="21"/>
                      <w:szCs w:val="21"/>
                      <w:highlight w:val="none"/>
                    </w:rPr>
                    <w:t>Φ</w:t>
                  </w:r>
                  <w:r>
                    <w:rPr>
                      <w:rFonts w:hint="eastAsia"/>
                      <w:color w:val="auto"/>
                      <w:sz w:val="21"/>
                      <w:szCs w:val="21"/>
                      <w:highlight w:val="none"/>
                    </w:rPr>
                    <w:t>4200×23m（150m</w:t>
                  </w:r>
                  <w:r>
                    <w:rPr>
                      <w:rFonts w:hint="eastAsia"/>
                      <w:color w:val="auto"/>
                      <w:sz w:val="21"/>
                      <w:szCs w:val="21"/>
                      <w:highlight w:val="none"/>
                      <w:vertAlign w:val="superscript"/>
                    </w:rPr>
                    <w:t>3</w:t>
                  </w:r>
                  <w:r>
                    <w:rPr>
                      <w:rFonts w:hint="eastAsia"/>
                      <w:color w:val="auto"/>
                      <w:sz w:val="21"/>
                      <w:szCs w:val="21"/>
                      <w:highlight w:val="none"/>
                    </w:rPr>
                    <w:t>/200m</w:t>
                  </w:r>
                  <w:r>
                    <w:rPr>
                      <w:rFonts w:hint="eastAsia"/>
                      <w:color w:val="auto"/>
                      <w:sz w:val="21"/>
                      <w:szCs w:val="21"/>
                      <w:highlight w:val="none"/>
                      <w:vertAlign w:val="superscript"/>
                    </w:rPr>
                    <w:t>3</w:t>
                  </w:r>
                  <w:r>
                    <w:rPr>
                      <w:rFonts w:hint="eastAsia"/>
                      <w:color w:val="auto"/>
                      <w:sz w:val="21"/>
                      <w:szCs w:val="21"/>
                      <w:highlight w:val="none"/>
                    </w:rPr>
                    <w:t>）</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2个</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储存</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7</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添加剂搅拌仓</w:t>
                  </w:r>
                </w:p>
              </w:tc>
              <w:tc>
                <w:tcPr>
                  <w:tcW w:w="249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1×1×1m</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1个</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储存</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8</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混合机</w:t>
                  </w:r>
                </w:p>
              </w:tc>
              <w:tc>
                <w:tcPr>
                  <w:tcW w:w="249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厂家定制</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混合</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9</w:t>
                  </w:r>
                </w:p>
              </w:tc>
              <w:tc>
                <w:tcPr>
                  <w:tcW w:w="155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成品仓</w:t>
                  </w:r>
                </w:p>
              </w:tc>
              <w:tc>
                <w:tcPr>
                  <w:tcW w:w="249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6m</w:t>
                  </w:r>
                  <w:r>
                    <w:rPr>
                      <w:rFonts w:hint="eastAsia"/>
                      <w:color w:val="auto"/>
                      <w:sz w:val="21"/>
                      <w:szCs w:val="21"/>
                      <w:highlight w:val="none"/>
                      <w:vertAlign w:val="superscript"/>
                    </w:rPr>
                    <w:t>3</w:t>
                  </w:r>
                </w:p>
              </w:tc>
              <w:tc>
                <w:tcPr>
                  <w:tcW w:w="99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67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储存</w:t>
                  </w:r>
                </w:p>
              </w:tc>
              <w:tc>
                <w:tcPr>
                  <w:tcW w:w="1056"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1555" w:type="dxa"/>
                  <w:vAlign w:val="center"/>
                </w:tcPr>
                <w:p>
                  <w:pPr>
                    <w:spacing w:line="240" w:lineRule="auto"/>
                    <w:ind w:firstLine="0" w:firstLineChars="0"/>
                    <w:jc w:val="center"/>
                    <w:rPr>
                      <w:color w:val="auto"/>
                      <w:sz w:val="21"/>
                      <w:szCs w:val="21"/>
                      <w:highlight w:val="none"/>
                    </w:rPr>
                  </w:pPr>
                  <w:r>
                    <w:rPr>
                      <w:color w:val="auto"/>
                      <w:sz w:val="21"/>
                      <w:szCs w:val="21"/>
                      <w:highlight w:val="none"/>
                    </w:rPr>
                    <w:t>包装机</w:t>
                  </w:r>
                </w:p>
              </w:tc>
              <w:tc>
                <w:tcPr>
                  <w:tcW w:w="2494" w:type="dxa"/>
                  <w:vAlign w:val="center"/>
                </w:tcPr>
                <w:p>
                  <w:pPr>
                    <w:spacing w:line="240" w:lineRule="auto"/>
                    <w:ind w:firstLine="0" w:firstLineChars="0"/>
                    <w:jc w:val="center"/>
                    <w:rPr>
                      <w:color w:val="auto"/>
                      <w:sz w:val="21"/>
                      <w:szCs w:val="21"/>
                      <w:highlight w:val="none"/>
                    </w:rPr>
                  </w:pPr>
                  <w:r>
                    <w:rPr>
                      <w:color w:val="auto"/>
                      <w:sz w:val="21"/>
                      <w:szCs w:val="21"/>
                      <w:highlight w:val="none"/>
                    </w:rPr>
                    <w:t>30t</w:t>
                  </w:r>
                  <w:r>
                    <w:rPr>
                      <w:rFonts w:hint="eastAsia"/>
                      <w:color w:val="auto"/>
                      <w:sz w:val="21"/>
                      <w:szCs w:val="21"/>
                      <w:highlight w:val="none"/>
                    </w:rPr>
                    <w:t>，</w:t>
                  </w:r>
                  <w:r>
                    <w:rPr>
                      <w:color w:val="auto"/>
                      <w:sz w:val="21"/>
                      <w:szCs w:val="21"/>
                      <w:highlight w:val="none"/>
                    </w:rPr>
                    <w:t>3×16m</w:t>
                  </w:r>
                </w:p>
              </w:tc>
              <w:tc>
                <w:tcPr>
                  <w:tcW w:w="9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6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w:t>
                  </w:r>
                </w:p>
              </w:tc>
              <w:tc>
                <w:tcPr>
                  <w:tcW w:w="1056"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11</w:t>
                  </w:r>
                </w:p>
              </w:tc>
              <w:tc>
                <w:tcPr>
                  <w:tcW w:w="1555" w:type="dxa"/>
                  <w:vAlign w:val="center"/>
                </w:tcPr>
                <w:p>
                  <w:pPr>
                    <w:spacing w:line="240" w:lineRule="auto"/>
                    <w:ind w:firstLine="0" w:firstLineChars="0"/>
                    <w:jc w:val="center"/>
                    <w:rPr>
                      <w:color w:val="auto"/>
                      <w:sz w:val="21"/>
                      <w:szCs w:val="21"/>
                      <w:highlight w:val="none"/>
                    </w:rPr>
                  </w:pPr>
                  <w:r>
                    <w:rPr>
                      <w:color w:val="auto"/>
                      <w:sz w:val="21"/>
                      <w:szCs w:val="21"/>
                      <w:highlight w:val="none"/>
                    </w:rPr>
                    <w:t>叉车</w:t>
                  </w:r>
                </w:p>
              </w:tc>
              <w:tc>
                <w:tcPr>
                  <w:tcW w:w="249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9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6台</w:t>
                  </w:r>
                </w:p>
              </w:tc>
              <w:tc>
                <w:tcPr>
                  <w:tcW w:w="16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运输</w:t>
                  </w:r>
                </w:p>
              </w:tc>
              <w:tc>
                <w:tcPr>
                  <w:tcW w:w="1056"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15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配料称斗</w:t>
                  </w:r>
                </w:p>
              </w:tc>
              <w:tc>
                <w:tcPr>
                  <w:tcW w:w="249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5m</w:t>
                  </w:r>
                  <w:r>
                    <w:rPr>
                      <w:rFonts w:hint="eastAsia"/>
                      <w:color w:val="auto"/>
                      <w:sz w:val="21"/>
                      <w:szCs w:val="21"/>
                      <w:highlight w:val="none"/>
                      <w:vertAlign w:val="superscript"/>
                    </w:rPr>
                    <w:t>3</w:t>
                  </w:r>
                </w:p>
              </w:tc>
              <w:tc>
                <w:tcPr>
                  <w:tcW w:w="9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1个</w:t>
                  </w:r>
                </w:p>
              </w:tc>
              <w:tc>
                <w:tcPr>
                  <w:tcW w:w="16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配料</w:t>
                  </w:r>
                </w:p>
              </w:tc>
              <w:tc>
                <w:tcPr>
                  <w:tcW w:w="1056"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13</w:t>
                  </w:r>
                </w:p>
              </w:tc>
              <w:tc>
                <w:tcPr>
                  <w:tcW w:w="15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空压机</w:t>
                  </w:r>
                </w:p>
              </w:tc>
              <w:tc>
                <w:tcPr>
                  <w:tcW w:w="249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2m</w:t>
                  </w:r>
                  <w:r>
                    <w:rPr>
                      <w:rFonts w:hint="eastAsia"/>
                      <w:color w:val="auto"/>
                      <w:sz w:val="21"/>
                      <w:szCs w:val="21"/>
                      <w:highlight w:val="none"/>
                      <w:vertAlign w:val="superscript"/>
                    </w:rPr>
                    <w:t>3</w:t>
                  </w:r>
                  <w:r>
                    <w:rPr>
                      <w:rFonts w:hint="eastAsia"/>
                      <w:color w:val="auto"/>
                      <w:sz w:val="21"/>
                      <w:szCs w:val="21"/>
                      <w:highlight w:val="none"/>
                    </w:rPr>
                    <w:t>/h</w:t>
                  </w:r>
                </w:p>
              </w:tc>
              <w:tc>
                <w:tcPr>
                  <w:tcW w:w="9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4台</w:t>
                  </w:r>
                </w:p>
              </w:tc>
              <w:tc>
                <w:tcPr>
                  <w:tcW w:w="16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提供压缩空气</w:t>
                  </w:r>
                </w:p>
              </w:tc>
              <w:tc>
                <w:tcPr>
                  <w:tcW w:w="1056"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w:t>
                  </w:r>
                </w:p>
              </w:tc>
              <w:tc>
                <w:tcPr>
                  <w:tcW w:w="1555" w:type="dxa"/>
                  <w:vAlign w:val="center"/>
                </w:tcPr>
                <w:p>
                  <w:pPr>
                    <w:spacing w:line="240" w:lineRule="auto"/>
                    <w:ind w:firstLine="0" w:firstLineChars="0"/>
                    <w:jc w:val="center"/>
                    <w:rPr>
                      <w:color w:val="auto"/>
                      <w:sz w:val="21"/>
                      <w:szCs w:val="21"/>
                      <w:highlight w:val="none"/>
                    </w:rPr>
                  </w:pPr>
                  <w:r>
                    <w:rPr>
                      <w:color w:val="auto"/>
                      <w:sz w:val="21"/>
                      <w:szCs w:val="21"/>
                      <w:highlight w:val="none"/>
                    </w:rPr>
                    <w:t>地中衡</w:t>
                  </w:r>
                </w:p>
              </w:tc>
              <w:tc>
                <w:tcPr>
                  <w:tcW w:w="2494" w:type="dxa"/>
                  <w:vAlign w:val="center"/>
                </w:tcPr>
                <w:p>
                  <w:pPr>
                    <w:spacing w:line="240" w:lineRule="auto"/>
                    <w:ind w:firstLine="0" w:firstLineChars="0"/>
                    <w:jc w:val="center"/>
                    <w:rPr>
                      <w:color w:val="auto"/>
                      <w:sz w:val="21"/>
                      <w:szCs w:val="21"/>
                      <w:highlight w:val="none"/>
                    </w:rPr>
                  </w:pPr>
                  <w:r>
                    <w:rPr>
                      <w:color w:val="auto"/>
                      <w:sz w:val="21"/>
                      <w:szCs w:val="21"/>
                      <w:highlight w:val="none"/>
                    </w:rPr>
                    <w:t>CKA6163D00</w:t>
                  </w:r>
                </w:p>
              </w:tc>
              <w:tc>
                <w:tcPr>
                  <w:tcW w:w="9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6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物料进厂称重</w:t>
                  </w:r>
                </w:p>
              </w:tc>
              <w:tc>
                <w:tcPr>
                  <w:tcW w:w="1056"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15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小型搅拌机</w:t>
                  </w:r>
                </w:p>
              </w:tc>
              <w:tc>
                <w:tcPr>
                  <w:tcW w:w="249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9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6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混合</w:t>
                  </w:r>
                </w:p>
              </w:tc>
              <w:tc>
                <w:tcPr>
                  <w:tcW w:w="1056" w:type="dxa"/>
                  <w:vMerge w:val="continue"/>
                  <w:vAlign w:val="center"/>
                </w:tcPr>
                <w:p>
                  <w:pPr>
                    <w:spacing w:line="240" w:lineRule="auto"/>
                    <w:ind w:firstLine="0" w:firstLineChars="0"/>
                    <w:jc w:val="center"/>
                    <w:rPr>
                      <w:color w:val="auto"/>
                      <w:sz w:val="21"/>
                      <w:szCs w:val="21"/>
                      <w:highlight w:val="none"/>
                    </w:rPr>
                  </w:pPr>
                </w:p>
              </w:tc>
            </w:tr>
          </w:tbl>
          <w:p>
            <w:pPr>
              <w:spacing w:line="500" w:lineRule="exact"/>
              <w:ind w:firstLine="0" w:firstLineChars="0"/>
              <w:rPr>
                <w:b/>
                <w:bCs/>
                <w:color w:val="auto"/>
                <w:highlight w:val="none"/>
              </w:rPr>
            </w:pPr>
            <w:r>
              <w:rPr>
                <w:rFonts w:hint="eastAsia"/>
                <w:b/>
                <w:bCs/>
                <w:color w:val="auto"/>
                <w:highlight w:val="none"/>
              </w:rPr>
              <w:t xml:space="preserve">2.1.4 </w:t>
            </w:r>
            <w:r>
              <w:rPr>
                <w:b/>
                <w:bCs/>
                <w:color w:val="auto"/>
                <w:highlight w:val="none"/>
              </w:rPr>
              <w:t>原辅材料</w:t>
            </w:r>
            <w:r>
              <w:rPr>
                <w:rFonts w:hint="eastAsia"/>
                <w:b/>
                <w:bCs/>
                <w:color w:val="auto"/>
                <w:highlight w:val="none"/>
              </w:rPr>
              <w:t>及能源消耗</w:t>
            </w:r>
          </w:p>
          <w:p>
            <w:pPr>
              <w:spacing w:line="460" w:lineRule="exact"/>
              <w:ind w:firstLine="422"/>
              <w:jc w:val="center"/>
              <w:rPr>
                <w:rFonts w:hAnsi="宋体"/>
                <w:b/>
                <w:color w:val="auto"/>
                <w:szCs w:val="21"/>
                <w:highlight w:val="none"/>
              </w:rPr>
            </w:pPr>
            <w:r>
              <w:rPr>
                <w:rFonts w:hint="eastAsia"/>
                <w:b/>
                <w:bCs/>
                <w:color w:val="auto"/>
                <w:sz w:val="21"/>
                <w:szCs w:val="16"/>
                <w:highlight w:val="none"/>
              </w:rPr>
              <w:t>表2-4  建设项目主要原辅材料及能源消耗表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20"/>
              <w:gridCol w:w="1254"/>
              <w:gridCol w:w="1541"/>
              <w:gridCol w:w="1128"/>
              <w:gridCol w:w="1288"/>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112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名称</w:t>
                  </w:r>
                </w:p>
              </w:tc>
              <w:tc>
                <w:tcPr>
                  <w:tcW w:w="1254"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年耗用量</w:t>
                  </w:r>
                </w:p>
              </w:tc>
              <w:tc>
                <w:tcPr>
                  <w:tcW w:w="1541"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包装规格</w:t>
                  </w:r>
                </w:p>
              </w:tc>
              <w:tc>
                <w:tcPr>
                  <w:tcW w:w="1128"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用途</w:t>
                  </w:r>
                </w:p>
              </w:tc>
              <w:tc>
                <w:tcPr>
                  <w:tcW w:w="1288" w:type="dxa"/>
                  <w:noWrap/>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最大暂存量</w:t>
                  </w:r>
                </w:p>
              </w:tc>
              <w:tc>
                <w:tcPr>
                  <w:tcW w:w="1454"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112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水泥</w:t>
                  </w:r>
                </w:p>
              </w:tc>
              <w:tc>
                <w:tcPr>
                  <w:tcW w:w="125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14500.</w:t>
                  </w:r>
                  <w:r>
                    <w:rPr>
                      <w:rFonts w:hint="eastAsia"/>
                      <w:color w:val="auto"/>
                      <w:sz w:val="21"/>
                      <w:szCs w:val="21"/>
                      <w:highlight w:val="none"/>
                      <w:lang w:val="en-US" w:eastAsia="zh-CN"/>
                    </w:rPr>
                    <w:t>242</w:t>
                  </w:r>
                  <w:r>
                    <w:rPr>
                      <w:rFonts w:hint="eastAsia"/>
                      <w:color w:val="auto"/>
                      <w:sz w:val="21"/>
                      <w:szCs w:val="21"/>
                      <w:highlight w:val="none"/>
                    </w:rPr>
                    <w:t>t</w:t>
                  </w:r>
                </w:p>
              </w:tc>
              <w:tc>
                <w:tcPr>
                  <w:tcW w:w="154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罐车装运</w:t>
                  </w:r>
                </w:p>
              </w:tc>
              <w:tc>
                <w:tcPr>
                  <w:tcW w:w="1128" w:type="dxa"/>
                  <w:vMerge w:val="restar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w:t>
                  </w:r>
                </w:p>
              </w:tc>
              <w:tc>
                <w:tcPr>
                  <w:tcW w:w="12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900t</w:t>
                  </w:r>
                </w:p>
              </w:tc>
              <w:tc>
                <w:tcPr>
                  <w:tcW w:w="1454" w:type="dxa"/>
                  <w:vMerge w:val="restar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市场采购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112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机制砂</w:t>
                  </w:r>
                </w:p>
              </w:tc>
              <w:tc>
                <w:tcPr>
                  <w:tcW w:w="125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31000.</w:t>
                  </w:r>
                  <w:r>
                    <w:rPr>
                      <w:rFonts w:hint="eastAsia"/>
                      <w:color w:val="auto"/>
                      <w:sz w:val="21"/>
                      <w:szCs w:val="21"/>
                      <w:highlight w:val="none"/>
                      <w:lang w:val="en-US" w:eastAsia="zh-CN"/>
                    </w:rPr>
                    <w:t>518</w:t>
                  </w:r>
                  <w:r>
                    <w:rPr>
                      <w:rFonts w:hint="eastAsia"/>
                      <w:color w:val="auto"/>
                      <w:sz w:val="21"/>
                      <w:szCs w:val="21"/>
                      <w:highlight w:val="none"/>
                    </w:rPr>
                    <w:t>t</w:t>
                  </w:r>
                </w:p>
              </w:tc>
              <w:tc>
                <w:tcPr>
                  <w:tcW w:w="154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吨袋包装</w:t>
                  </w:r>
                </w:p>
              </w:tc>
              <w:tc>
                <w:tcPr>
                  <w:tcW w:w="1128" w:type="dxa"/>
                  <w:vMerge w:val="continue"/>
                  <w:noWrap/>
                  <w:vAlign w:val="center"/>
                </w:tcPr>
                <w:p>
                  <w:pPr>
                    <w:spacing w:line="240" w:lineRule="auto"/>
                    <w:ind w:firstLine="0" w:firstLineChars="0"/>
                    <w:jc w:val="center"/>
                    <w:rPr>
                      <w:bCs/>
                      <w:color w:val="auto"/>
                      <w:sz w:val="21"/>
                      <w:szCs w:val="21"/>
                      <w:highlight w:val="none"/>
                    </w:rPr>
                  </w:pPr>
                </w:p>
              </w:tc>
              <w:tc>
                <w:tcPr>
                  <w:tcW w:w="1288"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750t</w:t>
                  </w:r>
                </w:p>
              </w:tc>
              <w:tc>
                <w:tcPr>
                  <w:tcW w:w="1454"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3</w:t>
                  </w:r>
                </w:p>
              </w:tc>
              <w:tc>
                <w:tcPr>
                  <w:tcW w:w="112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添加剂</w:t>
                  </w:r>
                </w:p>
              </w:tc>
              <w:tc>
                <w:tcPr>
                  <w:tcW w:w="125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500.00</w:t>
                  </w:r>
                  <w:r>
                    <w:rPr>
                      <w:rFonts w:hint="eastAsia"/>
                      <w:color w:val="auto"/>
                      <w:sz w:val="21"/>
                      <w:szCs w:val="21"/>
                      <w:highlight w:val="none"/>
                      <w:lang w:val="en-US" w:eastAsia="zh-CN"/>
                    </w:rPr>
                    <w:t>8</w:t>
                  </w:r>
                  <w:r>
                    <w:rPr>
                      <w:rFonts w:hint="eastAsia"/>
                      <w:color w:val="auto"/>
                      <w:sz w:val="21"/>
                      <w:szCs w:val="21"/>
                      <w:highlight w:val="none"/>
                    </w:rPr>
                    <w:t>t</w:t>
                  </w:r>
                </w:p>
              </w:tc>
              <w:tc>
                <w:tcPr>
                  <w:tcW w:w="1541"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25kg袋装</w:t>
                  </w:r>
                </w:p>
              </w:tc>
              <w:tc>
                <w:tcPr>
                  <w:tcW w:w="1128" w:type="dxa"/>
                  <w:vMerge w:val="continue"/>
                  <w:noWrap/>
                  <w:vAlign w:val="center"/>
                </w:tcPr>
                <w:p>
                  <w:pPr>
                    <w:spacing w:line="240" w:lineRule="auto"/>
                    <w:ind w:firstLine="0" w:firstLineChars="0"/>
                    <w:jc w:val="center"/>
                    <w:rPr>
                      <w:bCs/>
                      <w:color w:val="auto"/>
                      <w:sz w:val="21"/>
                      <w:szCs w:val="21"/>
                      <w:highlight w:val="none"/>
                    </w:rPr>
                  </w:pPr>
                </w:p>
              </w:tc>
              <w:tc>
                <w:tcPr>
                  <w:tcW w:w="1288"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50t</w:t>
                  </w:r>
                </w:p>
              </w:tc>
              <w:tc>
                <w:tcPr>
                  <w:tcW w:w="1454"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4</w:t>
                  </w:r>
                </w:p>
              </w:tc>
              <w:tc>
                <w:tcPr>
                  <w:tcW w:w="112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灰钙粉</w:t>
                  </w:r>
                </w:p>
              </w:tc>
              <w:tc>
                <w:tcPr>
                  <w:tcW w:w="125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500.00</w:t>
                  </w:r>
                  <w:r>
                    <w:rPr>
                      <w:rFonts w:hint="eastAsia"/>
                      <w:color w:val="auto"/>
                      <w:sz w:val="21"/>
                      <w:szCs w:val="21"/>
                      <w:highlight w:val="none"/>
                      <w:lang w:val="en-US" w:eastAsia="zh-CN"/>
                    </w:rPr>
                    <w:t>8</w:t>
                  </w:r>
                  <w:r>
                    <w:rPr>
                      <w:rFonts w:hint="eastAsia"/>
                      <w:color w:val="auto"/>
                      <w:sz w:val="21"/>
                      <w:szCs w:val="21"/>
                      <w:highlight w:val="none"/>
                    </w:rPr>
                    <w:t>t</w:t>
                  </w:r>
                </w:p>
              </w:tc>
              <w:tc>
                <w:tcPr>
                  <w:tcW w:w="1541"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罐车装运</w:t>
                  </w:r>
                </w:p>
              </w:tc>
              <w:tc>
                <w:tcPr>
                  <w:tcW w:w="1128" w:type="dxa"/>
                  <w:vMerge w:val="continue"/>
                  <w:noWrap/>
                  <w:vAlign w:val="center"/>
                </w:tcPr>
                <w:p>
                  <w:pPr>
                    <w:spacing w:line="240" w:lineRule="auto"/>
                    <w:ind w:firstLine="0" w:firstLineChars="0"/>
                    <w:jc w:val="center"/>
                    <w:rPr>
                      <w:bCs/>
                      <w:color w:val="auto"/>
                      <w:sz w:val="21"/>
                      <w:szCs w:val="21"/>
                      <w:highlight w:val="none"/>
                    </w:rPr>
                  </w:pPr>
                </w:p>
              </w:tc>
              <w:tc>
                <w:tcPr>
                  <w:tcW w:w="1288"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140t</w:t>
                  </w:r>
                </w:p>
              </w:tc>
              <w:tc>
                <w:tcPr>
                  <w:tcW w:w="1454"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5</w:t>
                  </w:r>
                </w:p>
              </w:tc>
              <w:tc>
                <w:tcPr>
                  <w:tcW w:w="112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玻化微珠</w:t>
                  </w:r>
                </w:p>
              </w:tc>
              <w:tc>
                <w:tcPr>
                  <w:tcW w:w="1254" w:type="dxa"/>
                  <w:noWrap/>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rPr>
                    <w:t>3000.0</w:t>
                  </w:r>
                  <w:r>
                    <w:rPr>
                      <w:rFonts w:hint="eastAsia"/>
                      <w:color w:val="auto"/>
                      <w:sz w:val="21"/>
                      <w:szCs w:val="21"/>
                      <w:highlight w:val="none"/>
                      <w:lang w:val="en-US" w:eastAsia="zh-CN"/>
                    </w:rPr>
                    <w:t>52t</w:t>
                  </w:r>
                </w:p>
              </w:tc>
              <w:tc>
                <w:tcPr>
                  <w:tcW w:w="154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吨袋包装</w:t>
                  </w:r>
                </w:p>
              </w:tc>
              <w:tc>
                <w:tcPr>
                  <w:tcW w:w="1128" w:type="dxa"/>
                  <w:vMerge w:val="continue"/>
                  <w:noWrap/>
                  <w:vAlign w:val="center"/>
                </w:tcPr>
                <w:p>
                  <w:pPr>
                    <w:spacing w:line="240" w:lineRule="auto"/>
                    <w:ind w:firstLine="0" w:firstLineChars="0"/>
                    <w:jc w:val="center"/>
                    <w:rPr>
                      <w:color w:val="auto"/>
                      <w:sz w:val="21"/>
                      <w:szCs w:val="21"/>
                      <w:highlight w:val="none"/>
                    </w:rPr>
                  </w:pPr>
                </w:p>
              </w:tc>
              <w:tc>
                <w:tcPr>
                  <w:tcW w:w="12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60t</w:t>
                  </w:r>
                </w:p>
              </w:tc>
              <w:tc>
                <w:tcPr>
                  <w:tcW w:w="1454"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6</w:t>
                  </w:r>
                </w:p>
              </w:tc>
              <w:tc>
                <w:tcPr>
                  <w:tcW w:w="112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粉煤灰</w:t>
                  </w:r>
                </w:p>
              </w:tc>
              <w:tc>
                <w:tcPr>
                  <w:tcW w:w="125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500.00</w:t>
                  </w:r>
                  <w:r>
                    <w:rPr>
                      <w:rFonts w:hint="eastAsia"/>
                      <w:color w:val="auto"/>
                      <w:sz w:val="21"/>
                      <w:szCs w:val="21"/>
                      <w:highlight w:val="none"/>
                      <w:lang w:val="en-US" w:eastAsia="zh-CN"/>
                    </w:rPr>
                    <w:t>8</w:t>
                  </w:r>
                  <w:r>
                    <w:rPr>
                      <w:rFonts w:hint="eastAsia"/>
                      <w:color w:val="auto"/>
                      <w:sz w:val="21"/>
                      <w:szCs w:val="21"/>
                      <w:highlight w:val="none"/>
                    </w:rPr>
                    <w:t>t</w:t>
                  </w:r>
                </w:p>
              </w:tc>
              <w:tc>
                <w:tcPr>
                  <w:tcW w:w="154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罐车装运</w:t>
                  </w:r>
                </w:p>
              </w:tc>
              <w:tc>
                <w:tcPr>
                  <w:tcW w:w="1128" w:type="dxa"/>
                  <w:vMerge w:val="continue"/>
                  <w:noWrap/>
                  <w:vAlign w:val="center"/>
                </w:tcPr>
                <w:p>
                  <w:pPr>
                    <w:spacing w:line="240" w:lineRule="auto"/>
                    <w:ind w:firstLine="0" w:firstLineChars="0"/>
                    <w:jc w:val="center"/>
                    <w:rPr>
                      <w:bCs/>
                      <w:color w:val="auto"/>
                      <w:sz w:val="21"/>
                      <w:szCs w:val="21"/>
                      <w:highlight w:val="none"/>
                    </w:rPr>
                  </w:pPr>
                </w:p>
              </w:tc>
              <w:tc>
                <w:tcPr>
                  <w:tcW w:w="1288"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70t</w:t>
                  </w:r>
                </w:p>
              </w:tc>
              <w:tc>
                <w:tcPr>
                  <w:tcW w:w="1454"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7</w:t>
                  </w:r>
                </w:p>
              </w:tc>
              <w:tc>
                <w:tcPr>
                  <w:tcW w:w="112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包装袋</w:t>
                  </w:r>
                </w:p>
              </w:tc>
              <w:tc>
                <w:tcPr>
                  <w:tcW w:w="125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2000只</w:t>
                  </w:r>
                </w:p>
              </w:tc>
              <w:tc>
                <w:tcPr>
                  <w:tcW w:w="154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w:t>
                  </w:r>
                </w:p>
              </w:tc>
              <w:tc>
                <w:tcPr>
                  <w:tcW w:w="112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w:t>
                  </w:r>
                </w:p>
              </w:tc>
              <w:tc>
                <w:tcPr>
                  <w:tcW w:w="12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200只</w:t>
                  </w:r>
                </w:p>
              </w:tc>
              <w:tc>
                <w:tcPr>
                  <w:tcW w:w="1454" w:type="dxa"/>
                  <w:vMerge w:val="continue"/>
                  <w:noWrap/>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tcPr>
                <w:p>
                  <w:pPr>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1120" w:type="dxa"/>
                  <w:vAlign w:val="center"/>
                </w:tcPr>
                <w:p>
                  <w:pPr>
                    <w:spacing w:line="240" w:lineRule="auto"/>
                    <w:ind w:firstLine="0" w:firstLineChars="0"/>
                    <w:jc w:val="center"/>
                    <w:rPr>
                      <w:color w:val="auto"/>
                      <w:kern w:val="0"/>
                      <w:sz w:val="21"/>
                      <w:szCs w:val="21"/>
                      <w:highlight w:val="none"/>
                    </w:rPr>
                  </w:pPr>
                  <w:r>
                    <w:rPr>
                      <w:color w:val="auto"/>
                      <w:kern w:val="0"/>
                      <w:sz w:val="21"/>
                      <w:szCs w:val="21"/>
                      <w:highlight w:val="none"/>
                    </w:rPr>
                    <w:t>水</w:t>
                  </w:r>
                </w:p>
              </w:tc>
              <w:tc>
                <w:tcPr>
                  <w:tcW w:w="1254"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150t</w:t>
                  </w:r>
                </w:p>
              </w:tc>
              <w:tc>
                <w:tcPr>
                  <w:tcW w:w="1541" w:type="dxa"/>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128" w:type="dxa"/>
                  <w:vAlign w:val="center"/>
                </w:tcPr>
                <w:p>
                  <w:pPr>
                    <w:spacing w:line="240" w:lineRule="auto"/>
                    <w:ind w:firstLine="0" w:firstLineChars="0"/>
                    <w:jc w:val="center"/>
                    <w:rPr>
                      <w:color w:val="auto"/>
                      <w:sz w:val="21"/>
                      <w:szCs w:val="21"/>
                      <w:highlight w:val="none"/>
                    </w:rPr>
                  </w:pPr>
                  <w:r>
                    <w:rPr>
                      <w:color w:val="auto"/>
                      <w:sz w:val="21"/>
                      <w:szCs w:val="21"/>
                      <w:highlight w:val="none"/>
                    </w:rPr>
                    <w:t>生活</w:t>
                  </w:r>
                  <w:r>
                    <w:rPr>
                      <w:rFonts w:hint="eastAsia"/>
                      <w:color w:val="auto"/>
                      <w:sz w:val="21"/>
                      <w:szCs w:val="21"/>
                      <w:highlight w:val="none"/>
                    </w:rPr>
                    <w:t>用水</w:t>
                  </w:r>
                </w:p>
              </w:tc>
              <w:tc>
                <w:tcPr>
                  <w:tcW w:w="12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5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德清县</w:t>
                  </w:r>
                  <w:r>
                    <w:rPr>
                      <w:color w:val="auto"/>
                      <w:sz w:val="21"/>
                      <w:szCs w:val="21"/>
                      <w:highlight w:val="none"/>
                    </w:rPr>
                    <w:t>水务</w:t>
                  </w:r>
                  <w:r>
                    <w:rPr>
                      <w:rFonts w:hint="eastAsia"/>
                      <w:color w:val="auto"/>
                      <w:sz w:val="21"/>
                      <w:szCs w:val="21"/>
                      <w:highlight w:val="none"/>
                    </w:rPr>
                    <w:t>有限</w:t>
                  </w:r>
                  <w:r>
                    <w:rPr>
                      <w:color w:val="auto"/>
                      <w:sz w:val="21"/>
                      <w:szCs w:val="21"/>
                      <w:highlight w:val="none"/>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9" w:type="dxa"/>
                </w:tcPr>
                <w:p>
                  <w:pPr>
                    <w:spacing w:line="240" w:lineRule="auto"/>
                    <w:ind w:firstLine="0" w:firstLineChars="0"/>
                    <w:jc w:val="center"/>
                    <w:rPr>
                      <w:color w:val="auto"/>
                      <w:sz w:val="21"/>
                      <w:szCs w:val="21"/>
                      <w:highlight w:val="none"/>
                    </w:rPr>
                  </w:pPr>
                  <w:r>
                    <w:rPr>
                      <w:rFonts w:hint="eastAsia"/>
                      <w:color w:val="auto"/>
                      <w:sz w:val="21"/>
                      <w:szCs w:val="21"/>
                      <w:highlight w:val="none"/>
                    </w:rPr>
                    <w:t>9</w:t>
                  </w:r>
                </w:p>
              </w:tc>
              <w:tc>
                <w:tcPr>
                  <w:tcW w:w="1120" w:type="dxa"/>
                  <w:vAlign w:val="center"/>
                </w:tcPr>
                <w:p>
                  <w:pPr>
                    <w:spacing w:line="240" w:lineRule="auto"/>
                    <w:ind w:firstLine="0" w:firstLineChars="0"/>
                    <w:jc w:val="center"/>
                    <w:rPr>
                      <w:color w:val="auto"/>
                      <w:kern w:val="0"/>
                      <w:sz w:val="21"/>
                      <w:szCs w:val="21"/>
                      <w:highlight w:val="none"/>
                    </w:rPr>
                  </w:pPr>
                  <w:r>
                    <w:rPr>
                      <w:color w:val="auto"/>
                      <w:kern w:val="0"/>
                      <w:sz w:val="21"/>
                      <w:szCs w:val="21"/>
                      <w:highlight w:val="none"/>
                    </w:rPr>
                    <w:t>电</w:t>
                  </w:r>
                </w:p>
              </w:tc>
              <w:tc>
                <w:tcPr>
                  <w:tcW w:w="1254"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14.6</w:t>
                  </w:r>
                  <w:r>
                    <w:rPr>
                      <w:color w:val="auto"/>
                      <w:kern w:val="0"/>
                      <w:sz w:val="21"/>
                      <w:szCs w:val="21"/>
                      <w:highlight w:val="none"/>
                    </w:rPr>
                    <w:t>万kwh</w:t>
                  </w:r>
                </w:p>
              </w:tc>
              <w:tc>
                <w:tcPr>
                  <w:tcW w:w="1541" w:type="dxa"/>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128" w:type="dxa"/>
                  <w:vAlign w:val="center"/>
                </w:tcPr>
                <w:p>
                  <w:pPr>
                    <w:spacing w:line="240" w:lineRule="auto"/>
                    <w:ind w:firstLine="0" w:firstLineChars="0"/>
                    <w:jc w:val="center"/>
                    <w:rPr>
                      <w:color w:val="auto"/>
                      <w:sz w:val="21"/>
                      <w:szCs w:val="21"/>
                      <w:highlight w:val="none"/>
                    </w:rPr>
                  </w:pPr>
                  <w:r>
                    <w:rPr>
                      <w:color w:val="auto"/>
                      <w:sz w:val="21"/>
                      <w:szCs w:val="21"/>
                      <w:highlight w:val="none"/>
                    </w:rPr>
                    <w:t>供应各用电设备</w:t>
                  </w:r>
                </w:p>
              </w:tc>
              <w:tc>
                <w:tcPr>
                  <w:tcW w:w="12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5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国网德清</w:t>
                  </w:r>
                  <w:r>
                    <w:rPr>
                      <w:color w:val="auto"/>
                      <w:sz w:val="21"/>
                      <w:szCs w:val="21"/>
                      <w:highlight w:val="none"/>
                    </w:rPr>
                    <w:t>供电公司</w:t>
                  </w:r>
                </w:p>
              </w:tc>
            </w:tr>
          </w:tbl>
          <w:p>
            <w:pPr>
              <w:spacing w:line="500" w:lineRule="exact"/>
              <w:ind w:firstLine="480"/>
              <w:rPr>
                <w:color w:val="auto"/>
                <w:szCs w:val="24"/>
                <w:highlight w:val="none"/>
              </w:rPr>
            </w:pPr>
            <w:r>
              <w:rPr>
                <w:rFonts w:hint="eastAsia"/>
                <w:color w:val="auto"/>
                <w:szCs w:val="24"/>
                <w:highlight w:val="none"/>
              </w:rPr>
              <w:t>项目主要原辅材料介绍见表2-5。</w:t>
            </w:r>
          </w:p>
          <w:p>
            <w:pPr>
              <w:spacing w:line="460" w:lineRule="exact"/>
              <w:ind w:firstLine="0" w:firstLineChars="0"/>
              <w:jc w:val="center"/>
              <w:rPr>
                <w:b/>
                <w:color w:val="auto"/>
                <w:sz w:val="21"/>
                <w:szCs w:val="18"/>
                <w:highlight w:val="none"/>
              </w:rPr>
            </w:pPr>
          </w:p>
          <w:p>
            <w:pPr>
              <w:spacing w:line="460" w:lineRule="exact"/>
              <w:ind w:firstLine="0" w:firstLineChars="0"/>
              <w:jc w:val="center"/>
              <w:rPr>
                <w:color w:val="auto"/>
                <w:sz w:val="21"/>
                <w:szCs w:val="18"/>
                <w:highlight w:val="none"/>
              </w:rPr>
            </w:pPr>
            <w:r>
              <w:rPr>
                <w:b/>
                <w:color w:val="auto"/>
                <w:sz w:val="21"/>
                <w:szCs w:val="18"/>
                <w:highlight w:val="none"/>
              </w:rPr>
              <w:t>表</w:t>
            </w:r>
            <w:r>
              <w:rPr>
                <w:rFonts w:hint="eastAsia"/>
                <w:b/>
                <w:color w:val="auto"/>
                <w:sz w:val="21"/>
                <w:szCs w:val="18"/>
                <w:highlight w:val="none"/>
              </w:rPr>
              <w:t>2-5  建设项目</w:t>
            </w:r>
            <w:r>
              <w:rPr>
                <w:b/>
                <w:snapToGrid w:val="0"/>
                <w:color w:val="auto"/>
                <w:kern w:val="0"/>
                <w:sz w:val="21"/>
                <w:szCs w:val="18"/>
                <w:highlight w:val="none"/>
              </w:rPr>
              <w:t>主要原辅材料</w:t>
            </w:r>
            <w:r>
              <w:rPr>
                <w:rFonts w:hint="eastAsia"/>
                <w:b/>
                <w:snapToGrid w:val="0"/>
                <w:color w:val="auto"/>
                <w:kern w:val="0"/>
                <w:sz w:val="21"/>
                <w:szCs w:val="18"/>
                <w:highlight w:val="none"/>
              </w:rPr>
              <w:t>理化性质</w:t>
            </w:r>
            <w:r>
              <w:rPr>
                <w:b/>
                <w:snapToGrid w:val="0"/>
                <w:color w:val="auto"/>
                <w:kern w:val="0"/>
                <w:sz w:val="21"/>
                <w:szCs w:val="18"/>
                <w:highlight w:val="none"/>
              </w:rPr>
              <w:t>一览表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224"/>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9" w:type="dxa"/>
                  <w:noWrap/>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序号</w:t>
                  </w:r>
                </w:p>
              </w:tc>
              <w:tc>
                <w:tcPr>
                  <w:tcW w:w="1224" w:type="dxa"/>
                  <w:noWrap/>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名称</w:t>
                  </w:r>
                </w:p>
              </w:tc>
              <w:tc>
                <w:tcPr>
                  <w:tcW w:w="6351" w:type="dxa"/>
                  <w:noWrap/>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12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添加剂</w:t>
                  </w:r>
                </w:p>
              </w:tc>
              <w:tc>
                <w:tcPr>
                  <w:tcW w:w="6351"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根据产品的不同会添加不同的添加剂，主要由胶粉料、甲基纤维素醚、木质纤维、聚丙烯纤维、憎水剂等原料组成。在砂浆中主要起到乳化发泡等作用。可克服起壳、开裂等通病，在充气砼、普通砼的地面，打底或面层使用最佳，砌筑中的砂浆饱满度高，硬化后具有抗冻、减水、防渗、耐久、抗裂、保温、隔热等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12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灰钙粉</w:t>
                  </w:r>
                </w:p>
              </w:tc>
              <w:tc>
                <w:tcPr>
                  <w:tcW w:w="6351"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主要成分是氢氧化钙、氧化钙和少量碳酸钙的混合物，是石灰的精加工产品。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3</w:t>
                  </w:r>
                </w:p>
              </w:tc>
              <w:tc>
                <w:tcPr>
                  <w:tcW w:w="12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玻化微珠</w:t>
                  </w:r>
                </w:p>
              </w:tc>
              <w:tc>
                <w:tcPr>
                  <w:tcW w:w="6351" w:type="dxa"/>
                  <w:noWrap/>
                  <w:vAlign w:val="center"/>
                </w:tcPr>
                <w:p>
                  <w:pPr>
                    <w:spacing w:line="240" w:lineRule="auto"/>
                    <w:ind w:firstLine="0" w:firstLineChars="0"/>
                    <w:rPr>
                      <w:color w:val="auto"/>
                      <w:kern w:val="0"/>
                      <w:sz w:val="21"/>
                      <w:szCs w:val="21"/>
                      <w:highlight w:val="none"/>
                    </w:rPr>
                  </w:pPr>
                  <w:r>
                    <w:rPr>
                      <w:rFonts w:hint="eastAsia"/>
                      <w:color w:val="auto"/>
                      <w:kern w:val="0"/>
                      <w:sz w:val="21"/>
                      <w:szCs w:val="21"/>
                      <w:highlight w:val="none"/>
                    </w:rPr>
                    <w:t>玻化微珠是一种环保型新型无机轻质</w:t>
                  </w:r>
                  <w:r>
                    <w:rPr>
                      <w:color w:val="auto"/>
                      <w:highlight w:val="none"/>
                    </w:rPr>
                    <w:fldChar w:fldCharType="begin"/>
                  </w:r>
                  <w:r>
                    <w:rPr>
                      <w:color w:val="auto"/>
                      <w:highlight w:val="none"/>
                    </w:rPr>
                    <w:instrText xml:space="preserve"> HYPERLINK "https://baike.baidu.com/item/%E7%BB%9D%E7%83%AD%E6%9D%90%E6%96%99" \t "https://baike.baidu.com/item/_blank" </w:instrText>
                  </w:r>
                  <w:r>
                    <w:rPr>
                      <w:color w:val="auto"/>
                      <w:highlight w:val="none"/>
                    </w:rPr>
                    <w:fldChar w:fldCharType="separate"/>
                  </w:r>
                  <w:r>
                    <w:rPr>
                      <w:color w:val="auto"/>
                      <w:kern w:val="0"/>
                      <w:sz w:val="21"/>
                      <w:szCs w:val="21"/>
                      <w:highlight w:val="none"/>
                    </w:rPr>
                    <w:t>绝热材料</w:t>
                  </w:r>
                  <w:r>
                    <w:rPr>
                      <w:color w:val="auto"/>
                      <w:kern w:val="0"/>
                      <w:sz w:val="21"/>
                      <w:szCs w:val="21"/>
                      <w:highlight w:val="none"/>
                    </w:rPr>
                    <w:fldChar w:fldCharType="end"/>
                  </w:r>
                  <w:r>
                    <w:rPr>
                      <w:color w:val="auto"/>
                      <w:kern w:val="0"/>
                      <w:sz w:val="21"/>
                      <w:szCs w:val="21"/>
                      <w:highlight w:val="none"/>
                    </w:rPr>
                    <w:t>，除具有质轻、保温、绝热、防火的优异性能外，还具有不燃烧，强度高，吸水率低，易和性好、使用寿命长的优点。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2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粉煤灰</w:t>
                  </w:r>
                </w:p>
              </w:tc>
              <w:tc>
                <w:tcPr>
                  <w:tcW w:w="6351" w:type="dxa"/>
                  <w:noWrap/>
                  <w:vAlign w:val="center"/>
                </w:tcPr>
                <w:p>
                  <w:pPr>
                    <w:spacing w:line="240" w:lineRule="auto"/>
                    <w:ind w:firstLine="0" w:firstLineChars="0"/>
                    <w:rPr>
                      <w:color w:val="auto"/>
                      <w:kern w:val="0"/>
                      <w:sz w:val="21"/>
                      <w:szCs w:val="21"/>
                      <w:highlight w:val="none"/>
                    </w:rPr>
                  </w:pPr>
                  <w:r>
                    <w:rPr>
                      <w:rFonts w:hint="eastAsia"/>
                      <w:color w:val="auto"/>
                      <w:kern w:val="0"/>
                      <w:sz w:val="21"/>
                      <w:szCs w:val="21"/>
                      <w:highlight w:val="none"/>
                    </w:rPr>
                    <w:t>粉煤灰主要是</w:t>
                  </w:r>
                  <w:r>
                    <w:rPr>
                      <w:color w:val="auto"/>
                      <w:highlight w:val="none"/>
                    </w:rPr>
                    <w:fldChar w:fldCharType="begin"/>
                  </w:r>
                  <w:r>
                    <w:rPr>
                      <w:color w:val="auto"/>
                      <w:highlight w:val="none"/>
                    </w:rPr>
                    <w:instrText xml:space="preserve"> HYPERLINK "https://baike.baidu.com/item/%E7%85%A4%E7%B2%89" \t "https://baike.baidu.com/item/%E9%A3%9E%E7%81%B0/_blank" </w:instrText>
                  </w:r>
                  <w:r>
                    <w:rPr>
                      <w:color w:val="auto"/>
                      <w:highlight w:val="none"/>
                    </w:rPr>
                    <w:fldChar w:fldCharType="separate"/>
                  </w:r>
                  <w:r>
                    <w:rPr>
                      <w:rFonts w:hint="eastAsia"/>
                      <w:color w:val="auto"/>
                      <w:kern w:val="0"/>
                      <w:sz w:val="21"/>
                      <w:szCs w:val="21"/>
                      <w:highlight w:val="none"/>
                    </w:rPr>
                    <w:t>煤粉</w:t>
                  </w:r>
                  <w:r>
                    <w:rPr>
                      <w:rFonts w:hint="eastAsia"/>
                      <w:color w:val="auto"/>
                      <w:kern w:val="0"/>
                      <w:sz w:val="21"/>
                      <w:szCs w:val="21"/>
                      <w:highlight w:val="none"/>
                    </w:rPr>
                    <w:fldChar w:fldCharType="end"/>
                  </w:r>
                  <w:r>
                    <w:rPr>
                      <w:rFonts w:hint="eastAsia"/>
                      <w:color w:val="auto"/>
                      <w:kern w:val="0"/>
                      <w:sz w:val="21"/>
                      <w:szCs w:val="21"/>
                      <w:highlight w:val="none"/>
                    </w:rPr>
                    <w:t>在高温（1300～1500℃）中燃烧、</w:t>
                  </w:r>
                  <w:r>
                    <w:rPr>
                      <w:color w:val="auto"/>
                      <w:highlight w:val="none"/>
                    </w:rPr>
                    <w:fldChar w:fldCharType="begin"/>
                  </w:r>
                  <w:r>
                    <w:rPr>
                      <w:color w:val="auto"/>
                      <w:highlight w:val="none"/>
                    </w:rPr>
                    <w:instrText xml:space="preserve"> HYPERLINK "https://baike.baidu.com/item/%E5%86%B7%E5%8D%B4" \t "https://baike.baidu.com/item/%E9%A3%9E%E7%81%B0/_blank" </w:instrText>
                  </w:r>
                  <w:r>
                    <w:rPr>
                      <w:color w:val="auto"/>
                      <w:highlight w:val="none"/>
                    </w:rPr>
                    <w:fldChar w:fldCharType="separate"/>
                  </w:r>
                  <w:r>
                    <w:rPr>
                      <w:rFonts w:hint="eastAsia"/>
                      <w:color w:val="auto"/>
                      <w:kern w:val="0"/>
                      <w:sz w:val="21"/>
                      <w:szCs w:val="21"/>
                      <w:highlight w:val="none"/>
                    </w:rPr>
                    <w:t>冷却</w:t>
                  </w:r>
                  <w:r>
                    <w:rPr>
                      <w:rFonts w:hint="eastAsia"/>
                      <w:color w:val="auto"/>
                      <w:kern w:val="0"/>
                      <w:sz w:val="21"/>
                      <w:szCs w:val="21"/>
                      <w:highlight w:val="none"/>
                    </w:rPr>
                    <w:fldChar w:fldCharType="end"/>
                  </w:r>
                  <w:r>
                    <w:rPr>
                      <w:rFonts w:hint="eastAsia"/>
                      <w:color w:val="auto"/>
                      <w:kern w:val="0"/>
                      <w:sz w:val="21"/>
                      <w:szCs w:val="21"/>
                      <w:highlight w:val="none"/>
                    </w:rPr>
                    <w:t>而形成。大部分呈球状，</w:t>
                  </w:r>
                  <w:r>
                    <w:rPr>
                      <w:color w:val="auto"/>
                      <w:highlight w:val="none"/>
                    </w:rPr>
                    <w:fldChar w:fldCharType="begin"/>
                  </w:r>
                  <w:r>
                    <w:rPr>
                      <w:color w:val="auto"/>
                      <w:highlight w:val="none"/>
                    </w:rPr>
                    <w:instrText xml:space="preserve"> HYPERLINK "https://baike.baidu.com/item/%E8%A1%A8%E9%9D%A2" \t "https://baike.baidu.com/item/%E9%A3%9E%E7%81%B0/_blank" </w:instrText>
                  </w:r>
                  <w:r>
                    <w:rPr>
                      <w:color w:val="auto"/>
                      <w:highlight w:val="none"/>
                    </w:rPr>
                    <w:fldChar w:fldCharType="separate"/>
                  </w:r>
                  <w:r>
                    <w:rPr>
                      <w:rFonts w:hint="eastAsia"/>
                      <w:color w:val="auto"/>
                      <w:kern w:val="0"/>
                      <w:sz w:val="21"/>
                      <w:szCs w:val="21"/>
                      <w:highlight w:val="none"/>
                    </w:rPr>
                    <w:t>表面</w:t>
                  </w:r>
                  <w:r>
                    <w:rPr>
                      <w:rFonts w:hint="eastAsia"/>
                      <w:color w:val="auto"/>
                      <w:kern w:val="0"/>
                      <w:sz w:val="21"/>
                      <w:szCs w:val="21"/>
                      <w:highlight w:val="none"/>
                    </w:rPr>
                    <w:fldChar w:fldCharType="end"/>
                  </w:r>
                  <w:r>
                    <w:rPr>
                      <w:rFonts w:hint="eastAsia"/>
                      <w:color w:val="auto"/>
                      <w:kern w:val="0"/>
                      <w:sz w:val="21"/>
                      <w:szCs w:val="21"/>
                      <w:highlight w:val="none"/>
                    </w:rPr>
                    <w:t>光滑，</w:t>
                  </w:r>
                  <w:r>
                    <w:rPr>
                      <w:color w:val="auto"/>
                      <w:highlight w:val="none"/>
                    </w:rPr>
                    <w:fldChar w:fldCharType="begin"/>
                  </w:r>
                  <w:r>
                    <w:rPr>
                      <w:color w:val="auto"/>
                      <w:highlight w:val="none"/>
                    </w:rPr>
                    <w:instrText xml:space="preserve"> HYPERLINK "https://baike.baidu.com/item/%E5%BE%AE%E5%AD%94" \t "https://baike.baidu.com/item/%E9%A3%9E%E7%81%B0/_blank" </w:instrText>
                  </w:r>
                  <w:r>
                    <w:rPr>
                      <w:color w:val="auto"/>
                      <w:highlight w:val="none"/>
                    </w:rPr>
                    <w:fldChar w:fldCharType="separate"/>
                  </w:r>
                  <w:r>
                    <w:rPr>
                      <w:rFonts w:hint="eastAsia"/>
                      <w:color w:val="auto"/>
                      <w:kern w:val="0"/>
                      <w:sz w:val="21"/>
                      <w:szCs w:val="21"/>
                      <w:highlight w:val="none"/>
                    </w:rPr>
                    <w:t>微孔</w:t>
                  </w:r>
                  <w:r>
                    <w:rPr>
                      <w:rFonts w:hint="eastAsia"/>
                      <w:color w:val="auto"/>
                      <w:kern w:val="0"/>
                      <w:sz w:val="21"/>
                      <w:szCs w:val="21"/>
                      <w:highlight w:val="none"/>
                    </w:rPr>
                    <w:fldChar w:fldCharType="end"/>
                  </w:r>
                  <w:r>
                    <w:rPr>
                      <w:rFonts w:hint="eastAsia"/>
                      <w:color w:val="auto"/>
                      <w:kern w:val="0"/>
                      <w:sz w:val="21"/>
                      <w:szCs w:val="21"/>
                      <w:highlight w:val="none"/>
                    </w:rPr>
                    <w:t>较小。部分颗粒因</w:t>
                  </w:r>
                  <w:r>
                    <w:rPr>
                      <w:color w:val="auto"/>
                      <w:highlight w:val="none"/>
                    </w:rPr>
                    <w:fldChar w:fldCharType="begin"/>
                  </w:r>
                  <w:r>
                    <w:rPr>
                      <w:color w:val="auto"/>
                      <w:highlight w:val="none"/>
                    </w:rPr>
                    <w:instrText xml:space="preserve"> HYPERLINK "https://baike.baidu.com/item/%E7%86%94%E8%9E%8D" \t "https://baike.baidu.com/item/%E9%A3%9E%E7%81%B0/_blank" </w:instrText>
                  </w:r>
                  <w:r>
                    <w:rPr>
                      <w:color w:val="auto"/>
                      <w:highlight w:val="none"/>
                    </w:rPr>
                    <w:fldChar w:fldCharType="separate"/>
                  </w:r>
                  <w:r>
                    <w:rPr>
                      <w:rFonts w:hint="eastAsia"/>
                      <w:color w:val="auto"/>
                      <w:kern w:val="0"/>
                      <w:sz w:val="21"/>
                      <w:szCs w:val="21"/>
                      <w:highlight w:val="none"/>
                    </w:rPr>
                    <w:t>熔融</w:t>
                  </w:r>
                  <w:r>
                    <w:rPr>
                      <w:rFonts w:hint="eastAsia"/>
                      <w:color w:val="auto"/>
                      <w:kern w:val="0"/>
                      <w:sz w:val="21"/>
                      <w:szCs w:val="21"/>
                      <w:highlight w:val="none"/>
                    </w:rPr>
                    <w:fldChar w:fldCharType="end"/>
                  </w:r>
                  <w:r>
                    <w:rPr>
                      <w:rFonts w:hint="eastAsia"/>
                      <w:color w:val="auto"/>
                      <w:kern w:val="0"/>
                      <w:sz w:val="21"/>
                      <w:szCs w:val="21"/>
                      <w:highlight w:val="none"/>
                    </w:rPr>
                    <w:t>时粘连，表面粗糙、棱角多呈蜂窝状组合粒子。其粒径在10-100</w:t>
                  </w:r>
                  <w:r>
                    <w:rPr>
                      <w:color w:val="auto"/>
                      <w:kern w:val="0"/>
                      <w:sz w:val="21"/>
                      <w:szCs w:val="21"/>
                      <w:highlight w:val="none"/>
                    </w:rPr>
                    <w:t>μm</w:t>
                  </w:r>
                  <w:r>
                    <w:rPr>
                      <w:rFonts w:hint="eastAsia"/>
                      <w:color w:val="auto"/>
                      <w:kern w:val="0"/>
                      <w:sz w:val="21"/>
                      <w:szCs w:val="21"/>
                      <w:highlight w:val="none"/>
                    </w:rPr>
                    <w:t>，其含水率约为20%。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12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机制砂</w:t>
                  </w:r>
                </w:p>
              </w:tc>
              <w:tc>
                <w:tcPr>
                  <w:tcW w:w="6351" w:type="dxa"/>
                  <w:noWrap/>
                  <w:vAlign w:val="center"/>
                </w:tcPr>
                <w:p>
                  <w:pPr>
                    <w:spacing w:line="240" w:lineRule="auto"/>
                    <w:ind w:firstLine="0" w:firstLineChars="0"/>
                    <w:rPr>
                      <w:color w:val="auto"/>
                      <w:kern w:val="0"/>
                      <w:sz w:val="21"/>
                      <w:szCs w:val="21"/>
                      <w:highlight w:val="none"/>
                    </w:rPr>
                  </w:pPr>
                  <w:r>
                    <w:rPr>
                      <w:rFonts w:hint="eastAsia"/>
                      <w:color w:val="auto"/>
                      <w:kern w:val="0"/>
                      <w:sz w:val="21"/>
                      <w:szCs w:val="21"/>
                      <w:highlight w:val="none"/>
                    </w:rPr>
                    <w:t>机制砂是指通过</w:t>
                  </w:r>
                  <w:r>
                    <w:rPr>
                      <w:color w:val="auto"/>
                      <w:highlight w:val="none"/>
                    </w:rPr>
                    <w:fldChar w:fldCharType="begin"/>
                  </w:r>
                  <w:r>
                    <w:rPr>
                      <w:color w:val="auto"/>
                      <w:highlight w:val="none"/>
                    </w:rPr>
                    <w:instrText xml:space="preserve"> HYPERLINK "https://baike.baidu.com/item/%E5%88%B6%E7%A0%82%E6%9C%BA/10908832" \t "https://baike.baidu.com/item/%E6%9C%BA%E5%88%B6%E7%A0%82/_blank" </w:instrText>
                  </w:r>
                  <w:r>
                    <w:rPr>
                      <w:color w:val="auto"/>
                      <w:highlight w:val="none"/>
                    </w:rPr>
                    <w:fldChar w:fldCharType="separate"/>
                  </w:r>
                  <w:r>
                    <w:rPr>
                      <w:rFonts w:hint="eastAsia"/>
                      <w:color w:val="auto"/>
                      <w:kern w:val="0"/>
                      <w:sz w:val="21"/>
                      <w:szCs w:val="21"/>
                      <w:highlight w:val="none"/>
                    </w:rPr>
                    <w:t>制砂机</w:t>
                  </w:r>
                  <w:r>
                    <w:rPr>
                      <w:rFonts w:hint="eastAsia"/>
                      <w:color w:val="auto"/>
                      <w:kern w:val="0"/>
                      <w:sz w:val="21"/>
                      <w:szCs w:val="21"/>
                      <w:highlight w:val="none"/>
                    </w:rPr>
                    <w:fldChar w:fldCharType="end"/>
                  </w:r>
                  <w:r>
                    <w:rPr>
                      <w:rFonts w:hint="eastAsia"/>
                      <w:color w:val="auto"/>
                      <w:kern w:val="0"/>
                      <w:sz w:val="21"/>
                      <w:szCs w:val="21"/>
                      <w:highlight w:val="none"/>
                    </w:rPr>
                    <w:t>和其它附属设备加工而成的砂子，成品更加规则，可以根据不同工艺要求加工成不同规则和大小的砂子，更能满足日常需求。其粒径在4.75mm以下，含水率在12%~15%之间。</w:t>
                  </w:r>
                </w:p>
              </w:tc>
            </w:tr>
          </w:tbl>
          <w:p>
            <w:pPr>
              <w:pStyle w:val="4"/>
              <w:spacing w:line="500" w:lineRule="exact"/>
              <w:ind w:firstLine="0" w:firstLineChars="0"/>
              <w:jc w:val="left"/>
              <w:rPr>
                <w:rFonts w:ascii="Times New Roman" w:hAnsi="Times New Roman"/>
                <w:color w:val="auto"/>
                <w:szCs w:val="22"/>
                <w:highlight w:val="none"/>
              </w:rPr>
            </w:pPr>
            <w:r>
              <w:rPr>
                <w:rFonts w:hint="eastAsia" w:ascii="Times New Roman" w:hAnsi="Times New Roman"/>
                <w:color w:val="auto"/>
                <w:szCs w:val="22"/>
                <w:highlight w:val="none"/>
                <w:lang w:val="en-US"/>
              </w:rPr>
              <w:t>2.1.5成品</w:t>
            </w:r>
            <w:r>
              <w:rPr>
                <w:rFonts w:ascii="Times New Roman" w:hAnsi="Times New Roman"/>
                <w:color w:val="auto"/>
                <w:szCs w:val="22"/>
                <w:highlight w:val="none"/>
              </w:rPr>
              <w:t>物料核算</w:t>
            </w:r>
          </w:p>
          <w:p>
            <w:pPr>
              <w:pStyle w:val="37"/>
              <w:spacing w:line="460" w:lineRule="exact"/>
              <w:rPr>
                <w:rFonts w:hint="default"/>
                <w:b/>
                <w:bCs/>
                <w:color w:val="auto"/>
                <w:sz w:val="21"/>
                <w:szCs w:val="16"/>
                <w:highlight w:val="none"/>
              </w:rPr>
            </w:pPr>
            <w:r>
              <w:rPr>
                <w:b/>
                <w:bCs/>
                <w:color w:val="auto"/>
                <w:sz w:val="21"/>
                <w:szCs w:val="16"/>
                <w:highlight w:val="none"/>
              </w:rPr>
              <w:t>表</w:t>
            </w:r>
            <w:r>
              <w:rPr>
                <w:rFonts w:hint="default" w:ascii="Times New Roman" w:hAnsi="Times New Roman"/>
                <w:b/>
                <w:bCs/>
                <w:color w:val="auto"/>
                <w:sz w:val="21"/>
                <w:szCs w:val="16"/>
                <w:highlight w:val="none"/>
              </w:rPr>
              <w:t>2-</w:t>
            </w:r>
            <w:r>
              <w:rPr>
                <w:rFonts w:ascii="Times New Roman" w:hAnsi="Times New Roman"/>
                <w:b/>
                <w:bCs/>
                <w:color w:val="auto"/>
                <w:sz w:val="21"/>
                <w:szCs w:val="16"/>
                <w:highlight w:val="none"/>
              </w:rPr>
              <w:t>6</w:t>
            </w:r>
            <w:r>
              <w:rPr>
                <w:b/>
                <w:bCs/>
                <w:color w:val="auto"/>
                <w:sz w:val="21"/>
                <w:szCs w:val="16"/>
                <w:highlight w:val="none"/>
              </w:rPr>
              <w:t xml:space="preserve"> 特种砂浆物料平衡表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945"/>
              <w:gridCol w:w="1701"/>
              <w:gridCol w:w="1456"/>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44" w:type="dxa"/>
                  <w:gridSpan w:val="2"/>
                  <w:vAlign w:val="center"/>
                </w:tcPr>
                <w:p>
                  <w:pPr>
                    <w:pStyle w:val="40"/>
                    <w:ind w:left="0"/>
                    <w:jc w:val="center"/>
                    <w:rPr>
                      <w:color w:val="auto"/>
                      <w:sz w:val="21"/>
                      <w:szCs w:val="21"/>
                      <w:highlight w:val="none"/>
                    </w:rPr>
                  </w:pPr>
                  <w:r>
                    <w:rPr>
                      <w:rFonts w:hint="eastAsia"/>
                      <w:color w:val="auto"/>
                      <w:sz w:val="21"/>
                      <w:szCs w:val="21"/>
                      <w:highlight w:val="none"/>
                    </w:rPr>
                    <w:t>投入</w:t>
                  </w:r>
                </w:p>
              </w:tc>
              <w:tc>
                <w:tcPr>
                  <w:tcW w:w="4860" w:type="dxa"/>
                  <w:gridSpan w:val="3"/>
                  <w:vAlign w:val="center"/>
                </w:tcPr>
                <w:p>
                  <w:pPr>
                    <w:pStyle w:val="40"/>
                    <w:ind w:left="0"/>
                    <w:jc w:val="center"/>
                    <w:rPr>
                      <w:color w:val="auto"/>
                      <w:sz w:val="21"/>
                      <w:szCs w:val="21"/>
                      <w:highlight w:val="none"/>
                    </w:rPr>
                  </w:pPr>
                  <w:r>
                    <w:rPr>
                      <w:rFonts w:hint="eastAsia"/>
                      <w:color w:val="auto"/>
                      <w:sz w:val="21"/>
                      <w:szCs w:val="21"/>
                      <w:highlight w:val="none"/>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pStyle w:val="40"/>
                    <w:ind w:left="0"/>
                    <w:jc w:val="center"/>
                    <w:rPr>
                      <w:b w:val="0"/>
                      <w:color w:val="auto"/>
                      <w:sz w:val="21"/>
                      <w:szCs w:val="21"/>
                      <w:highlight w:val="none"/>
                    </w:rPr>
                  </w:pPr>
                  <w:r>
                    <w:rPr>
                      <w:rFonts w:hint="eastAsia"/>
                      <w:b w:val="0"/>
                      <w:color w:val="auto"/>
                      <w:sz w:val="21"/>
                      <w:szCs w:val="21"/>
                      <w:highlight w:val="none"/>
                    </w:rPr>
                    <w:t>原料</w:t>
                  </w:r>
                </w:p>
              </w:tc>
              <w:tc>
                <w:tcPr>
                  <w:tcW w:w="1945" w:type="dxa"/>
                  <w:vAlign w:val="center"/>
                </w:tcPr>
                <w:p>
                  <w:pPr>
                    <w:pStyle w:val="40"/>
                    <w:ind w:left="0"/>
                    <w:jc w:val="center"/>
                    <w:rPr>
                      <w:b w:val="0"/>
                      <w:color w:val="auto"/>
                      <w:sz w:val="21"/>
                      <w:szCs w:val="21"/>
                      <w:highlight w:val="none"/>
                    </w:rPr>
                  </w:pPr>
                  <w:r>
                    <w:rPr>
                      <w:rFonts w:hint="eastAsia"/>
                      <w:b w:val="0"/>
                      <w:color w:val="auto"/>
                      <w:sz w:val="21"/>
                      <w:szCs w:val="21"/>
                      <w:highlight w:val="none"/>
                    </w:rPr>
                    <w:t>使用量（</w:t>
                  </w:r>
                  <w:r>
                    <w:rPr>
                      <w:rFonts w:ascii="Times New Roman"/>
                      <w:b w:val="0"/>
                      <w:color w:val="auto"/>
                      <w:sz w:val="21"/>
                      <w:szCs w:val="21"/>
                      <w:highlight w:val="none"/>
                    </w:rPr>
                    <w:t>t/a</w:t>
                  </w:r>
                  <w:r>
                    <w:rPr>
                      <w:rFonts w:hint="eastAsia"/>
                      <w:b w:val="0"/>
                      <w:color w:val="auto"/>
                      <w:sz w:val="21"/>
                      <w:szCs w:val="21"/>
                      <w:highlight w:val="none"/>
                    </w:rPr>
                    <w:t>）</w:t>
                  </w:r>
                </w:p>
              </w:tc>
              <w:tc>
                <w:tcPr>
                  <w:tcW w:w="3157" w:type="dxa"/>
                  <w:gridSpan w:val="2"/>
                  <w:vAlign w:val="center"/>
                </w:tcPr>
                <w:p>
                  <w:pPr>
                    <w:pStyle w:val="40"/>
                    <w:ind w:left="0"/>
                    <w:jc w:val="center"/>
                    <w:rPr>
                      <w:b w:val="0"/>
                      <w:color w:val="auto"/>
                      <w:sz w:val="21"/>
                      <w:szCs w:val="21"/>
                      <w:highlight w:val="none"/>
                    </w:rPr>
                  </w:pPr>
                  <w:r>
                    <w:rPr>
                      <w:rFonts w:hint="eastAsia"/>
                      <w:b w:val="0"/>
                      <w:color w:val="auto"/>
                      <w:sz w:val="21"/>
                      <w:szCs w:val="21"/>
                      <w:highlight w:val="none"/>
                    </w:rPr>
                    <w:t>物料名称</w:t>
                  </w:r>
                </w:p>
              </w:tc>
              <w:tc>
                <w:tcPr>
                  <w:tcW w:w="1703" w:type="dxa"/>
                  <w:vAlign w:val="center"/>
                </w:tcPr>
                <w:p>
                  <w:pPr>
                    <w:pStyle w:val="40"/>
                    <w:ind w:left="0"/>
                    <w:jc w:val="center"/>
                    <w:rPr>
                      <w:b w:val="0"/>
                      <w:color w:val="auto"/>
                      <w:sz w:val="21"/>
                      <w:szCs w:val="21"/>
                      <w:highlight w:val="none"/>
                    </w:rPr>
                  </w:pPr>
                  <w:r>
                    <w:rPr>
                      <w:rFonts w:hint="eastAsia"/>
                      <w:b w:val="0"/>
                      <w:color w:val="auto"/>
                      <w:sz w:val="21"/>
                      <w:szCs w:val="21"/>
                      <w:highlight w:val="none"/>
                    </w:rPr>
                    <w:t>数量（</w:t>
                  </w:r>
                  <w:r>
                    <w:rPr>
                      <w:rFonts w:ascii="Times New Roman"/>
                      <w:b w:val="0"/>
                      <w:color w:val="auto"/>
                      <w:sz w:val="21"/>
                      <w:szCs w:val="21"/>
                      <w:highlight w:val="none"/>
                    </w:rPr>
                    <w:t>t/a</w:t>
                  </w:r>
                  <w:r>
                    <w:rPr>
                      <w:rFonts w:hint="eastAsia"/>
                      <w:b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水泥</w:t>
                  </w:r>
                </w:p>
              </w:tc>
              <w:tc>
                <w:tcPr>
                  <w:tcW w:w="194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14500.</w:t>
                  </w:r>
                  <w:r>
                    <w:rPr>
                      <w:rFonts w:hint="eastAsia"/>
                      <w:color w:val="auto"/>
                      <w:sz w:val="21"/>
                      <w:szCs w:val="21"/>
                      <w:highlight w:val="none"/>
                      <w:lang w:val="en-US" w:eastAsia="zh-CN"/>
                    </w:rPr>
                    <w:t>243</w:t>
                  </w:r>
                  <w:r>
                    <w:rPr>
                      <w:rFonts w:hint="eastAsia"/>
                      <w:color w:val="auto"/>
                      <w:sz w:val="21"/>
                      <w:szCs w:val="21"/>
                      <w:highlight w:val="none"/>
                    </w:rPr>
                    <w:t>t</w:t>
                  </w:r>
                </w:p>
              </w:tc>
              <w:tc>
                <w:tcPr>
                  <w:tcW w:w="1701" w:type="dxa"/>
                  <w:vAlign w:val="center"/>
                </w:tcPr>
                <w:p>
                  <w:pPr>
                    <w:pStyle w:val="40"/>
                    <w:ind w:left="0"/>
                    <w:jc w:val="center"/>
                    <w:rPr>
                      <w:b w:val="0"/>
                      <w:color w:val="auto"/>
                      <w:sz w:val="21"/>
                      <w:szCs w:val="21"/>
                      <w:highlight w:val="none"/>
                    </w:rPr>
                  </w:pPr>
                  <w:r>
                    <w:rPr>
                      <w:rFonts w:hint="eastAsia"/>
                      <w:b w:val="0"/>
                      <w:color w:val="auto"/>
                      <w:sz w:val="21"/>
                      <w:szCs w:val="21"/>
                      <w:highlight w:val="none"/>
                    </w:rPr>
                    <w:t>产品</w:t>
                  </w:r>
                </w:p>
              </w:tc>
              <w:tc>
                <w:tcPr>
                  <w:tcW w:w="1456" w:type="dxa"/>
                  <w:vAlign w:val="center"/>
                </w:tcPr>
                <w:p>
                  <w:pPr>
                    <w:pStyle w:val="40"/>
                    <w:ind w:left="0"/>
                    <w:jc w:val="center"/>
                    <w:rPr>
                      <w:color w:val="auto"/>
                      <w:sz w:val="21"/>
                      <w:szCs w:val="21"/>
                      <w:highlight w:val="none"/>
                    </w:rPr>
                  </w:pPr>
                  <w:r>
                    <w:rPr>
                      <w:rFonts w:hint="eastAsia"/>
                      <w:b w:val="0"/>
                      <w:bCs w:val="0"/>
                      <w:color w:val="auto"/>
                      <w:sz w:val="21"/>
                      <w:szCs w:val="21"/>
                      <w:highlight w:val="none"/>
                    </w:rPr>
                    <w:t>特种砂浆</w:t>
                  </w:r>
                </w:p>
              </w:tc>
              <w:tc>
                <w:tcPr>
                  <w:tcW w:w="1703" w:type="dxa"/>
                  <w:vAlign w:val="center"/>
                </w:tcPr>
                <w:p>
                  <w:pPr>
                    <w:pStyle w:val="40"/>
                    <w:ind w:left="0"/>
                    <w:jc w:val="center"/>
                    <w:rPr>
                      <w:rFonts w:ascii="Times New Roman"/>
                      <w:b w:val="0"/>
                      <w:bCs w:val="0"/>
                      <w:color w:val="auto"/>
                      <w:sz w:val="21"/>
                      <w:szCs w:val="21"/>
                      <w:highlight w:val="none"/>
                    </w:rPr>
                  </w:pPr>
                  <w:r>
                    <w:rPr>
                      <w:rFonts w:hint="eastAsia" w:ascii="Times New Roman"/>
                      <w:b w:val="0"/>
                      <w:bCs w:val="0"/>
                      <w:color w:val="auto"/>
                      <w:sz w:val="21"/>
                      <w:szCs w:val="21"/>
                      <w:highlight w:val="none"/>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机制砂</w:t>
                  </w:r>
                </w:p>
              </w:tc>
              <w:tc>
                <w:tcPr>
                  <w:tcW w:w="194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31000.</w:t>
                  </w:r>
                  <w:r>
                    <w:rPr>
                      <w:rFonts w:hint="eastAsia"/>
                      <w:color w:val="auto"/>
                      <w:sz w:val="21"/>
                      <w:szCs w:val="21"/>
                      <w:highlight w:val="none"/>
                      <w:lang w:val="en-US" w:eastAsia="zh-CN"/>
                    </w:rPr>
                    <w:t>518</w:t>
                  </w:r>
                  <w:r>
                    <w:rPr>
                      <w:rFonts w:hint="eastAsia"/>
                      <w:color w:val="auto"/>
                      <w:sz w:val="21"/>
                      <w:szCs w:val="21"/>
                      <w:highlight w:val="none"/>
                    </w:rPr>
                    <w:t>t</w:t>
                  </w:r>
                </w:p>
              </w:tc>
              <w:tc>
                <w:tcPr>
                  <w:tcW w:w="1701" w:type="dxa"/>
                  <w:vAlign w:val="center"/>
                </w:tcPr>
                <w:p>
                  <w:pPr>
                    <w:pStyle w:val="40"/>
                    <w:ind w:left="0"/>
                    <w:jc w:val="center"/>
                    <w:rPr>
                      <w:b w:val="0"/>
                      <w:bCs w:val="0"/>
                      <w:color w:val="auto"/>
                      <w:sz w:val="21"/>
                      <w:szCs w:val="21"/>
                      <w:highlight w:val="none"/>
                    </w:rPr>
                  </w:pPr>
                  <w:r>
                    <w:rPr>
                      <w:rFonts w:hint="eastAsia"/>
                      <w:b w:val="0"/>
                      <w:color w:val="auto"/>
                      <w:sz w:val="21"/>
                      <w:szCs w:val="21"/>
                      <w:highlight w:val="none"/>
                    </w:rPr>
                    <w:t>固废</w:t>
                  </w:r>
                </w:p>
              </w:tc>
              <w:tc>
                <w:tcPr>
                  <w:tcW w:w="1456"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收集的粉尘</w:t>
                  </w:r>
                </w:p>
              </w:tc>
              <w:tc>
                <w:tcPr>
                  <w:tcW w:w="1703" w:type="dxa"/>
                  <w:vAlign w:val="center"/>
                </w:tcPr>
                <w:p>
                  <w:pPr>
                    <w:pStyle w:val="40"/>
                    <w:ind w:left="0"/>
                    <w:jc w:val="center"/>
                    <w:rPr>
                      <w:rFonts w:hint="default" w:ascii="Times New Roman" w:eastAsia="宋体"/>
                      <w:b w:val="0"/>
                      <w:bCs w:val="0"/>
                      <w:color w:val="auto"/>
                      <w:sz w:val="21"/>
                      <w:szCs w:val="21"/>
                      <w:highlight w:val="none"/>
                      <w:lang w:val="en-US" w:eastAsia="zh-CN"/>
                    </w:rPr>
                  </w:pPr>
                  <w:r>
                    <w:rPr>
                      <w:rFonts w:hint="eastAsia" w:ascii="Times New Roman"/>
                      <w:b w:val="0"/>
                      <w:bCs w:val="0"/>
                      <w:color w:val="auto"/>
                      <w:sz w:val="21"/>
                      <w:szCs w:val="21"/>
                      <w:highlight w:val="none"/>
                      <w:lang w:val="en-US" w:eastAsia="zh-CN"/>
                    </w:rPr>
                    <w:t>20.512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添加剂</w:t>
                  </w:r>
                </w:p>
              </w:tc>
              <w:tc>
                <w:tcPr>
                  <w:tcW w:w="194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500.00</w:t>
                  </w:r>
                  <w:r>
                    <w:rPr>
                      <w:rFonts w:hint="eastAsia"/>
                      <w:color w:val="auto"/>
                      <w:sz w:val="21"/>
                      <w:szCs w:val="21"/>
                      <w:highlight w:val="none"/>
                      <w:lang w:val="en-US" w:eastAsia="zh-CN"/>
                    </w:rPr>
                    <w:t>8</w:t>
                  </w:r>
                  <w:r>
                    <w:rPr>
                      <w:rFonts w:hint="eastAsia"/>
                      <w:color w:val="auto"/>
                      <w:sz w:val="21"/>
                      <w:szCs w:val="21"/>
                      <w:highlight w:val="none"/>
                    </w:rPr>
                    <w:t>t</w:t>
                  </w:r>
                </w:p>
              </w:tc>
              <w:tc>
                <w:tcPr>
                  <w:tcW w:w="1701" w:type="dxa"/>
                  <w:vAlign w:val="center"/>
                </w:tcPr>
                <w:p>
                  <w:pPr>
                    <w:pStyle w:val="40"/>
                    <w:ind w:left="0"/>
                    <w:jc w:val="center"/>
                    <w:rPr>
                      <w:b w:val="0"/>
                      <w:bCs w:val="0"/>
                      <w:color w:val="auto"/>
                      <w:sz w:val="21"/>
                      <w:szCs w:val="21"/>
                      <w:highlight w:val="none"/>
                    </w:rPr>
                  </w:pPr>
                  <w:r>
                    <w:rPr>
                      <w:rFonts w:hint="eastAsia"/>
                      <w:b w:val="0"/>
                      <w:color w:val="auto"/>
                      <w:sz w:val="21"/>
                      <w:szCs w:val="21"/>
                      <w:highlight w:val="none"/>
                    </w:rPr>
                    <w:t>废气排放</w:t>
                  </w:r>
                </w:p>
              </w:tc>
              <w:tc>
                <w:tcPr>
                  <w:tcW w:w="1456"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颗粒物</w:t>
                  </w:r>
                </w:p>
              </w:tc>
              <w:tc>
                <w:tcPr>
                  <w:tcW w:w="1703" w:type="dxa"/>
                  <w:vAlign w:val="center"/>
                </w:tcPr>
                <w:p>
                  <w:pPr>
                    <w:pStyle w:val="40"/>
                    <w:ind w:left="0"/>
                    <w:jc w:val="center"/>
                    <w:rPr>
                      <w:rFonts w:hint="default" w:ascii="Times New Roman" w:eastAsia="宋体"/>
                      <w:b w:val="0"/>
                      <w:bCs w:val="0"/>
                      <w:color w:val="auto"/>
                      <w:sz w:val="21"/>
                      <w:szCs w:val="21"/>
                      <w:highlight w:val="none"/>
                      <w:lang w:val="en-US" w:eastAsia="zh-CN"/>
                    </w:rPr>
                  </w:pPr>
                  <w:r>
                    <w:rPr>
                      <w:rFonts w:hint="eastAsia" w:ascii="Times New Roman"/>
                      <w:b w:val="0"/>
                      <w:bCs w:val="0"/>
                      <w:color w:val="auto"/>
                      <w:sz w:val="21"/>
                      <w:szCs w:val="21"/>
                      <w:highlight w:val="none"/>
                      <w:lang w:val="en-US" w:eastAsia="zh-CN"/>
                    </w:rPr>
                    <w:t>0.837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灰钙粉</w:t>
                  </w:r>
                </w:p>
              </w:tc>
              <w:tc>
                <w:tcPr>
                  <w:tcW w:w="194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500.00</w:t>
                  </w:r>
                  <w:r>
                    <w:rPr>
                      <w:rFonts w:hint="eastAsia"/>
                      <w:color w:val="auto"/>
                      <w:sz w:val="21"/>
                      <w:szCs w:val="21"/>
                      <w:highlight w:val="none"/>
                      <w:lang w:val="en-US" w:eastAsia="zh-CN"/>
                    </w:rPr>
                    <w:t>8</w:t>
                  </w:r>
                  <w:r>
                    <w:rPr>
                      <w:rFonts w:hint="eastAsia"/>
                      <w:color w:val="auto"/>
                      <w:sz w:val="21"/>
                      <w:szCs w:val="21"/>
                      <w:highlight w:val="none"/>
                    </w:rPr>
                    <w:t>t</w:t>
                  </w:r>
                </w:p>
              </w:tc>
              <w:tc>
                <w:tcPr>
                  <w:tcW w:w="1701"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456"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703" w:type="dxa"/>
                  <w:vAlign w:val="center"/>
                </w:tcPr>
                <w:p>
                  <w:pPr>
                    <w:pStyle w:val="40"/>
                    <w:ind w:left="0"/>
                    <w:jc w:val="center"/>
                    <w:rPr>
                      <w:rFonts w:ascii="Times New Roman"/>
                      <w:b w:val="0"/>
                      <w:bCs w:val="0"/>
                      <w:color w:val="auto"/>
                      <w:sz w:val="21"/>
                      <w:szCs w:val="21"/>
                      <w:highlight w:val="none"/>
                    </w:rPr>
                  </w:pPr>
                  <w:r>
                    <w:rPr>
                      <w:rFonts w:hint="eastAsia" w:ascii="Times New Roman"/>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玻化微珠</w:t>
                  </w:r>
                </w:p>
              </w:tc>
              <w:tc>
                <w:tcPr>
                  <w:tcW w:w="194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3000.0</w:t>
                  </w:r>
                  <w:r>
                    <w:rPr>
                      <w:rFonts w:hint="eastAsia"/>
                      <w:color w:val="auto"/>
                      <w:sz w:val="21"/>
                      <w:szCs w:val="21"/>
                      <w:highlight w:val="none"/>
                      <w:lang w:val="en-US" w:eastAsia="zh-CN"/>
                    </w:rPr>
                    <w:t>52</w:t>
                  </w:r>
                  <w:r>
                    <w:rPr>
                      <w:rFonts w:hint="eastAsia"/>
                      <w:color w:val="auto"/>
                      <w:sz w:val="21"/>
                      <w:szCs w:val="21"/>
                      <w:highlight w:val="none"/>
                    </w:rPr>
                    <w:t>t</w:t>
                  </w:r>
                </w:p>
              </w:tc>
              <w:tc>
                <w:tcPr>
                  <w:tcW w:w="1701"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456"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703" w:type="dxa"/>
                  <w:vAlign w:val="center"/>
                </w:tcPr>
                <w:p>
                  <w:pPr>
                    <w:pStyle w:val="40"/>
                    <w:ind w:left="0"/>
                    <w:jc w:val="center"/>
                    <w:rPr>
                      <w:rFonts w:ascii="Times New Roman"/>
                      <w:b w:val="0"/>
                      <w:bCs w:val="0"/>
                      <w:color w:val="auto"/>
                      <w:sz w:val="21"/>
                      <w:szCs w:val="21"/>
                      <w:highlight w:val="none"/>
                    </w:rPr>
                  </w:pPr>
                  <w:r>
                    <w:rPr>
                      <w:rFonts w:hint="eastAsia" w:ascii="Times New Roman"/>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粉煤灰</w:t>
                  </w:r>
                </w:p>
              </w:tc>
              <w:tc>
                <w:tcPr>
                  <w:tcW w:w="194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500.0</w:t>
                  </w:r>
                  <w:r>
                    <w:rPr>
                      <w:rFonts w:hint="eastAsia"/>
                      <w:color w:val="auto"/>
                      <w:sz w:val="21"/>
                      <w:szCs w:val="21"/>
                      <w:highlight w:val="none"/>
                      <w:lang w:val="en-US" w:eastAsia="zh-CN"/>
                    </w:rPr>
                    <w:t>08</w:t>
                  </w:r>
                  <w:r>
                    <w:rPr>
                      <w:rFonts w:hint="eastAsia"/>
                      <w:color w:val="auto"/>
                      <w:sz w:val="21"/>
                      <w:szCs w:val="21"/>
                      <w:highlight w:val="none"/>
                    </w:rPr>
                    <w:t>t</w:t>
                  </w:r>
                </w:p>
              </w:tc>
              <w:tc>
                <w:tcPr>
                  <w:tcW w:w="1701"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456"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703" w:type="dxa"/>
                  <w:vAlign w:val="center"/>
                </w:tcPr>
                <w:p>
                  <w:pPr>
                    <w:pStyle w:val="40"/>
                    <w:ind w:left="0"/>
                    <w:jc w:val="center"/>
                    <w:rPr>
                      <w:rFonts w:ascii="Times New Roman"/>
                      <w:b w:val="0"/>
                      <w:bCs w:val="0"/>
                      <w:color w:val="auto"/>
                      <w:sz w:val="21"/>
                      <w:szCs w:val="21"/>
                      <w:highlight w:val="none"/>
                    </w:rPr>
                  </w:pPr>
                  <w:r>
                    <w:rPr>
                      <w:rFonts w:hint="eastAsia" w:ascii="Times New Roman"/>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收集的粉尘</w:t>
                  </w:r>
                </w:p>
              </w:tc>
              <w:tc>
                <w:tcPr>
                  <w:tcW w:w="1945" w:type="dxa"/>
                  <w:vAlign w:val="center"/>
                </w:tcPr>
                <w:p>
                  <w:pPr>
                    <w:pStyle w:val="40"/>
                    <w:ind w:left="0"/>
                    <w:jc w:val="center"/>
                    <w:rPr>
                      <w:rFonts w:ascii="Times New Roman"/>
                      <w:b w:val="0"/>
                      <w:bCs w:val="0"/>
                      <w:color w:val="auto"/>
                      <w:sz w:val="21"/>
                      <w:szCs w:val="21"/>
                      <w:highlight w:val="none"/>
                    </w:rPr>
                  </w:pPr>
                  <w:r>
                    <w:rPr>
                      <w:rFonts w:hint="eastAsia" w:ascii="Times New Roman"/>
                      <w:b w:val="0"/>
                      <w:bCs w:val="0"/>
                      <w:color w:val="auto"/>
                      <w:sz w:val="21"/>
                      <w:szCs w:val="21"/>
                      <w:highlight w:val="none"/>
                      <w:lang w:val="en-US" w:eastAsia="zh-CN"/>
                    </w:rPr>
                    <w:t>20.512</w:t>
                  </w:r>
                  <w:r>
                    <w:rPr>
                      <w:rFonts w:hint="eastAsia" w:ascii="Times New Roman"/>
                      <w:b w:val="0"/>
                      <w:bCs w:val="0"/>
                      <w:color w:val="auto"/>
                      <w:sz w:val="21"/>
                      <w:szCs w:val="21"/>
                      <w:highlight w:val="none"/>
                    </w:rPr>
                    <w:t>t</w:t>
                  </w:r>
                </w:p>
              </w:tc>
              <w:tc>
                <w:tcPr>
                  <w:tcW w:w="1701"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456" w:type="dxa"/>
                  <w:vAlign w:val="center"/>
                </w:tcPr>
                <w:p>
                  <w:pPr>
                    <w:pStyle w:val="40"/>
                    <w:ind w:left="0"/>
                    <w:jc w:val="center"/>
                    <w:rPr>
                      <w:b w:val="0"/>
                      <w:bCs w:val="0"/>
                      <w:color w:val="auto"/>
                      <w:sz w:val="21"/>
                      <w:szCs w:val="21"/>
                      <w:highlight w:val="none"/>
                    </w:rPr>
                  </w:pPr>
                  <w:r>
                    <w:rPr>
                      <w:rFonts w:hint="eastAsia"/>
                      <w:b w:val="0"/>
                      <w:bCs w:val="0"/>
                      <w:color w:val="auto"/>
                      <w:sz w:val="21"/>
                      <w:szCs w:val="21"/>
                      <w:highlight w:val="none"/>
                    </w:rPr>
                    <w:t>/</w:t>
                  </w:r>
                </w:p>
              </w:tc>
              <w:tc>
                <w:tcPr>
                  <w:tcW w:w="1703" w:type="dxa"/>
                  <w:vAlign w:val="center"/>
                </w:tcPr>
                <w:p>
                  <w:pPr>
                    <w:pStyle w:val="40"/>
                    <w:ind w:left="0"/>
                    <w:jc w:val="center"/>
                    <w:rPr>
                      <w:rFonts w:ascii="Times New Roman"/>
                      <w:b w:val="0"/>
                      <w:bCs w:val="0"/>
                      <w:color w:val="auto"/>
                      <w:sz w:val="21"/>
                      <w:szCs w:val="21"/>
                      <w:highlight w:val="none"/>
                    </w:rPr>
                  </w:pPr>
                  <w:r>
                    <w:rPr>
                      <w:rFonts w:hint="eastAsia" w:ascii="Times New Roman"/>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99" w:type="dxa"/>
                  <w:vAlign w:val="center"/>
                </w:tcPr>
                <w:p>
                  <w:pPr>
                    <w:pStyle w:val="40"/>
                    <w:ind w:left="0"/>
                    <w:jc w:val="center"/>
                    <w:rPr>
                      <w:b w:val="0"/>
                      <w:bCs w:val="0"/>
                      <w:color w:val="auto"/>
                      <w:sz w:val="21"/>
                      <w:szCs w:val="21"/>
                      <w:highlight w:val="none"/>
                    </w:rPr>
                  </w:pPr>
                  <w:r>
                    <w:rPr>
                      <w:rFonts w:hint="eastAsia"/>
                      <w:color w:val="auto"/>
                      <w:sz w:val="21"/>
                      <w:szCs w:val="21"/>
                      <w:highlight w:val="none"/>
                    </w:rPr>
                    <w:t>合计</w:t>
                  </w:r>
                </w:p>
              </w:tc>
              <w:tc>
                <w:tcPr>
                  <w:tcW w:w="1945" w:type="dxa"/>
                  <w:vAlign w:val="center"/>
                </w:tcPr>
                <w:p>
                  <w:pPr>
                    <w:pStyle w:val="40"/>
                    <w:ind w:left="0"/>
                    <w:jc w:val="center"/>
                    <w:rPr>
                      <w:rFonts w:hint="eastAsia" w:ascii="Times New Roman" w:eastAsia="宋体"/>
                      <w:b w:val="0"/>
                      <w:bCs w:val="0"/>
                      <w:color w:val="auto"/>
                      <w:sz w:val="21"/>
                      <w:szCs w:val="21"/>
                      <w:highlight w:val="none"/>
                      <w:lang w:val="en-US" w:eastAsia="zh-CN"/>
                    </w:rPr>
                  </w:pPr>
                  <w:r>
                    <w:rPr>
                      <w:rFonts w:hint="eastAsia" w:ascii="Times New Roman"/>
                      <w:b w:val="0"/>
                      <w:bCs w:val="0"/>
                      <w:color w:val="auto"/>
                      <w:sz w:val="21"/>
                      <w:szCs w:val="21"/>
                      <w:highlight w:val="none"/>
                    </w:rPr>
                    <w:t>50021.34</w:t>
                  </w:r>
                  <w:r>
                    <w:rPr>
                      <w:rFonts w:hint="eastAsia" w:ascii="Times New Roman"/>
                      <w:b w:val="0"/>
                      <w:bCs w:val="0"/>
                      <w:color w:val="auto"/>
                      <w:sz w:val="21"/>
                      <w:szCs w:val="21"/>
                      <w:highlight w:val="none"/>
                      <w:lang w:val="en-US" w:eastAsia="zh-CN"/>
                    </w:rPr>
                    <w:t>9</w:t>
                  </w:r>
                </w:p>
              </w:tc>
              <w:tc>
                <w:tcPr>
                  <w:tcW w:w="3157" w:type="dxa"/>
                  <w:gridSpan w:val="2"/>
                  <w:vAlign w:val="center"/>
                </w:tcPr>
                <w:p>
                  <w:pPr>
                    <w:pStyle w:val="40"/>
                    <w:ind w:left="0"/>
                    <w:jc w:val="center"/>
                    <w:rPr>
                      <w:b w:val="0"/>
                      <w:bCs w:val="0"/>
                      <w:color w:val="auto"/>
                      <w:sz w:val="21"/>
                      <w:szCs w:val="21"/>
                      <w:highlight w:val="none"/>
                    </w:rPr>
                  </w:pPr>
                  <w:r>
                    <w:rPr>
                      <w:rFonts w:hint="eastAsia"/>
                      <w:color w:val="auto"/>
                      <w:sz w:val="21"/>
                      <w:szCs w:val="21"/>
                      <w:highlight w:val="none"/>
                    </w:rPr>
                    <w:t>合计</w:t>
                  </w:r>
                </w:p>
              </w:tc>
              <w:tc>
                <w:tcPr>
                  <w:tcW w:w="1703" w:type="dxa"/>
                  <w:vAlign w:val="center"/>
                </w:tcPr>
                <w:p>
                  <w:pPr>
                    <w:pStyle w:val="40"/>
                    <w:ind w:left="0"/>
                    <w:jc w:val="center"/>
                    <w:rPr>
                      <w:rFonts w:hint="default" w:ascii="Times New Roman" w:eastAsia="宋体"/>
                      <w:b w:val="0"/>
                      <w:bCs w:val="0"/>
                      <w:color w:val="auto"/>
                      <w:sz w:val="21"/>
                      <w:szCs w:val="21"/>
                      <w:highlight w:val="none"/>
                      <w:lang w:val="en-US" w:eastAsia="zh-CN"/>
                    </w:rPr>
                  </w:pPr>
                  <w:r>
                    <w:rPr>
                      <w:rFonts w:hint="eastAsia" w:ascii="Times New Roman"/>
                      <w:b w:val="0"/>
                      <w:bCs w:val="0"/>
                      <w:color w:val="auto"/>
                      <w:sz w:val="21"/>
                      <w:szCs w:val="21"/>
                      <w:highlight w:val="none"/>
                      <w:lang w:val="en-US" w:eastAsia="zh-CN"/>
                    </w:rPr>
                    <w:t>50021.349</w:t>
                  </w:r>
                </w:p>
              </w:tc>
            </w:tr>
          </w:tbl>
          <w:p>
            <w:pPr>
              <w:pStyle w:val="37"/>
              <w:spacing w:line="500" w:lineRule="exact"/>
              <w:jc w:val="both"/>
              <w:rPr>
                <w:rFonts w:hint="default" w:ascii="Times New Roman" w:hAnsi="Times New Roman"/>
                <w:b/>
                <w:bCs/>
                <w:color w:val="auto"/>
                <w:szCs w:val="24"/>
                <w:highlight w:val="none"/>
              </w:rPr>
            </w:pPr>
            <w:r>
              <w:rPr>
                <w:rFonts w:ascii="Times New Roman" w:hAnsi="Times New Roman"/>
                <w:b/>
                <w:bCs/>
                <w:color w:val="auto"/>
                <w:szCs w:val="24"/>
                <w:highlight w:val="none"/>
              </w:rPr>
              <w:t>2.1.6产品产能核算</w:t>
            </w:r>
          </w:p>
          <w:p>
            <w:pPr>
              <w:spacing w:line="500" w:lineRule="exact"/>
              <w:ind w:firstLine="480"/>
              <w:rPr>
                <w:color w:val="auto"/>
                <w:highlight w:val="none"/>
              </w:rPr>
            </w:pPr>
            <w:r>
              <w:rPr>
                <w:rFonts w:hint="eastAsia"/>
                <w:color w:val="auto"/>
                <w:highlight w:val="none"/>
              </w:rPr>
              <w:t>本项目共设置一条特种砂浆生产线，其生产产能为25t/h，</w:t>
            </w:r>
            <w:r>
              <w:rPr>
                <w:rFonts w:hint="eastAsia"/>
                <w:color w:val="auto"/>
                <w:szCs w:val="24"/>
                <w:highlight w:val="none"/>
              </w:rPr>
              <w:t>年工作时间约为2400h，则该特种砂浆生产线的产品产能为60000t/a，本项目设计产能为年产500000吨特种砂浆，则本项目使用特种砂浆生产线满足产能需求。</w:t>
            </w:r>
          </w:p>
          <w:p>
            <w:pPr>
              <w:pStyle w:val="37"/>
              <w:spacing w:line="500" w:lineRule="exact"/>
              <w:jc w:val="both"/>
              <w:rPr>
                <w:rFonts w:hint="default" w:ascii="Times New Roman" w:hAnsi="Times New Roman"/>
                <w:b/>
                <w:bCs/>
                <w:color w:val="auto"/>
                <w:szCs w:val="24"/>
                <w:highlight w:val="none"/>
              </w:rPr>
            </w:pPr>
            <w:r>
              <w:rPr>
                <w:rFonts w:ascii="Times New Roman" w:hAnsi="Times New Roman"/>
                <w:b/>
                <w:bCs/>
                <w:color w:val="auto"/>
                <w:szCs w:val="24"/>
                <w:highlight w:val="none"/>
              </w:rPr>
              <w:t>2.1.7建设内容情况</w:t>
            </w:r>
          </w:p>
          <w:p>
            <w:pPr>
              <w:spacing w:line="500" w:lineRule="exact"/>
              <w:ind w:firstLine="480"/>
              <w:rPr>
                <w:color w:val="auto"/>
                <w:highlight w:val="none"/>
              </w:rPr>
            </w:pPr>
            <w:r>
              <w:rPr>
                <w:color w:val="auto"/>
                <w:highlight w:val="none"/>
              </w:rPr>
              <w:t>本项目基本组成及主要建设内容见表</w:t>
            </w:r>
            <w:r>
              <w:rPr>
                <w:rFonts w:hint="eastAsia"/>
                <w:color w:val="auto"/>
                <w:highlight w:val="none"/>
              </w:rPr>
              <w:t>2</w:t>
            </w:r>
            <w:r>
              <w:rPr>
                <w:color w:val="auto"/>
                <w:highlight w:val="none"/>
              </w:rPr>
              <w:t>-</w:t>
            </w:r>
            <w:r>
              <w:rPr>
                <w:rFonts w:hint="eastAsia"/>
                <w:color w:val="auto"/>
                <w:highlight w:val="none"/>
              </w:rPr>
              <w:t>7</w:t>
            </w:r>
            <w:r>
              <w:rPr>
                <w:color w:val="auto"/>
                <w:highlight w:val="none"/>
              </w:rPr>
              <w:t>。</w:t>
            </w:r>
          </w:p>
          <w:p>
            <w:pPr>
              <w:spacing w:line="460" w:lineRule="exact"/>
              <w:ind w:firstLine="422"/>
              <w:jc w:val="center"/>
              <w:rPr>
                <w:color w:val="auto"/>
                <w:sz w:val="21"/>
                <w:szCs w:val="21"/>
                <w:highlight w:val="none"/>
              </w:rPr>
            </w:pPr>
            <w:r>
              <w:rPr>
                <w:b/>
                <w:color w:val="auto"/>
                <w:sz w:val="21"/>
                <w:szCs w:val="21"/>
                <w:highlight w:val="none"/>
              </w:rPr>
              <w:t>表</w:t>
            </w:r>
            <w:r>
              <w:rPr>
                <w:rFonts w:hint="eastAsia"/>
                <w:b/>
                <w:color w:val="auto"/>
                <w:sz w:val="21"/>
                <w:szCs w:val="21"/>
                <w:highlight w:val="none"/>
              </w:rPr>
              <w:t>2-7  项目组成一览表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78"/>
              <w:gridCol w:w="6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类别</w:t>
                  </w:r>
                </w:p>
              </w:tc>
              <w:tc>
                <w:tcPr>
                  <w:tcW w:w="1178"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建设名称</w:t>
                  </w:r>
                </w:p>
              </w:tc>
              <w:tc>
                <w:tcPr>
                  <w:tcW w:w="6493"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Align w:val="center"/>
                </w:tcPr>
                <w:p>
                  <w:pPr>
                    <w:spacing w:line="240" w:lineRule="auto"/>
                    <w:ind w:firstLine="0" w:firstLineChars="0"/>
                    <w:jc w:val="center"/>
                    <w:rPr>
                      <w:b/>
                      <w:color w:val="auto"/>
                      <w:sz w:val="21"/>
                      <w:szCs w:val="21"/>
                      <w:highlight w:val="none"/>
                    </w:rPr>
                  </w:pPr>
                  <w:r>
                    <w:rPr>
                      <w:rFonts w:hint="eastAsia"/>
                      <w:bCs/>
                      <w:color w:val="auto"/>
                      <w:sz w:val="21"/>
                      <w:szCs w:val="21"/>
                      <w:highlight w:val="none"/>
                    </w:rPr>
                    <w:t>主体</w:t>
                  </w:r>
                  <w:r>
                    <w:rPr>
                      <w:bCs/>
                      <w:color w:val="auto"/>
                      <w:sz w:val="21"/>
                      <w:szCs w:val="21"/>
                      <w:highlight w:val="none"/>
                    </w:rPr>
                    <w:t>工程</w:t>
                  </w:r>
                </w:p>
              </w:tc>
              <w:tc>
                <w:tcPr>
                  <w:tcW w:w="1178" w:type="dxa"/>
                  <w:vAlign w:val="center"/>
                </w:tcPr>
                <w:p>
                  <w:pPr>
                    <w:spacing w:line="240" w:lineRule="auto"/>
                    <w:ind w:firstLine="0" w:firstLineChars="0"/>
                    <w:jc w:val="center"/>
                    <w:rPr>
                      <w:b/>
                      <w:color w:val="auto"/>
                      <w:sz w:val="21"/>
                      <w:szCs w:val="18"/>
                      <w:highlight w:val="none"/>
                    </w:rPr>
                  </w:pPr>
                  <w:r>
                    <w:rPr>
                      <w:rFonts w:hint="eastAsia"/>
                      <w:bCs/>
                      <w:color w:val="auto"/>
                      <w:sz w:val="21"/>
                      <w:szCs w:val="18"/>
                      <w:highlight w:val="none"/>
                    </w:rPr>
                    <w:t>生产车间</w:t>
                  </w:r>
                </w:p>
              </w:tc>
              <w:tc>
                <w:tcPr>
                  <w:tcW w:w="6493" w:type="dxa"/>
                  <w:vAlign w:val="center"/>
                </w:tcPr>
                <w:p>
                  <w:pPr>
                    <w:spacing w:line="240" w:lineRule="auto"/>
                    <w:ind w:firstLine="0" w:firstLineChars="0"/>
                    <w:rPr>
                      <w:bCs/>
                      <w:color w:val="auto"/>
                      <w:sz w:val="21"/>
                      <w:szCs w:val="18"/>
                      <w:highlight w:val="none"/>
                    </w:rPr>
                  </w:pPr>
                  <w:r>
                    <w:rPr>
                      <w:rFonts w:hint="eastAsia"/>
                      <w:bCs/>
                      <w:color w:val="auto"/>
                      <w:kern w:val="0"/>
                      <w:sz w:val="21"/>
                      <w:szCs w:val="21"/>
                      <w:highlight w:val="none"/>
                    </w:rPr>
                    <w:t>建筑面积为1391m</w:t>
                  </w:r>
                  <w:r>
                    <w:rPr>
                      <w:rFonts w:hint="eastAsia"/>
                      <w:bCs/>
                      <w:color w:val="auto"/>
                      <w:kern w:val="0"/>
                      <w:sz w:val="21"/>
                      <w:szCs w:val="21"/>
                      <w:highlight w:val="none"/>
                      <w:vertAlign w:val="superscript"/>
                    </w:rPr>
                    <w:t>2</w:t>
                  </w:r>
                  <w:r>
                    <w:rPr>
                      <w:rFonts w:hint="eastAsia"/>
                      <w:bCs/>
                      <w:color w:val="auto"/>
                      <w:kern w:val="0"/>
                      <w:sz w:val="21"/>
                      <w:szCs w:val="21"/>
                      <w:highlight w:val="none"/>
                    </w:rPr>
                    <w:t>，设一条特种砂浆生产线，设计生产能力为5万t。生产车间高26m，钢筋混凝土结构。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公用工程</w:t>
                  </w:r>
                </w:p>
              </w:tc>
              <w:tc>
                <w:tcPr>
                  <w:tcW w:w="1178" w:type="dxa"/>
                  <w:vAlign w:val="center"/>
                </w:tcPr>
                <w:p>
                  <w:pPr>
                    <w:spacing w:line="240" w:lineRule="auto"/>
                    <w:ind w:firstLine="0" w:firstLineChars="0"/>
                    <w:jc w:val="center"/>
                    <w:rPr>
                      <w:color w:val="auto"/>
                      <w:sz w:val="21"/>
                      <w:szCs w:val="21"/>
                      <w:highlight w:val="none"/>
                    </w:rPr>
                  </w:pPr>
                  <w:r>
                    <w:rPr>
                      <w:color w:val="auto"/>
                      <w:sz w:val="21"/>
                      <w:szCs w:val="21"/>
                      <w:highlight w:val="none"/>
                    </w:rPr>
                    <w:t>给水</w:t>
                  </w:r>
                </w:p>
              </w:tc>
              <w:tc>
                <w:tcPr>
                  <w:tcW w:w="6493" w:type="dxa"/>
                  <w:vAlign w:val="center"/>
                </w:tcPr>
                <w:p>
                  <w:pPr>
                    <w:spacing w:line="240" w:lineRule="auto"/>
                    <w:ind w:firstLine="0" w:firstLineChars="0"/>
                    <w:rPr>
                      <w:color w:val="auto"/>
                      <w:sz w:val="21"/>
                      <w:szCs w:val="21"/>
                      <w:highlight w:val="none"/>
                    </w:rPr>
                  </w:pPr>
                  <w:r>
                    <w:rPr>
                      <w:color w:val="auto"/>
                      <w:sz w:val="21"/>
                      <w:szCs w:val="21"/>
                      <w:highlight w:val="none"/>
                    </w:rPr>
                    <w:t>由德清县水务公司提供</w:t>
                  </w:r>
                  <w:r>
                    <w:rPr>
                      <w:rFonts w:hint="eastAsia"/>
                      <w:color w:val="auto"/>
                      <w:sz w:val="21"/>
                      <w:szCs w:val="21"/>
                      <w:highlight w:val="none"/>
                    </w:rPr>
                    <w:t>，年用水量150t。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continue"/>
                  <w:vAlign w:val="center"/>
                </w:tcPr>
                <w:p>
                  <w:pPr>
                    <w:spacing w:line="240" w:lineRule="auto"/>
                    <w:ind w:firstLine="0" w:firstLineChars="0"/>
                    <w:jc w:val="center"/>
                    <w:rPr>
                      <w:color w:val="auto"/>
                      <w:sz w:val="21"/>
                      <w:szCs w:val="21"/>
                      <w:highlight w:val="none"/>
                    </w:rPr>
                  </w:pPr>
                </w:p>
              </w:tc>
              <w:tc>
                <w:tcPr>
                  <w:tcW w:w="1178" w:type="dxa"/>
                  <w:vAlign w:val="center"/>
                </w:tcPr>
                <w:p>
                  <w:pPr>
                    <w:spacing w:line="240" w:lineRule="auto"/>
                    <w:ind w:firstLine="0" w:firstLineChars="0"/>
                    <w:jc w:val="center"/>
                    <w:rPr>
                      <w:color w:val="auto"/>
                      <w:sz w:val="21"/>
                      <w:szCs w:val="21"/>
                      <w:highlight w:val="none"/>
                    </w:rPr>
                  </w:pPr>
                  <w:r>
                    <w:rPr>
                      <w:color w:val="auto"/>
                      <w:sz w:val="21"/>
                      <w:szCs w:val="21"/>
                      <w:highlight w:val="none"/>
                    </w:rPr>
                    <w:t>排水</w:t>
                  </w:r>
                </w:p>
              </w:tc>
              <w:tc>
                <w:tcPr>
                  <w:tcW w:w="6493"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厂区内</w:t>
                  </w:r>
                  <w:r>
                    <w:rPr>
                      <w:color w:val="auto"/>
                      <w:sz w:val="21"/>
                      <w:szCs w:val="21"/>
                      <w:highlight w:val="none"/>
                    </w:rPr>
                    <w:t>实行雨污分流；雨水经</w:t>
                  </w:r>
                  <w:r>
                    <w:rPr>
                      <w:rFonts w:hint="eastAsia"/>
                      <w:color w:val="auto"/>
                      <w:sz w:val="21"/>
                      <w:szCs w:val="21"/>
                      <w:highlight w:val="none"/>
                    </w:rPr>
                    <w:t>厂</w:t>
                  </w:r>
                  <w:r>
                    <w:rPr>
                      <w:color w:val="auto"/>
                      <w:sz w:val="21"/>
                      <w:szCs w:val="21"/>
                      <w:highlight w:val="none"/>
                    </w:rPr>
                    <w:t>区内雨水管道排入附近河流；</w:t>
                  </w:r>
                  <w:r>
                    <w:rPr>
                      <w:rFonts w:hint="eastAsia"/>
                      <w:color w:val="auto"/>
                      <w:sz w:val="21"/>
                      <w:szCs w:val="21"/>
                      <w:highlight w:val="none"/>
                    </w:rPr>
                    <w:t>生活</w:t>
                  </w:r>
                  <w:r>
                    <w:rPr>
                      <w:color w:val="auto"/>
                      <w:sz w:val="21"/>
                      <w:szCs w:val="21"/>
                      <w:highlight w:val="none"/>
                    </w:rPr>
                    <w:t>污水</w:t>
                  </w:r>
                  <w:r>
                    <w:rPr>
                      <w:rFonts w:hint="eastAsia"/>
                      <w:color w:val="auto"/>
                      <w:sz w:val="21"/>
                      <w:szCs w:val="21"/>
                      <w:highlight w:val="none"/>
                    </w:rPr>
                    <w:t>经化粪池处理后，委托环卫部门槽罐车清运至德清县乾元污水处理有限公司集中处理，达标排放。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continue"/>
                  <w:vAlign w:val="center"/>
                </w:tcPr>
                <w:p>
                  <w:pPr>
                    <w:spacing w:line="240" w:lineRule="auto"/>
                    <w:ind w:firstLine="0" w:firstLineChars="0"/>
                    <w:jc w:val="center"/>
                    <w:rPr>
                      <w:b/>
                      <w:color w:val="auto"/>
                      <w:sz w:val="21"/>
                      <w:szCs w:val="21"/>
                      <w:highlight w:val="none"/>
                    </w:rPr>
                  </w:pPr>
                </w:p>
              </w:tc>
              <w:tc>
                <w:tcPr>
                  <w:tcW w:w="1178" w:type="dxa"/>
                  <w:vAlign w:val="center"/>
                </w:tcPr>
                <w:p>
                  <w:pPr>
                    <w:spacing w:line="240" w:lineRule="auto"/>
                    <w:ind w:firstLine="0" w:firstLineChars="0"/>
                    <w:jc w:val="center"/>
                    <w:rPr>
                      <w:color w:val="auto"/>
                      <w:sz w:val="21"/>
                      <w:szCs w:val="21"/>
                      <w:highlight w:val="none"/>
                    </w:rPr>
                  </w:pPr>
                  <w:r>
                    <w:rPr>
                      <w:color w:val="auto"/>
                      <w:sz w:val="21"/>
                      <w:szCs w:val="21"/>
                      <w:highlight w:val="none"/>
                    </w:rPr>
                    <w:t>供电</w:t>
                  </w:r>
                </w:p>
              </w:tc>
              <w:tc>
                <w:tcPr>
                  <w:tcW w:w="6493" w:type="dxa"/>
                  <w:vAlign w:val="center"/>
                </w:tcPr>
                <w:p>
                  <w:pPr>
                    <w:spacing w:line="240" w:lineRule="auto"/>
                    <w:ind w:firstLine="0" w:firstLineChars="0"/>
                    <w:rPr>
                      <w:color w:val="auto"/>
                      <w:sz w:val="21"/>
                      <w:szCs w:val="21"/>
                      <w:highlight w:val="none"/>
                    </w:rPr>
                  </w:pPr>
                  <w:r>
                    <w:rPr>
                      <w:color w:val="auto"/>
                      <w:sz w:val="21"/>
                      <w:szCs w:val="21"/>
                      <w:highlight w:val="none"/>
                    </w:rPr>
                    <w:t>由</w:t>
                  </w:r>
                  <w:r>
                    <w:rPr>
                      <w:rFonts w:hint="eastAsia"/>
                      <w:color w:val="auto"/>
                      <w:sz w:val="21"/>
                      <w:szCs w:val="21"/>
                      <w:highlight w:val="none"/>
                    </w:rPr>
                    <w:t>国网德清供电公司</w:t>
                  </w:r>
                  <w:r>
                    <w:rPr>
                      <w:color w:val="auto"/>
                      <w:sz w:val="21"/>
                      <w:szCs w:val="21"/>
                      <w:highlight w:val="none"/>
                    </w:rPr>
                    <w:t>提供</w:t>
                  </w:r>
                  <w:r>
                    <w:rPr>
                      <w:rFonts w:hint="eastAsia"/>
                      <w:color w:val="auto"/>
                      <w:sz w:val="21"/>
                      <w:szCs w:val="21"/>
                      <w:highlight w:val="none"/>
                    </w:rPr>
                    <w:t>，年供电量14.6万kwh。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restart"/>
                  <w:vAlign w:val="center"/>
                </w:tcPr>
                <w:p>
                  <w:pPr>
                    <w:spacing w:line="240" w:lineRule="auto"/>
                    <w:ind w:firstLine="0" w:firstLineChars="0"/>
                    <w:jc w:val="center"/>
                    <w:rPr>
                      <w:b/>
                      <w:color w:val="auto"/>
                      <w:sz w:val="21"/>
                      <w:szCs w:val="21"/>
                      <w:highlight w:val="none"/>
                    </w:rPr>
                  </w:pPr>
                  <w:r>
                    <w:rPr>
                      <w:color w:val="auto"/>
                      <w:sz w:val="21"/>
                      <w:szCs w:val="21"/>
                      <w:highlight w:val="none"/>
                    </w:rPr>
                    <w:t>环保工程</w:t>
                  </w:r>
                </w:p>
              </w:tc>
              <w:tc>
                <w:tcPr>
                  <w:tcW w:w="1178" w:type="dxa"/>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6493" w:type="dxa"/>
                  <w:vAlign w:val="center"/>
                </w:tcPr>
                <w:p>
                  <w:pPr>
                    <w:spacing w:line="240" w:lineRule="auto"/>
                    <w:ind w:firstLine="0" w:firstLineChars="0"/>
                    <w:rPr>
                      <w:color w:val="auto"/>
                      <w:sz w:val="21"/>
                      <w:szCs w:val="21"/>
                      <w:highlight w:val="none"/>
                    </w:rPr>
                  </w:pPr>
                  <w:r>
                    <w:rPr>
                      <w:rFonts w:hint="eastAsia"/>
                      <w:b/>
                      <w:bCs/>
                      <w:color w:val="auto"/>
                      <w:sz w:val="21"/>
                      <w:szCs w:val="21"/>
                      <w:highlight w:val="none"/>
                    </w:rPr>
                    <w:t>车辆扬尘</w:t>
                  </w:r>
                  <w:r>
                    <w:rPr>
                      <w:color w:val="auto"/>
                      <w:sz w:val="21"/>
                      <w:szCs w:val="21"/>
                      <w:highlight w:val="none"/>
                    </w:rPr>
                    <w:t>：</w:t>
                  </w:r>
                  <w:r>
                    <w:rPr>
                      <w:rFonts w:hint="eastAsia"/>
                      <w:color w:val="auto"/>
                      <w:sz w:val="21"/>
                      <w:szCs w:val="21"/>
                      <w:highlight w:val="none"/>
                    </w:rPr>
                    <w:t>采取限速、洒水及保护路面整洁等措施。</w:t>
                  </w:r>
                </w:p>
                <w:p>
                  <w:pPr>
                    <w:spacing w:line="240" w:lineRule="auto"/>
                    <w:ind w:firstLine="0" w:firstLineChars="0"/>
                    <w:rPr>
                      <w:color w:val="auto"/>
                      <w:sz w:val="21"/>
                      <w:szCs w:val="21"/>
                      <w:highlight w:val="none"/>
                    </w:rPr>
                  </w:pPr>
                  <w:r>
                    <w:rPr>
                      <w:rFonts w:hint="eastAsia"/>
                      <w:b/>
                      <w:bCs/>
                      <w:color w:val="auto"/>
                      <w:sz w:val="21"/>
                      <w:szCs w:val="21"/>
                      <w:highlight w:val="none"/>
                    </w:rPr>
                    <w:t>装卸粉尘</w:t>
                  </w:r>
                  <w:r>
                    <w:rPr>
                      <w:color w:val="auto"/>
                      <w:sz w:val="21"/>
                      <w:szCs w:val="21"/>
                      <w:highlight w:val="none"/>
                    </w:rPr>
                    <w:t>：</w:t>
                  </w:r>
                  <w:r>
                    <w:rPr>
                      <w:rFonts w:hint="eastAsia"/>
                      <w:color w:val="auto"/>
                      <w:sz w:val="21"/>
                      <w:szCs w:val="21"/>
                      <w:highlight w:val="none"/>
                    </w:rPr>
                    <w:t>机制砂、玻化微珠通过在料斗顶部和侧面设置密闭的集气罩收集，收集后通过脉冲式布袋除尘器进行处理，尾气通过30米高的排气筒P1排放</w:t>
                  </w:r>
                  <w:r>
                    <w:rPr>
                      <w:color w:val="auto"/>
                      <w:sz w:val="21"/>
                      <w:szCs w:val="21"/>
                      <w:highlight w:val="none"/>
                    </w:rPr>
                    <w:t>。</w:t>
                  </w:r>
                </w:p>
                <w:p>
                  <w:pPr>
                    <w:spacing w:line="240" w:lineRule="auto"/>
                    <w:ind w:firstLine="0" w:firstLineChars="0"/>
                    <w:rPr>
                      <w:color w:val="auto"/>
                      <w:sz w:val="21"/>
                      <w:szCs w:val="21"/>
                      <w:highlight w:val="none"/>
                    </w:rPr>
                  </w:pPr>
                  <w:r>
                    <w:rPr>
                      <w:rFonts w:hint="eastAsia"/>
                      <w:b/>
                      <w:bCs/>
                      <w:color w:val="auto"/>
                      <w:sz w:val="21"/>
                      <w:szCs w:val="21"/>
                      <w:highlight w:val="none"/>
                    </w:rPr>
                    <w:t>进料粉尘</w:t>
                  </w:r>
                  <w:r>
                    <w:rPr>
                      <w:color w:val="auto"/>
                      <w:sz w:val="21"/>
                      <w:szCs w:val="21"/>
                      <w:highlight w:val="none"/>
                    </w:rPr>
                    <w:t>：</w:t>
                  </w:r>
                  <w:r>
                    <w:rPr>
                      <w:rFonts w:hint="eastAsia"/>
                      <w:color w:val="auto"/>
                      <w:sz w:val="21"/>
                      <w:szCs w:val="21"/>
                      <w:highlight w:val="none"/>
                    </w:rPr>
                    <w:t>通过在2个水泥储罐、2个机制砂储罐、1个灰钙粉储罐、2个玻化微珠储罐、1个粉煤灰储罐和1个成品仓顶部呼吸口处分别设置脉冲式布袋除尘设施（9个）处理后尾气通过30米高的排气筒P2-P10排放</w:t>
                  </w:r>
                  <w:r>
                    <w:rPr>
                      <w:color w:val="auto"/>
                      <w:sz w:val="21"/>
                      <w:szCs w:val="21"/>
                      <w:highlight w:val="none"/>
                    </w:rPr>
                    <w:t>。</w:t>
                  </w:r>
                </w:p>
                <w:p>
                  <w:pPr>
                    <w:spacing w:line="240" w:lineRule="auto"/>
                    <w:ind w:firstLine="0" w:firstLineChars="0"/>
                    <w:rPr>
                      <w:color w:val="auto"/>
                      <w:sz w:val="21"/>
                      <w:szCs w:val="21"/>
                      <w:highlight w:val="none"/>
                    </w:rPr>
                  </w:pPr>
                  <w:r>
                    <w:rPr>
                      <w:rFonts w:hint="eastAsia"/>
                      <w:b/>
                      <w:bCs/>
                      <w:color w:val="auto"/>
                      <w:sz w:val="21"/>
                      <w:szCs w:val="21"/>
                      <w:highlight w:val="none"/>
                    </w:rPr>
                    <w:t>混合搅拌粉尘</w:t>
                  </w:r>
                  <w:r>
                    <w:rPr>
                      <w:rFonts w:hint="eastAsia"/>
                      <w:color w:val="auto"/>
                      <w:sz w:val="21"/>
                      <w:szCs w:val="21"/>
                      <w:highlight w:val="none"/>
                    </w:rPr>
                    <w:t>：通过在密闭混合仓顶部呼吸口处设置脉冲式布袋除尘设施处理后，尾气通过30米高的排气筒P11排放；</w:t>
                  </w:r>
                </w:p>
                <w:p>
                  <w:pPr>
                    <w:spacing w:line="240" w:lineRule="auto"/>
                    <w:ind w:firstLine="0" w:firstLineChars="0"/>
                    <w:rPr>
                      <w:color w:val="auto"/>
                      <w:sz w:val="21"/>
                      <w:szCs w:val="21"/>
                      <w:highlight w:val="none"/>
                    </w:rPr>
                  </w:pPr>
                  <w:r>
                    <w:rPr>
                      <w:rFonts w:hint="eastAsia"/>
                      <w:b/>
                      <w:bCs/>
                      <w:color w:val="auto"/>
                      <w:sz w:val="21"/>
                      <w:szCs w:val="21"/>
                      <w:highlight w:val="none"/>
                    </w:rPr>
                    <w:t>添加剂搅拌粉尘</w:t>
                  </w:r>
                  <w:r>
                    <w:rPr>
                      <w:rFonts w:hint="eastAsia"/>
                      <w:color w:val="auto"/>
                      <w:sz w:val="21"/>
                      <w:szCs w:val="21"/>
                      <w:highlight w:val="none"/>
                    </w:rPr>
                    <w:t>：通过添加剂搅拌仓顶部设施脉冲式布袋除尘设施处理后，尾气通过30米高的排气筒</w:t>
                  </w:r>
                  <w:r>
                    <w:rPr>
                      <w:color w:val="auto"/>
                      <w:sz w:val="21"/>
                      <w:szCs w:val="21"/>
                      <w:highlight w:val="none"/>
                    </w:rPr>
                    <w:t>P12</w:t>
                  </w:r>
                  <w:r>
                    <w:rPr>
                      <w:rFonts w:hint="eastAsia"/>
                      <w:color w:val="auto"/>
                      <w:sz w:val="21"/>
                      <w:szCs w:val="21"/>
                      <w:highlight w:val="none"/>
                    </w:rPr>
                    <w:t>排放；</w:t>
                  </w:r>
                </w:p>
                <w:p>
                  <w:pPr>
                    <w:spacing w:line="240" w:lineRule="auto"/>
                    <w:ind w:firstLine="0" w:firstLineChars="0"/>
                    <w:rPr>
                      <w:color w:val="auto"/>
                      <w:sz w:val="21"/>
                      <w:szCs w:val="21"/>
                      <w:highlight w:val="none"/>
                    </w:rPr>
                  </w:pPr>
                  <w:r>
                    <w:rPr>
                      <w:rFonts w:hint="eastAsia"/>
                      <w:b/>
                      <w:bCs/>
                      <w:color w:val="auto"/>
                      <w:sz w:val="21"/>
                      <w:szCs w:val="21"/>
                      <w:highlight w:val="none"/>
                    </w:rPr>
                    <w:t>包装粉尘</w:t>
                  </w:r>
                  <w:r>
                    <w:rPr>
                      <w:rFonts w:hint="eastAsia"/>
                      <w:color w:val="auto"/>
                      <w:sz w:val="21"/>
                      <w:szCs w:val="21"/>
                      <w:highlight w:val="none"/>
                    </w:rPr>
                    <w:t>：在设备顶部设置吸风罩进行收集，并对设备半包围设置，经布袋除尘设施处理后，尾气通过一根30米高的排气筒P13排放。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continue"/>
                  <w:vAlign w:val="center"/>
                </w:tcPr>
                <w:p>
                  <w:pPr>
                    <w:spacing w:line="240" w:lineRule="auto"/>
                    <w:ind w:firstLine="0" w:firstLineChars="0"/>
                    <w:jc w:val="center"/>
                    <w:rPr>
                      <w:color w:val="auto"/>
                      <w:sz w:val="21"/>
                      <w:szCs w:val="21"/>
                      <w:highlight w:val="none"/>
                    </w:rPr>
                  </w:pPr>
                </w:p>
              </w:tc>
              <w:tc>
                <w:tcPr>
                  <w:tcW w:w="11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废水</w:t>
                  </w:r>
                </w:p>
              </w:tc>
              <w:tc>
                <w:tcPr>
                  <w:tcW w:w="6493"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生活污水经化粪池预处理后，委托环卫部门槽罐车集中清运至德清县乾元污水处理有限公司集中处理。本项目化粪池设置容积为10m</w:t>
                  </w:r>
                  <w:r>
                    <w:rPr>
                      <w:rFonts w:hint="eastAsia"/>
                      <w:color w:val="auto"/>
                      <w:sz w:val="21"/>
                      <w:szCs w:val="21"/>
                      <w:highlight w:val="none"/>
                      <w:vertAlign w:val="superscript"/>
                    </w:rPr>
                    <w:t>3</w:t>
                  </w:r>
                  <w:r>
                    <w:rPr>
                      <w:rFonts w:hint="eastAsia"/>
                      <w:color w:val="auto"/>
                      <w:sz w:val="21"/>
                      <w:szCs w:val="21"/>
                      <w:highlight w:val="none"/>
                    </w:rPr>
                    <w:t>，系利用出租方现有化粪池进行处理。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continue"/>
                </w:tcPr>
                <w:p>
                  <w:pPr>
                    <w:spacing w:line="240" w:lineRule="auto"/>
                    <w:ind w:firstLine="0" w:firstLineChars="0"/>
                    <w:jc w:val="center"/>
                    <w:rPr>
                      <w:color w:val="auto"/>
                      <w:sz w:val="21"/>
                      <w:szCs w:val="21"/>
                      <w:highlight w:val="none"/>
                    </w:rPr>
                  </w:pPr>
                </w:p>
              </w:tc>
              <w:tc>
                <w:tcPr>
                  <w:tcW w:w="1178" w:type="dxa"/>
                  <w:vAlign w:val="center"/>
                </w:tcPr>
                <w:p>
                  <w:pPr>
                    <w:spacing w:line="240" w:lineRule="auto"/>
                    <w:ind w:firstLine="0" w:firstLineChars="0"/>
                    <w:jc w:val="center"/>
                    <w:rPr>
                      <w:color w:val="auto"/>
                      <w:sz w:val="21"/>
                      <w:szCs w:val="21"/>
                      <w:highlight w:val="none"/>
                    </w:rPr>
                  </w:pPr>
                  <w:r>
                    <w:rPr>
                      <w:color w:val="auto"/>
                      <w:sz w:val="21"/>
                      <w:szCs w:val="21"/>
                      <w:highlight w:val="none"/>
                    </w:rPr>
                    <w:t>固废</w:t>
                  </w:r>
                </w:p>
              </w:tc>
              <w:tc>
                <w:tcPr>
                  <w:tcW w:w="6493"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一般废物暂存场所设置于生产车间东北侧单独区域内，面积约40m</w:t>
                  </w:r>
                  <w:r>
                    <w:rPr>
                      <w:rFonts w:hint="eastAsia"/>
                      <w:color w:val="auto"/>
                      <w:sz w:val="21"/>
                      <w:szCs w:val="21"/>
                      <w:highlight w:val="none"/>
                      <w:vertAlign w:val="superscript"/>
                    </w:rPr>
                    <w:t>2</w:t>
                  </w:r>
                  <w:r>
                    <w:rPr>
                      <w:rFonts w:hint="eastAsia"/>
                      <w:color w:val="auto"/>
                      <w:sz w:val="21"/>
                      <w:szCs w:val="21"/>
                      <w:highlight w:val="none"/>
                    </w:rPr>
                    <w:t>，暂存点为水泥地面，能做到防扬散、防流失、防止雨水冲刷及防渗漏等相关要求。</w:t>
                  </w:r>
                </w:p>
                <w:p>
                  <w:pPr>
                    <w:spacing w:line="240" w:lineRule="auto"/>
                    <w:ind w:firstLine="0" w:firstLineChars="0"/>
                    <w:rPr>
                      <w:color w:val="auto"/>
                      <w:sz w:val="21"/>
                      <w:szCs w:val="21"/>
                      <w:highlight w:val="none"/>
                    </w:rPr>
                  </w:pPr>
                  <w:r>
                    <w:rPr>
                      <w:rFonts w:hint="eastAsia"/>
                      <w:color w:val="auto"/>
                      <w:sz w:val="21"/>
                      <w:szCs w:val="21"/>
                      <w:highlight w:val="none"/>
                    </w:rPr>
                    <w:t>危废贮存设施设置于厂房东北侧单独房间内，占地面积约10m</w:t>
                  </w:r>
                  <w:r>
                    <w:rPr>
                      <w:rFonts w:hint="eastAsia"/>
                      <w:color w:val="auto"/>
                      <w:sz w:val="21"/>
                      <w:szCs w:val="21"/>
                      <w:highlight w:val="none"/>
                      <w:vertAlign w:val="superscript"/>
                    </w:rPr>
                    <w:t>2</w:t>
                  </w:r>
                  <w:r>
                    <w:rPr>
                      <w:rFonts w:hint="eastAsia"/>
                      <w:color w:val="auto"/>
                      <w:sz w:val="21"/>
                      <w:szCs w:val="21"/>
                      <w:highlight w:val="none"/>
                    </w:rPr>
                    <w:t>，暂存点为防腐防渗地面，能做到“四防”（防风、防雨、防晒、防渗漏）等相关要求。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continue"/>
                </w:tcPr>
                <w:p>
                  <w:pPr>
                    <w:spacing w:line="240" w:lineRule="auto"/>
                    <w:ind w:firstLine="0" w:firstLineChars="0"/>
                    <w:jc w:val="center"/>
                    <w:rPr>
                      <w:color w:val="auto"/>
                      <w:sz w:val="21"/>
                      <w:szCs w:val="21"/>
                      <w:highlight w:val="none"/>
                    </w:rPr>
                  </w:pPr>
                </w:p>
              </w:tc>
              <w:tc>
                <w:tcPr>
                  <w:tcW w:w="1178"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c>
                <w:tcPr>
                  <w:tcW w:w="6493" w:type="dxa"/>
                  <w:vAlign w:val="center"/>
                </w:tcPr>
                <w:p>
                  <w:pPr>
                    <w:spacing w:line="240" w:lineRule="auto"/>
                    <w:ind w:firstLine="0" w:firstLineChars="0"/>
                    <w:rPr>
                      <w:b/>
                      <w:bCs/>
                      <w:color w:val="auto"/>
                      <w:sz w:val="21"/>
                      <w:szCs w:val="21"/>
                      <w:highlight w:val="none"/>
                    </w:rPr>
                  </w:pPr>
                  <w:r>
                    <w:rPr>
                      <w:color w:val="auto"/>
                      <w:sz w:val="21"/>
                      <w:szCs w:val="21"/>
                      <w:highlight w:val="none"/>
                    </w:rPr>
                    <w:t>选用噪声低、</w:t>
                  </w:r>
                  <w:r>
                    <w:rPr>
                      <w:rFonts w:hint="eastAsia"/>
                      <w:color w:val="auto"/>
                      <w:sz w:val="21"/>
                      <w:szCs w:val="21"/>
                      <w:highlight w:val="none"/>
                    </w:rPr>
                    <w:t>振</w:t>
                  </w:r>
                  <w:r>
                    <w:rPr>
                      <w:color w:val="auto"/>
                      <w:sz w:val="21"/>
                      <w:szCs w:val="21"/>
                      <w:highlight w:val="none"/>
                    </w:rPr>
                    <w:t>动小的设备；对</w:t>
                  </w:r>
                  <w:r>
                    <w:rPr>
                      <w:rFonts w:hint="eastAsia"/>
                      <w:color w:val="auto"/>
                      <w:sz w:val="21"/>
                      <w:szCs w:val="21"/>
                      <w:highlight w:val="none"/>
                    </w:rPr>
                    <w:t>空压机、混合机</w:t>
                  </w:r>
                  <w:r>
                    <w:rPr>
                      <w:color w:val="auto"/>
                      <w:sz w:val="21"/>
                      <w:szCs w:val="21"/>
                      <w:highlight w:val="none"/>
                    </w:rPr>
                    <w:t>等高噪声设备加设减</w:t>
                  </w:r>
                  <w:r>
                    <w:rPr>
                      <w:rFonts w:hint="eastAsia"/>
                      <w:color w:val="auto"/>
                      <w:sz w:val="21"/>
                      <w:szCs w:val="21"/>
                      <w:highlight w:val="none"/>
                    </w:rPr>
                    <w:t>振</w:t>
                  </w:r>
                  <w:r>
                    <w:rPr>
                      <w:color w:val="auto"/>
                      <w:sz w:val="21"/>
                      <w:szCs w:val="21"/>
                      <w:highlight w:val="none"/>
                    </w:rPr>
                    <w:t>垫</w:t>
                  </w:r>
                  <w:r>
                    <w:rPr>
                      <w:rFonts w:hint="eastAsia"/>
                      <w:color w:val="auto"/>
                      <w:sz w:val="21"/>
                      <w:szCs w:val="21"/>
                      <w:highlight w:val="none"/>
                    </w:rPr>
                    <w:t>；</w:t>
                  </w:r>
                  <w:r>
                    <w:rPr>
                      <w:color w:val="auto"/>
                      <w:sz w:val="21"/>
                      <w:szCs w:val="21"/>
                      <w:highlight w:val="none"/>
                    </w:rPr>
                    <w:t>合理布置设备位置</w:t>
                  </w:r>
                  <w:r>
                    <w:rPr>
                      <w:rFonts w:hint="eastAsia"/>
                      <w:color w:val="auto"/>
                      <w:sz w:val="21"/>
                      <w:szCs w:val="21"/>
                      <w:highlight w:val="none"/>
                    </w:rPr>
                    <w:t>；</w:t>
                  </w:r>
                  <w:r>
                    <w:rPr>
                      <w:color w:val="auto"/>
                      <w:sz w:val="21"/>
                      <w:szCs w:val="21"/>
                      <w:highlight w:val="none"/>
                    </w:rPr>
                    <w:t>安装隔声门窗。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continue"/>
                </w:tcPr>
                <w:p>
                  <w:pPr>
                    <w:spacing w:line="240" w:lineRule="auto"/>
                    <w:ind w:firstLine="0" w:firstLineChars="0"/>
                    <w:jc w:val="center"/>
                    <w:rPr>
                      <w:color w:val="auto"/>
                      <w:sz w:val="21"/>
                      <w:szCs w:val="21"/>
                      <w:highlight w:val="none"/>
                    </w:rPr>
                  </w:pPr>
                </w:p>
              </w:tc>
              <w:tc>
                <w:tcPr>
                  <w:tcW w:w="11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环境风险</w:t>
                  </w:r>
                </w:p>
              </w:tc>
              <w:tc>
                <w:tcPr>
                  <w:tcW w:w="6493" w:type="dxa"/>
                  <w:vAlign w:val="center"/>
                </w:tcPr>
                <w:p>
                  <w:pPr>
                    <w:spacing w:line="240" w:lineRule="auto"/>
                    <w:ind w:firstLine="0" w:firstLineChars="0"/>
                    <w:rPr>
                      <w:color w:val="auto"/>
                      <w:sz w:val="21"/>
                      <w:szCs w:val="21"/>
                      <w:highlight w:val="none"/>
                    </w:rPr>
                  </w:pPr>
                  <w:r>
                    <w:rPr>
                      <w:color w:val="auto"/>
                      <w:sz w:val="21"/>
                      <w:szCs w:val="21"/>
                      <w:highlight w:val="none"/>
                    </w:rPr>
                    <w:t>企业将按标准要求配备应急物资</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储运</w:t>
                  </w:r>
                </w:p>
                <w:p>
                  <w:pPr>
                    <w:spacing w:line="240" w:lineRule="auto"/>
                    <w:ind w:firstLine="0" w:firstLineChars="0"/>
                    <w:jc w:val="center"/>
                    <w:rPr>
                      <w:color w:val="auto"/>
                      <w:sz w:val="21"/>
                      <w:szCs w:val="21"/>
                      <w:highlight w:val="none"/>
                    </w:rPr>
                  </w:pPr>
                  <w:r>
                    <w:rPr>
                      <w:rFonts w:hint="eastAsia"/>
                      <w:color w:val="auto"/>
                      <w:sz w:val="21"/>
                      <w:szCs w:val="21"/>
                      <w:highlight w:val="none"/>
                    </w:rPr>
                    <w:t>工程</w:t>
                  </w:r>
                </w:p>
              </w:tc>
              <w:tc>
                <w:tcPr>
                  <w:tcW w:w="11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成品仓储区域</w:t>
                  </w:r>
                </w:p>
              </w:tc>
              <w:tc>
                <w:tcPr>
                  <w:tcW w:w="6493"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在厂房北侧设置袋装成品仓储区域，占地约300m</w:t>
                  </w:r>
                  <w:r>
                    <w:rPr>
                      <w:rFonts w:hint="eastAsia"/>
                      <w:color w:val="auto"/>
                      <w:sz w:val="21"/>
                      <w:szCs w:val="21"/>
                      <w:highlight w:val="none"/>
                      <w:vertAlign w:val="superscript"/>
                    </w:rPr>
                    <w:t>2</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Merge w:val="continue"/>
                  <w:vAlign w:val="center"/>
                </w:tcPr>
                <w:p>
                  <w:pPr>
                    <w:spacing w:line="240" w:lineRule="auto"/>
                    <w:ind w:firstLine="0" w:firstLineChars="0"/>
                    <w:jc w:val="center"/>
                    <w:rPr>
                      <w:color w:val="auto"/>
                      <w:sz w:val="21"/>
                      <w:szCs w:val="21"/>
                      <w:highlight w:val="none"/>
                    </w:rPr>
                  </w:pPr>
                </w:p>
              </w:tc>
              <w:tc>
                <w:tcPr>
                  <w:tcW w:w="11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原料储罐</w:t>
                  </w:r>
                </w:p>
              </w:tc>
              <w:tc>
                <w:tcPr>
                  <w:tcW w:w="6493"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设置原料储罐包括水泥储罐150m</w:t>
                  </w:r>
                  <w:r>
                    <w:rPr>
                      <w:rFonts w:hint="eastAsia"/>
                      <w:color w:val="auto"/>
                      <w:sz w:val="21"/>
                      <w:szCs w:val="21"/>
                      <w:highlight w:val="none"/>
                      <w:vertAlign w:val="superscript"/>
                    </w:rPr>
                    <w:t>3</w:t>
                  </w:r>
                  <w:r>
                    <w:rPr>
                      <w:rFonts w:hint="eastAsia"/>
                      <w:color w:val="auto"/>
                      <w:sz w:val="21"/>
                      <w:szCs w:val="21"/>
                      <w:highlight w:val="none"/>
                    </w:rPr>
                    <w:t>*2、粉煤灰储罐70m</w:t>
                  </w:r>
                  <w:r>
                    <w:rPr>
                      <w:rFonts w:hint="eastAsia"/>
                      <w:color w:val="auto"/>
                      <w:sz w:val="21"/>
                      <w:szCs w:val="21"/>
                      <w:highlight w:val="none"/>
                      <w:vertAlign w:val="superscript"/>
                    </w:rPr>
                    <w:t>3</w:t>
                  </w:r>
                  <w:r>
                    <w:rPr>
                      <w:rFonts w:hint="eastAsia"/>
                      <w:color w:val="auto"/>
                      <w:sz w:val="21"/>
                      <w:szCs w:val="21"/>
                      <w:highlight w:val="none"/>
                    </w:rPr>
                    <w:t>*1、机制砂储罐150m</w:t>
                  </w:r>
                  <w:r>
                    <w:rPr>
                      <w:rFonts w:hint="eastAsia"/>
                      <w:color w:val="auto"/>
                      <w:sz w:val="21"/>
                      <w:szCs w:val="21"/>
                      <w:highlight w:val="none"/>
                      <w:vertAlign w:val="superscript"/>
                    </w:rPr>
                    <w:t>3</w:t>
                  </w:r>
                  <w:r>
                    <w:rPr>
                      <w:rFonts w:hint="eastAsia"/>
                      <w:color w:val="auto"/>
                      <w:sz w:val="21"/>
                      <w:szCs w:val="21"/>
                      <w:highlight w:val="none"/>
                    </w:rPr>
                    <w:t>*2、灰钙粉储罐50m</w:t>
                  </w:r>
                  <w:r>
                    <w:rPr>
                      <w:rFonts w:hint="eastAsia"/>
                      <w:color w:val="auto"/>
                      <w:sz w:val="21"/>
                      <w:szCs w:val="21"/>
                      <w:highlight w:val="none"/>
                      <w:vertAlign w:val="superscript"/>
                    </w:rPr>
                    <w:t>3</w:t>
                  </w:r>
                  <w:r>
                    <w:rPr>
                      <w:rFonts w:hint="eastAsia"/>
                      <w:color w:val="auto"/>
                      <w:sz w:val="21"/>
                      <w:szCs w:val="21"/>
                      <w:highlight w:val="none"/>
                    </w:rPr>
                    <w:t>*1、玻化微珠储罐150m</w:t>
                  </w:r>
                  <w:r>
                    <w:rPr>
                      <w:rFonts w:hint="eastAsia"/>
                      <w:color w:val="auto"/>
                      <w:sz w:val="21"/>
                      <w:szCs w:val="21"/>
                      <w:highlight w:val="none"/>
                      <w:vertAlign w:val="superscript"/>
                    </w:rPr>
                    <w:t>3</w:t>
                  </w:r>
                  <w:r>
                    <w:rPr>
                      <w:rFonts w:hint="eastAsia"/>
                      <w:color w:val="auto"/>
                      <w:sz w:val="21"/>
                      <w:szCs w:val="21"/>
                      <w:highlight w:val="none"/>
                    </w:rPr>
                    <w:t>*1、玻化微珠储罐200m</w:t>
                  </w:r>
                  <w:r>
                    <w:rPr>
                      <w:rFonts w:hint="eastAsia"/>
                      <w:color w:val="auto"/>
                      <w:sz w:val="21"/>
                      <w:szCs w:val="21"/>
                      <w:highlight w:val="none"/>
                      <w:vertAlign w:val="superscript"/>
                    </w:rPr>
                    <w:t>3</w:t>
                  </w:r>
                  <w:r>
                    <w:rPr>
                      <w:rFonts w:hint="eastAsia"/>
                      <w:color w:val="auto"/>
                      <w:sz w:val="21"/>
                      <w:szCs w:val="21"/>
                      <w:highlight w:val="none"/>
                    </w:rPr>
                    <w:t>*1，添加剂搅拌仓1m</w:t>
                  </w:r>
                  <w:r>
                    <w:rPr>
                      <w:rFonts w:hint="eastAsia"/>
                      <w:color w:val="auto"/>
                      <w:sz w:val="21"/>
                      <w:szCs w:val="21"/>
                      <w:highlight w:val="none"/>
                      <w:vertAlign w:val="superscript"/>
                    </w:rPr>
                    <w:t>3</w:t>
                  </w: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依托工程</w:t>
                  </w:r>
                </w:p>
              </w:tc>
              <w:tc>
                <w:tcPr>
                  <w:tcW w:w="1178" w:type="dxa"/>
                  <w:vAlign w:val="center"/>
                </w:tcPr>
                <w:p>
                  <w:pPr>
                    <w:spacing w:line="240" w:lineRule="auto"/>
                    <w:ind w:firstLine="0" w:firstLineChars="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化粪池</w:t>
                  </w:r>
                </w:p>
              </w:tc>
              <w:tc>
                <w:tcPr>
                  <w:tcW w:w="6493" w:type="dxa"/>
                  <w:vAlign w:val="center"/>
                </w:tcPr>
                <w:p>
                  <w:pPr>
                    <w:spacing w:line="240" w:lineRule="auto"/>
                    <w:ind w:firstLine="0" w:firstLineChars="0"/>
                    <w:rPr>
                      <w:rFonts w:hint="default" w:eastAsia="宋体"/>
                      <w:color w:val="auto"/>
                      <w:sz w:val="21"/>
                      <w:szCs w:val="21"/>
                      <w:highlight w:val="none"/>
                      <w:lang w:val="en-US" w:eastAsia="zh-CN"/>
                    </w:rPr>
                  </w:pPr>
                  <w:r>
                    <w:rPr>
                      <w:rFonts w:hint="eastAsia"/>
                      <w:color w:val="auto"/>
                      <w:sz w:val="21"/>
                      <w:szCs w:val="21"/>
                      <w:highlight w:val="none"/>
                      <w:lang w:val="en-US" w:eastAsia="zh-CN"/>
                    </w:rPr>
                    <w:t>本项目依托出租方德清扬泰建筑材料有限公司的化粪池使用。</w:t>
                  </w:r>
                </w:p>
              </w:tc>
            </w:tr>
          </w:tbl>
          <w:p>
            <w:pPr>
              <w:spacing w:line="500" w:lineRule="exact"/>
              <w:ind w:firstLine="0" w:firstLineChars="0"/>
              <w:rPr>
                <w:b/>
                <w:bCs/>
                <w:color w:val="auto"/>
                <w:highlight w:val="none"/>
              </w:rPr>
            </w:pPr>
            <w:r>
              <w:rPr>
                <w:rFonts w:hint="eastAsia"/>
                <w:b/>
                <w:bCs/>
                <w:color w:val="auto"/>
                <w:highlight w:val="none"/>
              </w:rPr>
              <w:t xml:space="preserve">2.1.8 </w:t>
            </w:r>
            <w:r>
              <w:rPr>
                <w:b/>
                <w:bCs/>
                <w:color w:val="auto"/>
                <w:highlight w:val="none"/>
              </w:rPr>
              <w:t>劳动定员及工作制度</w:t>
            </w:r>
          </w:p>
          <w:p>
            <w:pPr>
              <w:spacing w:line="500" w:lineRule="exact"/>
              <w:ind w:firstLine="480"/>
              <w:rPr>
                <w:color w:val="auto"/>
                <w:szCs w:val="24"/>
                <w:highlight w:val="none"/>
              </w:rPr>
            </w:pPr>
            <w:r>
              <w:rPr>
                <w:rFonts w:hint="eastAsia" w:hAnsi="宋体"/>
                <w:color w:val="auto"/>
                <w:szCs w:val="24"/>
                <w:highlight w:val="none"/>
              </w:rPr>
              <w:t>本项目</w:t>
            </w:r>
            <w:r>
              <w:rPr>
                <w:rFonts w:hAnsi="宋体"/>
                <w:color w:val="auto"/>
                <w:szCs w:val="24"/>
                <w:highlight w:val="none"/>
              </w:rPr>
              <w:t>职工</w:t>
            </w:r>
            <w:r>
              <w:rPr>
                <w:rFonts w:hint="eastAsia" w:hAnsi="宋体"/>
                <w:color w:val="auto"/>
                <w:szCs w:val="24"/>
                <w:highlight w:val="none"/>
              </w:rPr>
              <w:t>定员</w:t>
            </w:r>
            <w:r>
              <w:rPr>
                <w:rFonts w:hint="eastAsia"/>
                <w:color w:val="auto"/>
                <w:szCs w:val="24"/>
                <w:highlight w:val="none"/>
              </w:rPr>
              <w:t>10</w:t>
            </w:r>
            <w:r>
              <w:rPr>
                <w:rFonts w:hAnsi="宋体"/>
                <w:color w:val="auto"/>
                <w:szCs w:val="24"/>
                <w:highlight w:val="none"/>
              </w:rPr>
              <w:t>人，</w:t>
            </w:r>
            <w:r>
              <w:rPr>
                <w:rFonts w:hint="eastAsia" w:hAnsi="宋体"/>
                <w:color w:val="auto"/>
                <w:szCs w:val="24"/>
                <w:highlight w:val="none"/>
              </w:rPr>
              <w:t>实行白天一班制生产，年生产</w:t>
            </w:r>
            <w:r>
              <w:rPr>
                <w:rFonts w:hAnsi="宋体"/>
                <w:color w:val="auto"/>
                <w:szCs w:val="24"/>
                <w:highlight w:val="none"/>
              </w:rPr>
              <w:t>天数</w:t>
            </w:r>
            <w:r>
              <w:rPr>
                <w:color w:val="auto"/>
                <w:szCs w:val="24"/>
                <w:highlight w:val="none"/>
              </w:rPr>
              <w:t>300d</w:t>
            </w:r>
            <w:r>
              <w:rPr>
                <w:rFonts w:hint="eastAsia"/>
                <w:color w:val="auto"/>
                <w:szCs w:val="24"/>
                <w:highlight w:val="none"/>
              </w:rPr>
              <w:t>。</w:t>
            </w:r>
          </w:p>
          <w:p>
            <w:pPr>
              <w:spacing w:line="500" w:lineRule="exact"/>
              <w:ind w:firstLine="480"/>
              <w:rPr>
                <w:color w:val="auto"/>
                <w:szCs w:val="24"/>
                <w:highlight w:val="none"/>
              </w:rPr>
            </w:pPr>
            <w:r>
              <w:rPr>
                <w:rFonts w:hint="eastAsia"/>
                <w:color w:val="auto"/>
                <w:szCs w:val="24"/>
                <w:highlight w:val="none"/>
              </w:rPr>
              <w:t>厂区内不设食堂、宿舍。</w:t>
            </w:r>
          </w:p>
          <w:p>
            <w:pPr>
              <w:pStyle w:val="16"/>
              <w:spacing w:line="500" w:lineRule="exact"/>
              <w:ind w:firstLineChars="0"/>
              <w:jc w:val="both"/>
              <w:rPr>
                <w:color w:val="auto"/>
                <w:sz w:val="24"/>
                <w:szCs w:val="24"/>
                <w:highlight w:val="none"/>
              </w:rPr>
            </w:pPr>
            <w:r>
              <w:rPr>
                <w:rFonts w:hint="eastAsia"/>
                <w:b/>
                <w:bCs/>
                <w:color w:val="auto"/>
                <w:sz w:val="24"/>
                <w:szCs w:val="24"/>
                <w:highlight w:val="none"/>
              </w:rPr>
              <w:t>2.1.9 平面布局</w:t>
            </w:r>
          </w:p>
          <w:p>
            <w:pPr>
              <w:spacing w:line="500" w:lineRule="exact"/>
              <w:ind w:firstLine="480"/>
              <w:rPr>
                <w:bCs/>
                <w:color w:val="auto"/>
                <w:highlight w:val="none"/>
              </w:rPr>
            </w:pPr>
            <w:r>
              <w:rPr>
                <w:rFonts w:hint="eastAsia"/>
                <w:color w:val="auto"/>
                <w:highlight w:val="none"/>
              </w:rPr>
              <w:t>本项目选址于德清县乾元镇苕溪东街1155号</w:t>
            </w:r>
            <w:r>
              <w:rPr>
                <w:rFonts w:hint="eastAsia"/>
                <w:bCs/>
                <w:color w:val="auto"/>
                <w:highlight w:val="none"/>
              </w:rPr>
              <w:t>，租用德清扬泰建筑材料有限公司东侧闲置工业厂房进行生产，其中生产厂房东侧为成品仓库，西侧为主要生产车间，南侧为原料仓库和入厂通道，主要生产车间由储罐组成。具体见附图4浙江安捷森建材科技有限公司年产5万吨建筑特种砂浆建设项目厂区平面布置示意图。</w:t>
            </w:r>
          </w:p>
          <w:p>
            <w:pPr>
              <w:spacing w:line="500" w:lineRule="exact"/>
              <w:ind w:firstLine="480"/>
              <w:rPr>
                <w:bCs/>
                <w:color w:val="auto"/>
                <w:szCs w:val="24"/>
                <w:highlight w:val="none"/>
              </w:rPr>
            </w:pPr>
            <w:r>
              <w:rPr>
                <w:rFonts w:hint="eastAsia"/>
                <w:bCs/>
                <w:color w:val="auto"/>
                <w:szCs w:val="24"/>
                <w:highlight w:val="none"/>
              </w:rPr>
              <w:t>因此，</w:t>
            </w:r>
            <w:r>
              <w:rPr>
                <w:bCs/>
                <w:color w:val="auto"/>
                <w:szCs w:val="24"/>
                <w:highlight w:val="none"/>
              </w:rPr>
              <w:t>本环评认为</w:t>
            </w:r>
            <w:r>
              <w:rPr>
                <w:rFonts w:hint="eastAsia"/>
                <w:bCs/>
                <w:color w:val="auto"/>
                <w:szCs w:val="24"/>
                <w:highlight w:val="none"/>
              </w:rPr>
              <w:t>，</w:t>
            </w:r>
            <w:r>
              <w:rPr>
                <w:bCs/>
                <w:color w:val="auto"/>
                <w:szCs w:val="24"/>
                <w:highlight w:val="none"/>
              </w:rPr>
              <w:t>在充分考虑地形、</w:t>
            </w:r>
            <w:r>
              <w:rPr>
                <w:rFonts w:hint="eastAsia"/>
                <w:bCs/>
                <w:color w:val="auto"/>
                <w:szCs w:val="24"/>
                <w:highlight w:val="none"/>
              </w:rPr>
              <w:t>外部环境特征、</w:t>
            </w:r>
            <w:r>
              <w:rPr>
                <w:bCs/>
                <w:color w:val="auto"/>
                <w:szCs w:val="24"/>
                <w:highlight w:val="none"/>
              </w:rPr>
              <w:t>生产工艺特点</w:t>
            </w:r>
            <w:r>
              <w:rPr>
                <w:rFonts w:hint="eastAsia"/>
                <w:bCs/>
                <w:color w:val="auto"/>
                <w:szCs w:val="24"/>
                <w:highlight w:val="none"/>
              </w:rPr>
              <w:t>以</w:t>
            </w:r>
            <w:r>
              <w:rPr>
                <w:bCs/>
                <w:color w:val="auto"/>
                <w:szCs w:val="24"/>
                <w:highlight w:val="none"/>
              </w:rPr>
              <w:t>及对周边敏感点影响等</w:t>
            </w:r>
            <w:r>
              <w:rPr>
                <w:rFonts w:hint="eastAsia"/>
                <w:bCs/>
                <w:color w:val="auto"/>
                <w:szCs w:val="24"/>
                <w:highlight w:val="none"/>
              </w:rPr>
              <w:t>的</w:t>
            </w:r>
            <w:r>
              <w:rPr>
                <w:bCs/>
                <w:color w:val="auto"/>
                <w:szCs w:val="24"/>
                <w:highlight w:val="none"/>
              </w:rPr>
              <w:t>基础上，本着生产工艺流畅、布置紧凑、人物分流、环境整洁美观、减少对外环境影响等因素</w:t>
            </w:r>
            <w:r>
              <w:rPr>
                <w:rFonts w:hint="eastAsia"/>
                <w:bCs/>
                <w:color w:val="auto"/>
                <w:szCs w:val="24"/>
                <w:highlight w:val="none"/>
              </w:rPr>
              <w:t>进行厂区</w:t>
            </w:r>
            <w:r>
              <w:rPr>
                <w:bCs/>
                <w:color w:val="auto"/>
                <w:szCs w:val="24"/>
                <w:highlight w:val="none"/>
              </w:rPr>
              <w:t>布置</w:t>
            </w:r>
            <w:r>
              <w:rPr>
                <w:rFonts w:hint="eastAsia"/>
                <w:bCs/>
                <w:color w:val="auto"/>
                <w:szCs w:val="24"/>
                <w:highlight w:val="none"/>
              </w:rPr>
              <w:t>，</w:t>
            </w:r>
            <w:r>
              <w:rPr>
                <w:bCs/>
                <w:color w:val="auto"/>
                <w:szCs w:val="24"/>
                <w:highlight w:val="none"/>
              </w:rPr>
              <w:t>从总体上来看是合理的。</w:t>
            </w:r>
          </w:p>
          <w:p>
            <w:pPr>
              <w:spacing w:line="500" w:lineRule="exact"/>
              <w:ind w:firstLine="0" w:firstLineChars="0"/>
              <w:rPr>
                <w:b/>
                <w:bCs/>
                <w:color w:val="auto"/>
                <w:szCs w:val="24"/>
                <w:highlight w:val="none"/>
              </w:rPr>
            </w:pPr>
            <w:r>
              <w:rPr>
                <w:rFonts w:hint="eastAsia"/>
                <w:b/>
                <w:bCs/>
                <w:color w:val="auto"/>
                <w:szCs w:val="24"/>
                <w:highlight w:val="none"/>
              </w:rPr>
              <w:t>2.2 工艺流程及产排污环节</w:t>
            </w:r>
          </w:p>
          <w:p>
            <w:pPr>
              <w:ind w:firstLine="0" w:firstLineChars="0"/>
              <w:jc w:val="center"/>
              <w:rPr>
                <w:color w:val="auto"/>
                <w:highlight w:val="none"/>
              </w:rPr>
            </w:pPr>
            <w:r>
              <w:rPr>
                <w:color w:val="auto"/>
                <w:highlight w:val="none"/>
              </w:rPr>
              <w:drawing>
                <wp:inline distT="0" distB="0" distL="114300" distR="114300">
                  <wp:extent cx="4910455" cy="3636645"/>
                  <wp:effectExtent l="0" t="0" r="4445" b="0"/>
                  <wp:docPr id="8" name="ECB019B1-382A-4266-B25C-5B523AA43C14-1" descr="C:/Users/Administrator/AppData/Local/Temp/wps.TvISCF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1" descr="C:/Users/Administrator/AppData/Local/Temp/wps.TvISCFwps"/>
                          <pic:cNvPicPr>
                            <a:picLocks noChangeAspect="1"/>
                          </pic:cNvPicPr>
                        </pic:nvPicPr>
                        <pic:blipFill>
                          <a:blip r:embed="rId17" cstate="print"/>
                          <a:srcRect r="5837" b="601"/>
                          <a:stretch>
                            <a:fillRect/>
                          </a:stretch>
                        </pic:blipFill>
                        <pic:spPr>
                          <a:xfrm>
                            <a:off x="0" y="0"/>
                            <a:ext cx="4910455" cy="3636645"/>
                          </a:xfrm>
                          <a:prstGeom prst="rect">
                            <a:avLst/>
                          </a:prstGeom>
                        </pic:spPr>
                      </pic:pic>
                    </a:graphicData>
                  </a:graphic>
                </wp:inline>
              </w:drawing>
            </w:r>
          </w:p>
          <w:p>
            <w:pPr>
              <w:pStyle w:val="4"/>
              <w:keepNext/>
              <w:spacing w:line="460" w:lineRule="exact"/>
              <w:ind w:firstLine="0" w:firstLineChars="0"/>
              <w:jc w:val="center"/>
              <w:rPr>
                <w:color w:val="auto"/>
                <w:sz w:val="21"/>
                <w:szCs w:val="16"/>
                <w:highlight w:val="none"/>
                <w:lang w:val="en-US"/>
              </w:rPr>
            </w:pPr>
            <w:r>
              <w:rPr>
                <w:rFonts w:ascii="Times New Roman" w:hAnsi="Times New Roman" w:cs="Times New Roman"/>
                <w:color w:val="auto"/>
                <w:sz w:val="21"/>
                <w:szCs w:val="16"/>
                <w:highlight w:val="none"/>
                <w:lang w:val="en-US"/>
              </w:rPr>
              <w:t>图2-2</w:t>
            </w:r>
            <w:r>
              <w:rPr>
                <w:rFonts w:hint="eastAsia" w:ascii="Times New Roman" w:hAnsi="Times New Roman" w:cs="Times New Roman"/>
                <w:color w:val="auto"/>
                <w:sz w:val="21"/>
                <w:szCs w:val="16"/>
                <w:highlight w:val="none"/>
                <w:lang w:val="en-US"/>
              </w:rPr>
              <w:t xml:space="preserve"> </w:t>
            </w:r>
            <w:r>
              <w:rPr>
                <w:rFonts w:hint="eastAsia"/>
                <w:color w:val="auto"/>
                <w:sz w:val="21"/>
                <w:szCs w:val="16"/>
                <w:highlight w:val="none"/>
                <w:lang w:val="en-US"/>
              </w:rPr>
              <w:t xml:space="preserve"> 砂浆生产工艺流程及产污环节（噪声伴随工艺全过程）</w:t>
            </w:r>
          </w:p>
          <w:p>
            <w:pPr>
              <w:spacing w:line="500" w:lineRule="exact"/>
              <w:ind w:firstLine="480"/>
              <w:rPr>
                <w:color w:val="auto"/>
                <w:szCs w:val="22"/>
                <w:highlight w:val="none"/>
              </w:rPr>
            </w:pPr>
            <w:r>
              <w:rPr>
                <w:color w:val="auto"/>
                <w:szCs w:val="22"/>
                <w:highlight w:val="none"/>
              </w:rPr>
              <w:t>生产工艺简介：</w:t>
            </w:r>
          </w:p>
          <w:p>
            <w:pPr>
              <w:spacing w:line="500" w:lineRule="exact"/>
              <w:ind w:firstLine="480"/>
              <w:rPr>
                <w:color w:val="auto"/>
                <w:szCs w:val="22"/>
                <w:highlight w:val="none"/>
              </w:rPr>
            </w:pPr>
            <w:r>
              <w:rPr>
                <w:color w:val="auto"/>
                <w:szCs w:val="22"/>
                <w:highlight w:val="none"/>
              </w:rPr>
              <w:t>特种砂浆的生产是以外购的</w:t>
            </w:r>
            <w:r>
              <w:rPr>
                <w:rFonts w:hint="eastAsia"/>
                <w:color w:val="auto"/>
                <w:szCs w:val="22"/>
                <w:highlight w:val="none"/>
              </w:rPr>
              <w:t>水泥、粉煤灰、机制砂、灰钙粉、玻化微珠和添加剂</w:t>
            </w:r>
            <w:r>
              <w:rPr>
                <w:color w:val="auto"/>
                <w:szCs w:val="22"/>
                <w:highlight w:val="none"/>
              </w:rPr>
              <w:t>为原料，</w:t>
            </w:r>
            <w:r>
              <w:rPr>
                <w:rFonts w:hint="eastAsia"/>
                <w:color w:val="auto"/>
                <w:szCs w:val="22"/>
                <w:highlight w:val="none"/>
              </w:rPr>
              <w:t>其中水泥、玻化微珠、灰钙粉和粉煤灰是由储罐车运输至厂区内，通过车辆的专用管道与厂方相应输送管对接，再通过车辆的泵机将原料通过气体输送至原料储罐中；机制砂通过通过车辆运输至厂房内，倒入料斗，通过提升机输送至机制砂储罐内，提升机输送过程全封闭，无粉尘逸出；本项目使用添加剂为减水剂、胶料粉等物质组成，车辆先将减水剂、胶粉料等添加剂运输至厂房内，根据产品配比将不同添加剂人工放置到添加剂搅拌仓内，投料完成后关闭顶部投料口，通过搅拌仓内部的小型搅拌机对各类添加剂进行混合搅拌。根据生产配方设定好的数据，由电脑控制系统根据配方不同将原料自动计量，各个原料通过输送管道进入混合罐，待原料添加完毕，混合罐内</w:t>
            </w:r>
            <w:r>
              <w:rPr>
                <w:color w:val="auto"/>
                <w:szCs w:val="22"/>
                <w:highlight w:val="none"/>
              </w:rPr>
              <w:t>混合机</w:t>
            </w:r>
            <w:r>
              <w:rPr>
                <w:rFonts w:hint="eastAsia"/>
                <w:color w:val="auto"/>
                <w:szCs w:val="22"/>
                <w:highlight w:val="none"/>
              </w:rPr>
              <w:t>开始</w:t>
            </w:r>
            <w:r>
              <w:rPr>
                <w:color w:val="auto"/>
                <w:szCs w:val="22"/>
                <w:highlight w:val="none"/>
              </w:rPr>
              <w:t>混合搅拌，</w:t>
            </w:r>
            <w:r>
              <w:rPr>
                <w:rFonts w:hint="eastAsia"/>
                <w:color w:val="auto"/>
                <w:szCs w:val="22"/>
                <w:highlight w:val="none"/>
              </w:rPr>
              <w:t>混合完成后即通过管道输送至成品储罐暂存，成品砂浆通过包装机进行自动称量装袋，包装过程均为密闭环境，仅有少数粉尘在包装袋缝隙中逸出。装袋完成后通过码垛机将袋装砂浆码垛成型，方便运输管理。随后通过叉车转运至成品仓库待售。</w:t>
            </w:r>
          </w:p>
          <w:p>
            <w:pPr>
              <w:spacing w:line="500" w:lineRule="exact"/>
              <w:ind w:firstLine="480"/>
              <w:rPr>
                <w:color w:val="auto"/>
                <w:szCs w:val="28"/>
                <w:highlight w:val="none"/>
              </w:rPr>
            </w:pPr>
            <w:r>
              <w:rPr>
                <w:color w:val="auto"/>
                <w:szCs w:val="28"/>
                <w:highlight w:val="none"/>
              </w:rPr>
              <w:t>项目</w:t>
            </w:r>
            <w:r>
              <w:rPr>
                <w:rFonts w:hint="eastAsia"/>
                <w:color w:val="auto"/>
                <w:szCs w:val="28"/>
                <w:highlight w:val="none"/>
              </w:rPr>
              <w:t>营运期</w:t>
            </w:r>
            <w:r>
              <w:rPr>
                <w:color w:val="auto"/>
                <w:szCs w:val="28"/>
                <w:highlight w:val="none"/>
              </w:rPr>
              <w:t>污染源具体分析见</w:t>
            </w:r>
            <w:r>
              <w:rPr>
                <w:rFonts w:hint="eastAsia"/>
                <w:color w:val="auto"/>
                <w:szCs w:val="28"/>
                <w:highlight w:val="none"/>
              </w:rPr>
              <w:t>表2-10。</w:t>
            </w:r>
          </w:p>
          <w:p>
            <w:pPr>
              <w:spacing w:line="460" w:lineRule="exact"/>
              <w:ind w:firstLine="422"/>
              <w:jc w:val="center"/>
              <w:rPr>
                <w:b/>
                <w:bCs/>
                <w:color w:val="auto"/>
                <w:sz w:val="21"/>
                <w:highlight w:val="none"/>
              </w:rPr>
            </w:pPr>
            <w:r>
              <w:rPr>
                <w:b/>
                <w:bCs/>
                <w:color w:val="auto"/>
                <w:sz w:val="21"/>
                <w:highlight w:val="none"/>
              </w:rPr>
              <w:t>表</w:t>
            </w:r>
            <w:r>
              <w:rPr>
                <w:rFonts w:hint="eastAsia"/>
                <w:b/>
                <w:bCs/>
                <w:color w:val="auto"/>
                <w:sz w:val="21"/>
                <w:highlight w:val="none"/>
              </w:rPr>
              <w:t xml:space="preserve">2-10 </w:t>
            </w:r>
            <w:r>
              <w:rPr>
                <w:b/>
                <w:bCs/>
                <w:color w:val="auto"/>
                <w:sz w:val="21"/>
                <w:highlight w:val="none"/>
              </w:rPr>
              <w:t>营运期主要污染工序一览表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188"/>
              <w:gridCol w:w="1437"/>
              <w:gridCol w:w="279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污染类别</w:t>
                  </w:r>
                </w:p>
              </w:tc>
              <w:tc>
                <w:tcPr>
                  <w:tcW w:w="118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编号</w:t>
                  </w:r>
                </w:p>
              </w:tc>
              <w:tc>
                <w:tcPr>
                  <w:tcW w:w="14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污染源名称</w:t>
                  </w:r>
                </w:p>
              </w:tc>
              <w:tc>
                <w:tcPr>
                  <w:tcW w:w="2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产生工序</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16"/>
                      <w:highlight w:val="none"/>
                    </w:rPr>
                    <w:t>YG1</w:t>
                  </w:r>
                </w:p>
              </w:tc>
              <w:tc>
                <w:tcPr>
                  <w:tcW w:w="14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车辆扬尘</w:t>
                  </w:r>
                </w:p>
              </w:tc>
              <w:tc>
                <w:tcPr>
                  <w:tcW w:w="2797" w:type="dxa"/>
                  <w:noWrap/>
                  <w:vAlign w:val="center"/>
                </w:tcPr>
                <w:p>
                  <w:pPr>
                    <w:spacing w:line="240" w:lineRule="auto"/>
                    <w:ind w:firstLine="0" w:firstLineChars="0"/>
                    <w:jc w:val="center"/>
                    <w:rPr>
                      <w:color w:val="auto"/>
                      <w:sz w:val="21"/>
                      <w:szCs w:val="21"/>
                      <w:highlight w:val="none"/>
                    </w:rPr>
                  </w:pPr>
                  <w:r>
                    <w:rPr>
                      <w:bCs/>
                      <w:color w:val="auto"/>
                      <w:sz w:val="21"/>
                      <w:szCs w:val="21"/>
                      <w:highlight w:val="none"/>
                    </w:rPr>
                    <w:t>运输车辆行驶</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YG2</w:t>
                  </w:r>
                </w:p>
              </w:tc>
              <w:tc>
                <w:tcPr>
                  <w:tcW w:w="143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投料粉尘</w:t>
                  </w:r>
                </w:p>
              </w:tc>
              <w:tc>
                <w:tcPr>
                  <w:tcW w:w="2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机制砂和添加剂的投料过程</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YG3</w:t>
                  </w:r>
                </w:p>
              </w:tc>
              <w:tc>
                <w:tcPr>
                  <w:tcW w:w="143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进料粉尘</w:t>
                  </w:r>
                </w:p>
              </w:tc>
              <w:tc>
                <w:tcPr>
                  <w:tcW w:w="2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原料储罐、成品仓</w:t>
                  </w:r>
                </w:p>
              </w:tc>
              <w:tc>
                <w:tcPr>
                  <w:tcW w:w="1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YG4</w:t>
                  </w:r>
                </w:p>
              </w:tc>
              <w:tc>
                <w:tcPr>
                  <w:tcW w:w="143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混合仓搅拌粉尘</w:t>
                  </w:r>
                </w:p>
              </w:tc>
              <w:tc>
                <w:tcPr>
                  <w:tcW w:w="2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混合搅拌过程</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YG5</w:t>
                  </w:r>
                </w:p>
              </w:tc>
              <w:tc>
                <w:tcPr>
                  <w:tcW w:w="143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添加剂搅拌粉尘</w:t>
                  </w:r>
                </w:p>
              </w:tc>
              <w:tc>
                <w:tcPr>
                  <w:tcW w:w="2797" w:type="dxa"/>
                  <w:noWrap/>
                  <w:vAlign w:val="center"/>
                </w:tcPr>
                <w:p>
                  <w:pPr>
                    <w:spacing w:line="240" w:lineRule="auto"/>
                    <w:ind w:firstLine="0" w:firstLineChars="0"/>
                    <w:jc w:val="center"/>
                    <w:rPr>
                      <w:color w:val="auto"/>
                      <w:highlight w:val="none"/>
                    </w:rPr>
                  </w:pPr>
                  <w:r>
                    <w:rPr>
                      <w:rFonts w:hint="eastAsia"/>
                      <w:color w:val="auto"/>
                      <w:highlight w:val="none"/>
                    </w:rPr>
                    <w:t>添加剂搅拌过程</w:t>
                  </w:r>
                </w:p>
              </w:tc>
              <w:tc>
                <w:tcPr>
                  <w:tcW w:w="1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YG6</w:t>
                  </w:r>
                </w:p>
              </w:tc>
              <w:tc>
                <w:tcPr>
                  <w:tcW w:w="14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包装粉尘</w:t>
                  </w:r>
                </w:p>
              </w:tc>
              <w:tc>
                <w:tcPr>
                  <w:tcW w:w="2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包装</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废水</w:t>
                  </w: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YW1</w:t>
                  </w:r>
                </w:p>
              </w:tc>
              <w:tc>
                <w:tcPr>
                  <w:tcW w:w="14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生活污水</w:t>
                  </w:r>
                </w:p>
              </w:tc>
              <w:tc>
                <w:tcPr>
                  <w:tcW w:w="2797" w:type="dxa"/>
                  <w:noWrap/>
                  <w:vAlign w:val="center"/>
                </w:tcPr>
                <w:p>
                  <w:pPr>
                    <w:spacing w:line="240" w:lineRule="auto"/>
                    <w:ind w:firstLine="0" w:firstLineChars="0"/>
                    <w:jc w:val="center"/>
                    <w:rPr>
                      <w:color w:val="auto"/>
                      <w:sz w:val="21"/>
                      <w:szCs w:val="21"/>
                      <w:highlight w:val="none"/>
                      <w:lang w:val="zh-CN"/>
                    </w:rPr>
                  </w:pPr>
                  <w:r>
                    <w:rPr>
                      <w:bCs/>
                      <w:color w:val="auto"/>
                      <w:sz w:val="21"/>
                      <w:szCs w:val="21"/>
                      <w:highlight w:val="none"/>
                    </w:rPr>
                    <w:t>职工生活</w:t>
                  </w:r>
                </w:p>
              </w:tc>
              <w:tc>
                <w:tcPr>
                  <w:tcW w:w="1797" w:type="dxa"/>
                  <w:noWrap/>
                  <w:vAlign w:val="center"/>
                </w:tcPr>
                <w:p>
                  <w:pPr>
                    <w:spacing w:line="240" w:lineRule="auto"/>
                    <w:ind w:firstLine="0" w:firstLineChars="0"/>
                    <w:jc w:val="center"/>
                    <w:rPr>
                      <w:color w:val="auto"/>
                      <w:sz w:val="21"/>
                      <w:szCs w:val="21"/>
                      <w:highlight w:val="none"/>
                    </w:rPr>
                  </w:pPr>
                  <w:r>
                    <w:rPr>
                      <w:bCs/>
                      <w:color w:val="auto"/>
                      <w:sz w:val="21"/>
                      <w:szCs w:val="21"/>
                      <w:highlight w:val="none"/>
                    </w:rPr>
                    <w:t>COD</w:t>
                  </w:r>
                  <w:r>
                    <w:rPr>
                      <w:bCs/>
                      <w:color w:val="auto"/>
                      <w:sz w:val="21"/>
                      <w:szCs w:val="21"/>
                      <w:highlight w:val="none"/>
                      <w:vertAlign w:val="subscript"/>
                    </w:rPr>
                    <w:t>Cr</w:t>
                  </w:r>
                  <w:r>
                    <w:rPr>
                      <w:bCs/>
                      <w:color w:val="auto"/>
                      <w:sz w:val="21"/>
                      <w:szCs w:val="21"/>
                      <w:highlight w:val="none"/>
                    </w:rPr>
                    <w:t>、NH</w:t>
                  </w:r>
                  <w:r>
                    <w:rPr>
                      <w:bCs/>
                      <w:color w:val="auto"/>
                      <w:sz w:val="21"/>
                      <w:szCs w:val="21"/>
                      <w:highlight w:val="none"/>
                      <w:vertAlign w:val="subscript"/>
                    </w:rPr>
                    <w:t>3</w:t>
                  </w:r>
                  <w:r>
                    <w:rPr>
                      <w:bCs/>
                      <w:color w:val="auto"/>
                      <w:sz w:val="21"/>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固废</w:t>
                  </w: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YS1</w:t>
                  </w:r>
                </w:p>
              </w:tc>
              <w:tc>
                <w:tcPr>
                  <w:tcW w:w="143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生活固废</w:t>
                  </w:r>
                </w:p>
              </w:tc>
              <w:tc>
                <w:tcPr>
                  <w:tcW w:w="2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职工生活</w:t>
                  </w:r>
                </w:p>
              </w:tc>
              <w:tc>
                <w:tcPr>
                  <w:tcW w:w="1797" w:type="dxa"/>
                  <w:noWrap/>
                  <w:vAlign w:val="center"/>
                </w:tcPr>
                <w:p>
                  <w:pPr>
                    <w:spacing w:line="240" w:lineRule="auto"/>
                    <w:ind w:firstLine="0" w:firstLineChars="0"/>
                    <w:jc w:val="center"/>
                    <w:rPr>
                      <w:color w:val="auto"/>
                      <w:sz w:val="21"/>
                      <w:szCs w:val="21"/>
                      <w:highlight w:val="none"/>
                      <w:lang w:val="zh-CN"/>
                    </w:rPr>
                  </w:pPr>
                  <w:r>
                    <w:rPr>
                      <w:color w:val="auto"/>
                      <w:sz w:val="21"/>
                      <w:szCs w:val="21"/>
                      <w:highlight w:val="none"/>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vMerge w:val="restar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YS2</w:t>
                  </w:r>
                </w:p>
              </w:tc>
              <w:tc>
                <w:tcPr>
                  <w:tcW w:w="1437"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生产固废</w:t>
                  </w:r>
                </w:p>
              </w:tc>
              <w:tc>
                <w:tcPr>
                  <w:tcW w:w="2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工艺粉尘收集过程</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收集的粉尘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vMerge w:val="continue"/>
                  <w:noWrap/>
                  <w:vAlign w:val="center"/>
                </w:tcPr>
                <w:p>
                  <w:pPr>
                    <w:spacing w:line="240" w:lineRule="auto"/>
                    <w:ind w:firstLine="0" w:firstLineChars="0"/>
                    <w:jc w:val="center"/>
                    <w:rPr>
                      <w:color w:val="auto"/>
                      <w:sz w:val="21"/>
                      <w:szCs w:val="21"/>
                      <w:highlight w:val="none"/>
                    </w:rPr>
                  </w:pPr>
                </w:p>
              </w:tc>
              <w:tc>
                <w:tcPr>
                  <w:tcW w:w="1437" w:type="dxa"/>
                  <w:vMerge w:val="continue"/>
                  <w:noWrap/>
                  <w:vAlign w:val="center"/>
                </w:tcPr>
                <w:p>
                  <w:pPr>
                    <w:spacing w:line="240" w:lineRule="auto"/>
                    <w:ind w:firstLine="0" w:firstLineChars="0"/>
                    <w:jc w:val="center"/>
                    <w:rPr>
                      <w:color w:val="auto"/>
                      <w:sz w:val="21"/>
                      <w:szCs w:val="21"/>
                      <w:highlight w:val="none"/>
                    </w:rPr>
                  </w:pPr>
                </w:p>
              </w:tc>
              <w:tc>
                <w:tcPr>
                  <w:tcW w:w="2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原料使用</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废包装袋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vMerge w:val="continue"/>
                  <w:noWrap/>
                  <w:vAlign w:val="center"/>
                </w:tcPr>
                <w:p>
                  <w:pPr>
                    <w:spacing w:line="240" w:lineRule="auto"/>
                    <w:ind w:firstLine="0" w:firstLineChars="0"/>
                    <w:jc w:val="center"/>
                    <w:rPr>
                      <w:color w:val="auto"/>
                      <w:sz w:val="21"/>
                      <w:szCs w:val="21"/>
                      <w:highlight w:val="none"/>
                    </w:rPr>
                  </w:pPr>
                </w:p>
              </w:tc>
              <w:tc>
                <w:tcPr>
                  <w:tcW w:w="1188" w:type="dxa"/>
                  <w:vMerge w:val="continue"/>
                  <w:noWrap/>
                  <w:vAlign w:val="center"/>
                </w:tcPr>
                <w:p>
                  <w:pPr>
                    <w:spacing w:line="240" w:lineRule="auto"/>
                    <w:ind w:firstLine="0" w:firstLineChars="0"/>
                    <w:jc w:val="center"/>
                    <w:rPr>
                      <w:color w:val="auto"/>
                      <w:sz w:val="21"/>
                      <w:szCs w:val="21"/>
                      <w:highlight w:val="none"/>
                    </w:rPr>
                  </w:pPr>
                </w:p>
              </w:tc>
              <w:tc>
                <w:tcPr>
                  <w:tcW w:w="1437" w:type="dxa"/>
                  <w:vMerge w:val="continue"/>
                  <w:noWrap/>
                  <w:vAlign w:val="center"/>
                </w:tcPr>
                <w:p>
                  <w:pPr>
                    <w:spacing w:line="240" w:lineRule="auto"/>
                    <w:ind w:firstLine="0" w:firstLineChars="0"/>
                    <w:jc w:val="center"/>
                    <w:rPr>
                      <w:color w:val="auto"/>
                      <w:sz w:val="21"/>
                      <w:szCs w:val="21"/>
                      <w:highlight w:val="none"/>
                    </w:rPr>
                  </w:pPr>
                </w:p>
              </w:tc>
              <w:tc>
                <w:tcPr>
                  <w:tcW w:w="2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设备维修保养</w:t>
                  </w:r>
                </w:p>
              </w:tc>
              <w:tc>
                <w:tcPr>
                  <w:tcW w:w="179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废机油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c>
                <w:tcPr>
                  <w:tcW w:w="118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YN1</w:t>
                  </w:r>
                </w:p>
              </w:tc>
              <w:tc>
                <w:tcPr>
                  <w:tcW w:w="1437" w:type="dxa"/>
                  <w:noWrap/>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机械噪声</w:t>
                  </w:r>
                </w:p>
              </w:tc>
              <w:tc>
                <w:tcPr>
                  <w:tcW w:w="2797" w:type="dxa"/>
                  <w:noWrap/>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机械设备运行</w:t>
                  </w:r>
                </w:p>
              </w:tc>
              <w:tc>
                <w:tcPr>
                  <w:tcW w:w="1797" w:type="dxa"/>
                  <w:noWrap/>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6" w:type="dxa"/>
                  <w:gridSpan w:val="2"/>
                  <w:noWrap/>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生态</w:t>
                  </w:r>
                </w:p>
              </w:tc>
              <w:tc>
                <w:tcPr>
                  <w:tcW w:w="6031" w:type="dxa"/>
                  <w:gridSpan w:val="3"/>
                  <w:noWrap/>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基本不对当地生态环境产生影响</w:t>
                  </w:r>
                </w:p>
              </w:tc>
            </w:tr>
          </w:tbl>
          <w:p>
            <w:pPr>
              <w:pStyle w:val="17"/>
              <w:spacing w:line="500" w:lineRule="exact"/>
              <w:ind w:firstLineChars="0"/>
              <w:rPr>
                <w:b/>
                <w:bCs/>
                <w:color w:val="auto"/>
                <w:highlight w:val="none"/>
              </w:rPr>
            </w:pPr>
            <w:r>
              <w:rPr>
                <w:rFonts w:hint="eastAsia"/>
                <w:b/>
                <w:bCs/>
                <w:color w:val="auto"/>
                <w:highlight w:val="none"/>
              </w:rPr>
              <w:t>2.3与项目有关的原有环境污染问题</w:t>
            </w:r>
          </w:p>
          <w:p>
            <w:pPr>
              <w:spacing w:line="500" w:lineRule="exact"/>
              <w:ind w:firstLine="480"/>
              <w:rPr>
                <w:color w:val="auto"/>
                <w:highlight w:val="none"/>
              </w:rPr>
            </w:pPr>
            <w:r>
              <w:rPr>
                <w:rFonts w:hint="eastAsia"/>
                <w:bCs/>
                <w:color w:val="auto"/>
                <w:highlight w:val="none"/>
              </w:rPr>
              <w:t>本项目系租用德清扬泰建筑材料</w:t>
            </w:r>
            <w:r>
              <w:rPr>
                <w:rFonts w:hint="eastAsia"/>
                <w:color w:val="auto"/>
                <w:highlight w:val="none"/>
              </w:rPr>
              <w:t>有限公司</w:t>
            </w:r>
            <w:r>
              <w:rPr>
                <w:rFonts w:hint="eastAsia"/>
                <w:bCs/>
                <w:color w:val="auto"/>
                <w:highlight w:val="none"/>
              </w:rPr>
              <w:t>闲置工业厂房组织生产，目前该车间内原有生产设备已全部搬离，</w:t>
            </w:r>
            <w:r>
              <w:rPr>
                <w:bCs/>
                <w:color w:val="auto"/>
                <w:highlight w:val="none"/>
              </w:rPr>
              <w:t>即与本项目有关的原有污染情况及环境问题已经消失。</w:t>
            </w:r>
          </w:p>
          <w:p>
            <w:pPr>
              <w:spacing w:line="500" w:lineRule="exact"/>
              <w:ind w:firstLine="480"/>
              <w:rPr>
                <w:color w:val="auto"/>
                <w:szCs w:val="24"/>
                <w:highlight w:val="none"/>
              </w:rPr>
            </w:pPr>
            <w:r>
              <w:rPr>
                <w:rFonts w:hint="eastAsia"/>
                <w:color w:val="auto"/>
                <w:szCs w:val="24"/>
                <w:highlight w:val="none"/>
              </w:rPr>
              <w:t>本项目出租方—德清扬泰建筑材料有限公司于2007年12月取得德清县环保局德环建[2007]323号批文，同意德清扬泰建筑材料有限公司在德清县苕溪东街1155号实施“年产10万吨干粉砂浆建设项目”，项目于2010年5月通过验收，验收文号为德环验（2010）058号。</w:t>
            </w: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480"/>
              <w:rPr>
                <w:color w:val="auto"/>
                <w:szCs w:val="24"/>
                <w:highlight w:val="none"/>
              </w:rPr>
            </w:pPr>
          </w:p>
          <w:p>
            <w:pPr>
              <w:spacing w:line="500" w:lineRule="exact"/>
              <w:ind w:firstLine="0" w:firstLineChars="0"/>
              <w:rPr>
                <w:color w:val="auto"/>
                <w:szCs w:val="24"/>
                <w:highlight w:val="none"/>
              </w:rPr>
            </w:pPr>
          </w:p>
        </w:tc>
      </w:tr>
    </w:tbl>
    <w:p>
      <w:pPr>
        <w:ind w:firstLine="0" w:firstLineChars="0"/>
        <w:rPr>
          <w:color w:val="auto"/>
          <w:highlight w:val="none"/>
        </w:rPr>
        <w:sectPr>
          <w:pgSz w:w="11906" w:h="16838"/>
          <w:pgMar w:top="1559" w:right="1559" w:bottom="1559" w:left="1559" w:header="851" w:footer="992" w:gutter="0"/>
          <w:cols w:space="720" w:num="1"/>
          <w:docGrid w:type="lines" w:linePitch="312" w:charSpace="0"/>
        </w:sectPr>
      </w:pPr>
    </w:p>
    <w:p>
      <w:pPr>
        <w:spacing w:line="500" w:lineRule="exact"/>
        <w:ind w:firstLine="0" w:firstLineChars="0"/>
        <w:jc w:val="center"/>
        <w:outlineLvl w:val="0"/>
        <w:rPr>
          <w:rFonts w:hAnsi="宋体"/>
          <w:b/>
          <w:color w:val="auto"/>
          <w:sz w:val="28"/>
          <w:szCs w:val="28"/>
          <w:highlight w:val="none"/>
        </w:rPr>
      </w:pPr>
      <w:bookmarkStart w:id="3" w:name="_Toc10379"/>
      <w:bookmarkStart w:id="4" w:name="_Toc21086"/>
      <w:r>
        <w:rPr>
          <w:rFonts w:hint="eastAsia" w:hAnsi="宋体"/>
          <w:b/>
          <w:color w:val="auto"/>
          <w:sz w:val="28"/>
          <w:szCs w:val="28"/>
          <w:highlight w:val="none"/>
        </w:rPr>
        <w:t>三、区域环境质量现状、环境保护目标及评价标准</w:t>
      </w:r>
      <w:bookmarkEnd w:id="3"/>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5000" w:type="pct"/>
            <w:noWrap/>
          </w:tcPr>
          <w:p>
            <w:pPr>
              <w:tabs>
                <w:tab w:val="left" w:pos="930"/>
              </w:tabs>
              <w:spacing w:line="500" w:lineRule="exact"/>
              <w:ind w:firstLine="0" w:firstLineChars="0"/>
              <w:rPr>
                <w:rFonts w:hAnsi="宋体"/>
                <w:b/>
                <w:bCs/>
                <w:color w:val="auto"/>
                <w:highlight w:val="none"/>
              </w:rPr>
            </w:pPr>
            <w:r>
              <w:rPr>
                <w:rFonts w:hint="eastAsia" w:hAnsi="宋体"/>
                <w:b/>
                <w:bCs/>
                <w:color w:val="auto"/>
                <w:highlight w:val="none"/>
              </w:rPr>
              <w:t>3.1区域环境质量现状</w:t>
            </w:r>
          </w:p>
          <w:p>
            <w:pPr>
              <w:tabs>
                <w:tab w:val="left" w:pos="930"/>
              </w:tabs>
              <w:spacing w:line="500" w:lineRule="exact"/>
              <w:ind w:firstLine="0" w:firstLineChars="0"/>
              <w:rPr>
                <w:b/>
                <w:bCs/>
                <w:color w:val="auto"/>
                <w:highlight w:val="none"/>
              </w:rPr>
            </w:pPr>
            <w:r>
              <w:rPr>
                <w:rFonts w:hint="eastAsia" w:hAnsi="宋体"/>
                <w:b/>
                <w:bCs/>
                <w:color w:val="auto"/>
                <w:highlight w:val="none"/>
              </w:rPr>
              <w:t xml:space="preserve">3.1.1 </w:t>
            </w:r>
            <w:r>
              <w:rPr>
                <w:rFonts w:hAnsi="宋体"/>
                <w:b/>
                <w:bCs/>
                <w:color w:val="auto"/>
                <w:highlight w:val="none"/>
              </w:rPr>
              <w:t>地表水环境质量现状</w:t>
            </w:r>
          </w:p>
          <w:p>
            <w:pPr>
              <w:spacing w:line="500" w:lineRule="exact"/>
              <w:ind w:firstLine="480"/>
              <w:rPr>
                <w:color w:val="auto"/>
                <w:szCs w:val="24"/>
                <w:highlight w:val="none"/>
              </w:rPr>
            </w:pPr>
            <w:r>
              <w:rPr>
                <w:rFonts w:hint="eastAsia" w:ascii="宋体" w:hAnsi="宋体" w:cs="宋体"/>
                <w:color w:val="auto"/>
                <w:kern w:val="0"/>
                <w:szCs w:val="24"/>
                <w:highlight w:val="none"/>
              </w:rPr>
              <w:t>项目新厂区周边水体为龙溪，位于项目北侧距厂界约</w:t>
            </w:r>
            <w:r>
              <w:rPr>
                <w:rFonts w:hint="eastAsia"/>
                <w:color w:val="auto"/>
                <w:kern w:val="0"/>
                <w:szCs w:val="24"/>
                <w:highlight w:val="none"/>
              </w:rPr>
              <w:t>800m</w:t>
            </w:r>
            <w:r>
              <w:rPr>
                <w:rFonts w:hint="eastAsia" w:ascii="宋体" w:hAnsi="宋体" w:cs="宋体"/>
                <w:color w:val="auto"/>
                <w:kern w:val="0"/>
                <w:szCs w:val="24"/>
                <w:highlight w:val="none"/>
              </w:rPr>
              <w:t>处；根据《浙江省水功能区水环境功能区划分方案报告》，其目标水质为Ⅲ类，</w:t>
            </w:r>
            <w:r>
              <w:rPr>
                <w:color w:val="auto"/>
                <w:szCs w:val="24"/>
                <w:highlight w:val="none"/>
              </w:rPr>
              <w:t>水质</w:t>
            </w:r>
            <w:r>
              <w:rPr>
                <w:rFonts w:hint="eastAsia"/>
                <w:color w:val="auto"/>
                <w:szCs w:val="24"/>
                <w:highlight w:val="none"/>
              </w:rPr>
              <w:t>执行</w:t>
            </w:r>
            <w:r>
              <w:rPr>
                <w:color w:val="auto"/>
                <w:szCs w:val="24"/>
                <w:highlight w:val="none"/>
              </w:rPr>
              <w:t>《地表水环境质量标准》（GB3838-2002）中的Ⅲ类标准</w:t>
            </w:r>
            <w:r>
              <w:rPr>
                <w:rFonts w:hint="eastAsia"/>
                <w:color w:val="auto"/>
                <w:szCs w:val="24"/>
                <w:highlight w:val="none"/>
              </w:rPr>
              <w:t>的限值要求</w:t>
            </w:r>
            <w:r>
              <w:rPr>
                <w:color w:val="auto"/>
                <w:szCs w:val="24"/>
                <w:highlight w:val="none"/>
              </w:rPr>
              <w:t>。地表水环境质量现状</w:t>
            </w:r>
            <w:r>
              <w:rPr>
                <w:rFonts w:hint="eastAsia"/>
                <w:color w:val="auto"/>
                <w:szCs w:val="24"/>
                <w:highlight w:val="none"/>
              </w:rPr>
              <w:t>评价</w:t>
            </w:r>
            <w:r>
              <w:rPr>
                <w:rFonts w:hint="eastAsia"/>
                <w:color w:val="auto"/>
                <w:highlight w:val="none"/>
              </w:rPr>
              <w:t>引用</w:t>
            </w:r>
            <w:r>
              <w:rPr>
                <w:color w:val="auto"/>
                <w:szCs w:val="22"/>
                <w:highlight w:val="none"/>
              </w:rPr>
              <w:t>《</w:t>
            </w:r>
            <w:r>
              <w:rPr>
                <w:color w:val="auto"/>
                <w:szCs w:val="24"/>
                <w:highlight w:val="none"/>
              </w:rPr>
              <w:t>20</w:t>
            </w:r>
            <w:r>
              <w:rPr>
                <w:rFonts w:hint="eastAsia"/>
                <w:color w:val="auto"/>
                <w:szCs w:val="24"/>
                <w:highlight w:val="none"/>
              </w:rPr>
              <w:t>20</w:t>
            </w:r>
            <w:r>
              <w:rPr>
                <w:color w:val="auto"/>
                <w:szCs w:val="24"/>
                <w:highlight w:val="none"/>
              </w:rPr>
              <w:t>年度德清县环境质量报告书</w:t>
            </w:r>
            <w:r>
              <w:rPr>
                <w:color w:val="auto"/>
                <w:szCs w:val="22"/>
                <w:highlight w:val="none"/>
              </w:rPr>
              <w:t>》中的监测数据</w:t>
            </w:r>
            <w:r>
              <w:rPr>
                <w:color w:val="auto"/>
                <w:highlight w:val="none"/>
              </w:rPr>
              <w:t>，</w:t>
            </w:r>
            <w:r>
              <w:rPr>
                <w:color w:val="auto"/>
                <w:szCs w:val="24"/>
                <w:highlight w:val="none"/>
              </w:rPr>
              <w:t>见表3-</w:t>
            </w:r>
            <w:r>
              <w:rPr>
                <w:rFonts w:hint="eastAsia"/>
                <w:color w:val="auto"/>
                <w:szCs w:val="24"/>
                <w:highlight w:val="none"/>
              </w:rPr>
              <w:t>1</w:t>
            </w:r>
            <w:r>
              <w:rPr>
                <w:color w:val="auto"/>
                <w:szCs w:val="24"/>
                <w:highlight w:val="none"/>
              </w:rPr>
              <w:t>。</w:t>
            </w:r>
          </w:p>
          <w:p>
            <w:pPr>
              <w:spacing w:line="500" w:lineRule="exact"/>
              <w:ind w:firstLine="0" w:firstLineChars="0"/>
              <w:jc w:val="center"/>
              <w:rPr>
                <w:b/>
                <w:bCs/>
                <w:color w:val="auto"/>
                <w:sz w:val="21"/>
                <w:szCs w:val="16"/>
                <w:highlight w:val="none"/>
              </w:rPr>
            </w:pPr>
            <w:r>
              <w:rPr>
                <w:rFonts w:hint="eastAsia"/>
                <w:b/>
                <w:bCs/>
                <w:color w:val="auto"/>
                <w:sz w:val="21"/>
                <w:szCs w:val="16"/>
                <w:highlight w:val="none"/>
              </w:rPr>
              <w:t>表3-1  龙溪水质监测结果与评价</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815"/>
              <w:gridCol w:w="1015"/>
              <w:gridCol w:w="957"/>
              <w:gridCol w:w="1171"/>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99" w:type="dxa"/>
                  <w:vMerge w:val="restart"/>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监测点位</w:t>
                  </w:r>
                </w:p>
              </w:tc>
              <w:tc>
                <w:tcPr>
                  <w:tcW w:w="1815" w:type="dxa"/>
                  <w:vMerge w:val="restart"/>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高锰酸盐指数</w:t>
                  </w:r>
                </w:p>
              </w:tc>
              <w:tc>
                <w:tcPr>
                  <w:tcW w:w="1015" w:type="dxa"/>
                  <w:vMerge w:val="restart"/>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氨氮</w:t>
                  </w:r>
                </w:p>
              </w:tc>
              <w:tc>
                <w:tcPr>
                  <w:tcW w:w="957" w:type="dxa"/>
                  <w:vMerge w:val="restart"/>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总磷</w:t>
                  </w:r>
                </w:p>
              </w:tc>
              <w:tc>
                <w:tcPr>
                  <w:tcW w:w="1171" w:type="dxa"/>
                  <w:vMerge w:val="restart"/>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悬浮物</w:t>
                  </w:r>
                </w:p>
              </w:tc>
              <w:tc>
                <w:tcPr>
                  <w:tcW w:w="1947"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水质类别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599" w:type="dxa"/>
                  <w:vMerge w:val="continue"/>
                  <w:noWrap/>
                  <w:vAlign w:val="center"/>
                </w:tcPr>
                <w:p>
                  <w:pPr>
                    <w:spacing w:line="240" w:lineRule="auto"/>
                    <w:ind w:firstLine="0" w:firstLineChars="0"/>
                    <w:jc w:val="center"/>
                    <w:rPr>
                      <w:b/>
                      <w:bCs/>
                      <w:color w:val="auto"/>
                      <w:sz w:val="21"/>
                      <w:szCs w:val="21"/>
                      <w:highlight w:val="none"/>
                    </w:rPr>
                  </w:pPr>
                </w:p>
              </w:tc>
              <w:tc>
                <w:tcPr>
                  <w:tcW w:w="1815" w:type="dxa"/>
                  <w:vMerge w:val="continue"/>
                  <w:noWrap/>
                  <w:vAlign w:val="center"/>
                </w:tcPr>
                <w:p>
                  <w:pPr>
                    <w:spacing w:line="240" w:lineRule="auto"/>
                    <w:ind w:firstLine="0" w:firstLineChars="0"/>
                    <w:jc w:val="center"/>
                    <w:rPr>
                      <w:b/>
                      <w:bCs/>
                      <w:color w:val="auto"/>
                      <w:sz w:val="21"/>
                      <w:szCs w:val="21"/>
                      <w:highlight w:val="none"/>
                    </w:rPr>
                  </w:pPr>
                </w:p>
              </w:tc>
              <w:tc>
                <w:tcPr>
                  <w:tcW w:w="1015" w:type="dxa"/>
                  <w:vMerge w:val="continue"/>
                  <w:noWrap/>
                  <w:vAlign w:val="center"/>
                </w:tcPr>
                <w:p>
                  <w:pPr>
                    <w:spacing w:line="240" w:lineRule="auto"/>
                    <w:ind w:firstLine="0" w:firstLineChars="0"/>
                    <w:jc w:val="center"/>
                    <w:rPr>
                      <w:b/>
                      <w:bCs/>
                      <w:color w:val="auto"/>
                      <w:sz w:val="21"/>
                      <w:szCs w:val="21"/>
                      <w:highlight w:val="none"/>
                    </w:rPr>
                  </w:pPr>
                </w:p>
              </w:tc>
              <w:tc>
                <w:tcPr>
                  <w:tcW w:w="957" w:type="dxa"/>
                  <w:vMerge w:val="continue"/>
                  <w:noWrap/>
                  <w:vAlign w:val="center"/>
                </w:tcPr>
                <w:p>
                  <w:pPr>
                    <w:spacing w:line="240" w:lineRule="auto"/>
                    <w:ind w:firstLine="0" w:firstLineChars="0"/>
                    <w:jc w:val="center"/>
                    <w:rPr>
                      <w:b/>
                      <w:bCs/>
                      <w:color w:val="auto"/>
                      <w:sz w:val="21"/>
                      <w:szCs w:val="21"/>
                      <w:highlight w:val="none"/>
                    </w:rPr>
                  </w:pPr>
                </w:p>
              </w:tc>
              <w:tc>
                <w:tcPr>
                  <w:tcW w:w="1171" w:type="dxa"/>
                  <w:vMerge w:val="continue"/>
                  <w:noWrap/>
                  <w:vAlign w:val="center"/>
                </w:tcPr>
                <w:p>
                  <w:pPr>
                    <w:spacing w:line="240" w:lineRule="auto"/>
                    <w:ind w:firstLine="0" w:firstLineChars="0"/>
                    <w:jc w:val="center"/>
                    <w:rPr>
                      <w:b/>
                      <w:bCs/>
                      <w:color w:val="auto"/>
                      <w:sz w:val="21"/>
                      <w:szCs w:val="21"/>
                      <w:highlight w:val="none"/>
                    </w:rPr>
                  </w:pPr>
                </w:p>
              </w:tc>
              <w:tc>
                <w:tcPr>
                  <w:tcW w:w="1947"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20</w:t>
                  </w:r>
                  <w:r>
                    <w:rPr>
                      <w:rFonts w:hint="eastAsia"/>
                      <w:b/>
                      <w:bCs/>
                      <w:color w:val="auto"/>
                      <w:sz w:val="21"/>
                      <w:szCs w:val="21"/>
                      <w:highlight w:val="none"/>
                    </w:rPr>
                    <w:t>20</w:t>
                  </w:r>
                  <w:r>
                    <w:rPr>
                      <w:b/>
                      <w:bCs/>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99" w:type="dxa"/>
                  <w:noWrap/>
                  <w:vAlign w:val="center"/>
                </w:tcPr>
                <w:p>
                  <w:pPr>
                    <w:autoSpaceDN w:val="0"/>
                    <w:spacing w:line="240" w:lineRule="auto"/>
                    <w:ind w:firstLine="0" w:firstLineChars="0"/>
                    <w:jc w:val="center"/>
                    <w:textAlignment w:val="center"/>
                    <w:rPr>
                      <w:b/>
                      <w:bCs/>
                      <w:color w:val="auto"/>
                      <w:sz w:val="21"/>
                      <w:szCs w:val="21"/>
                      <w:highlight w:val="none"/>
                    </w:rPr>
                  </w:pPr>
                  <w:r>
                    <w:rPr>
                      <w:color w:val="auto"/>
                      <w:sz w:val="21"/>
                      <w:szCs w:val="21"/>
                      <w:highlight w:val="none"/>
                    </w:rPr>
                    <w:t>德清大闸</w:t>
                  </w:r>
                </w:p>
              </w:tc>
              <w:tc>
                <w:tcPr>
                  <w:tcW w:w="1815" w:type="dxa"/>
                  <w:noWrap/>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4.3</w:t>
                  </w:r>
                </w:p>
              </w:tc>
              <w:tc>
                <w:tcPr>
                  <w:tcW w:w="1015" w:type="dxa"/>
                  <w:noWrap/>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0.23</w:t>
                  </w:r>
                </w:p>
              </w:tc>
              <w:tc>
                <w:tcPr>
                  <w:tcW w:w="957" w:type="dxa"/>
                  <w:noWrap/>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0.10</w:t>
                  </w:r>
                </w:p>
              </w:tc>
              <w:tc>
                <w:tcPr>
                  <w:tcW w:w="1171" w:type="dxa"/>
                  <w:noWrap/>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22</w:t>
                  </w:r>
                </w:p>
              </w:tc>
              <w:tc>
                <w:tcPr>
                  <w:tcW w:w="1947" w:type="dxa"/>
                  <w:noWrap/>
                  <w:vAlign w:val="center"/>
                </w:tcPr>
                <w:p>
                  <w:pPr>
                    <w:spacing w:line="240" w:lineRule="auto"/>
                    <w:ind w:firstLine="0" w:firstLineChars="0"/>
                    <w:jc w:val="center"/>
                    <w:rPr>
                      <w:b/>
                      <w:bCs/>
                      <w:color w:val="auto"/>
                      <w:sz w:val="21"/>
                      <w:szCs w:val="21"/>
                      <w:highlight w:val="none"/>
                    </w:rPr>
                  </w:pPr>
                  <w:r>
                    <w:rPr>
                      <w:color w:val="auto"/>
                      <w:sz w:val="21"/>
                      <w:szCs w:val="21"/>
                      <w:highlight w:val="none"/>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99" w:type="dxa"/>
                  <w:noWrap/>
                  <w:vAlign w:val="center"/>
                </w:tcPr>
                <w:p>
                  <w:pPr>
                    <w:autoSpaceDN w:val="0"/>
                    <w:spacing w:line="240" w:lineRule="auto"/>
                    <w:ind w:firstLine="0" w:firstLineChars="0"/>
                    <w:jc w:val="center"/>
                    <w:textAlignment w:val="center"/>
                    <w:rPr>
                      <w:b/>
                      <w:bCs/>
                      <w:color w:val="auto"/>
                      <w:sz w:val="21"/>
                      <w:szCs w:val="21"/>
                      <w:highlight w:val="none"/>
                    </w:rPr>
                  </w:pPr>
                  <w:r>
                    <w:rPr>
                      <w:color w:val="auto"/>
                      <w:sz w:val="21"/>
                      <w:szCs w:val="21"/>
                      <w:highlight w:val="none"/>
                    </w:rPr>
                    <w:t>转水湾</w:t>
                  </w:r>
                </w:p>
              </w:tc>
              <w:tc>
                <w:tcPr>
                  <w:tcW w:w="1815" w:type="dxa"/>
                  <w:noWrap/>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4.7</w:t>
                  </w:r>
                </w:p>
              </w:tc>
              <w:tc>
                <w:tcPr>
                  <w:tcW w:w="1015" w:type="dxa"/>
                  <w:noWrap/>
                  <w:vAlign w:val="center"/>
                </w:tcPr>
                <w:p>
                  <w:pPr>
                    <w:widowControl/>
                    <w:spacing w:line="240" w:lineRule="auto"/>
                    <w:ind w:firstLine="0" w:firstLineChars="0"/>
                    <w:jc w:val="center"/>
                    <w:textAlignment w:val="center"/>
                    <w:rPr>
                      <w:bCs/>
                      <w:color w:val="auto"/>
                      <w:kern w:val="0"/>
                      <w:sz w:val="21"/>
                      <w:szCs w:val="16"/>
                      <w:highlight w:val="none"/>
                    </w:rPr>
                  </w:pPr>
                  <w:r>
                    <w:rPr>
                      <w:bCs/>
                      <w:color w:val="auto"/>
                      <w:kern w:val="0"/>
                      <w:sz w:val="21"/>
                      <w:szCs w:val="16"/>
                      <w:highlight w:val="none"/>
                    </w:rPr>
                    <w:t>0.41</w:t>
                  </w:r>
                </w:p>
              </w:tc>
              <w:tc>
                <w:tcPr>
                  <w:tcW w:w="957" w:type="dxa"/>
                  <w:noWrap/>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0.06</w:t>
                  </w:r>
                </w:p>
              </w:tc>
              <w:tc>
                <w:tcPr>
                  <w:tcW w:w="1171" w:type="dxa"/>
                  <w:noWrap/>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177</w:t>
                  </w:r>
                </w:p>
              </w:tc>
              <w:tc>
                <w:tcPr>
                  <w:tcW w:w="1947" w:type="dxa"/>
                  <w:noWrap/>
                  <w:vAlign w:val="center"/>
                </w:tcPr>
                <w:p>
                  <w:pPr>
                    <w:spacing w:line="240" w:lineRule="auto"/>
                    <w:ind w:firstLine="0" w:firstLineChars="0"/>
                    <w:jc w:val="center"/>
                    <w:rPr>
                      <w:b/>
                      <w:bCs/>
                      <w:color w:val="auto"/>
                      <w:sz w:val="21"/>
                      <w:szCs w:val="21"/>
                      <w:highlight w:val="none"/>
                    </w:rPr>
                  </w:pPr>
                  <w:r>
                    <w:rPr>
                      <w:color w:val="auto"/>
                      <w:sz w:val="21"/>
                      <w:szCs w:val="21"/>
                      <w:highlight w:val="none"/>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99" w:type="dxa"/>
                  <w:vAlign w:val="center"/>
                </w:tcPr>
                <w:p>
                  <w:pPr>
                    <w:autoSpaceDN w:val="0"/>
                    <w:spacing w:line="240" w:lineRule="auto"/>
                    <w:ind w:firstLine="0" w:firstLineChars="0"/>
                    <w:jc w:val="center"/>
                    <w:textAlignment w:val="center"/>
                    <w:rPr>
                      <w:b/>
                      <w:bCs/>
                      <w:color w:val="auto"/>
                      <w:sz w:val="21"/>
                      <w:szCs w:val="21"/>
                      <w:highlight w:val="none"/>
                    </w:rPr>
                  </w:pPr>
                  <w:r>
                    <w:rPr>
                      <w:color w:val="auto"/>
                      <w:sz w:val="21"/>
                      <w:szCs w:val="21"/>
                      <w:highlight w:val="none"/>
                    </w:rPr>
                    <w:t>山水渡</w:t>
                  </w:r>
                </w:p>
              </w:tc>
              <w:tc>
                <w:tcPr>
                  <w:tcW w:w="1815"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4.5</w:t>
                  </w:r>
                </w:p>
              </w:tc>
              <w:tc>
                <w:tcPr>
                  <w:tcW w:w="1015"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0.45</w:t>
                  </w:r>
                </w:p>
              </w:tc>
              <w:tc>
                <w:tcPr>
                  <w:tcW w:w="957"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0.08</w:t>
                  </w:r>
                </w:p>
              </w:tc>
              <w:tc>
                <w:tcPr>
                  <w:tcW w:w="1171"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119</w:t>
                  </w:r>
                </w:p>
              </w:tc>
              <w:tc>
                <w:tcPr>
                  <w:tcW w:w="1947" w:type="dxa"/>
                  <w:vAlign w:val="center"/>
                </w:tcPr>
                <w:p>
                  <w:pPr>
                    <w:spacing w:line="240" w:lineRule="auto"/>
                    <w:ind w:firstLine="0" w:firstLineChars="0"/>
                    <w:jc w:val="center"/>
                    <w:rPr>
                      <w:b/>
                      <w:bCs/>
                      <w:color w:val="auto"/>
                      <w:sz w:val="21"/>
                      <w:szCs w:val="21"/>
                      <w:highlight w:val="none"/>
                    </w:rPr>
                  </w:pPr>
                  <w:r>
                    <w:rPr>
                      <w:color w:val="auto"/>
                      <w:sz w:val="21"/>
                      <w:szCs w:val="21"/>
                      <w:highlight w:val="none"/>
                    </w:rPr>
                    <w:t>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99" w:type="dxa"/>
                  <w:vAlign w:val="center"/>
                </w:tcPr>
                <w:p>
                  <w:pPr>
                    <w:autoSpaceDN w:val="0"/>
                    <w:spacing w:line="240" w:lineRule="auto"/>
                    <w:ind w:firstLine="0" w:firstLineChars="0"/>
                    <w:jc w:val="center"/>
                    <w:textAlignment w:val="center"/>
                    <w:rPr>
                      <w:color w:val="auto"/>
                      <w:sz w:val="21"/>
                      <w:szCs w:val="21"/>
                      <w:highlight w:val="none"/>
                    </w:rPr>
                  </w:pPr>
                  <w:r>
                    <w:rPr>
                      <w:color w:val="auto"/>
                      <w:sz w:val="21"/>
                      <w:szCs w:val="21"/>
                      <w:highlight w:val="none"/>
                    </w:rPr>
                    <w:t>沈家墩</w:t>
                  </w:r>
                </w:p>
              </w:tc>
              <w:tc>
                <w:tcPr>
                  <w:tcW w:w="1815"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5.2</w:t>
                  </w:r>
                </w:p>
              </w:tc>
              <w:tc>
                <w:tcPr>
                  <w:tcW w:w="1015"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0.32</w:t>
                  </w:r>
                </w:p>
              </w:tc>
              <w:tc>
                <w:tcPr>
                  <w:tcW w:w="957"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0.08</w:t>
                  </w:r>
                </w:p>
              </w:tc>
              <w:tc>
                <w:tcPr>
                  <w:tcW w:w="1171" w:type="dxa"/>
                  <w:vAlign w:val="center"/>
                </w:tcPr>
                <w:p>
                  <w:pPr>
                    <w:widowControl/>
                    <w:spacing w:line="240" w:lineRule="auto"/>
                    <w:ind w:firstLine="0" w:firstLineChars="0"/>
                    <w:jc w:val="center"/>
                    <w:textAlignment w:val="center"/>
                    <w:rPr>
                      <w:bCs/>
                      <w:color w:val="auto"/>
                      <w:sz w:val="21"/>
                      <w:szCs w:val="16"/>
                      <w:highlight w:val="none"/>
                    </w:rPr>
                  </w:pPr>
                  <w:r>
                    <w:rPr>
                      <w:bCs/>
                      <w:color w:val="auto"/>
                      <w:kern w:val="0"/>
                      <w:sz w:val="21"/>
                      <w:szCs w:val="16"/>
                      <w:highlight w:val="none"/>
                    </w:rPr>
                    <w:t>256</w:t>
                  </w:r>
                </w:p>
              </w:tc>
              <w:tc>
                <w:tcPr>
                  <w:tcW w:w="1947" w:type="dxa"/>
                  <w:vAlign w:val="center"/>
                </w:tcPr>
                <w:p>
                  <w:pPr>
                    <w:spacing w:line="240" w:lineRule="auto"/>
                    <w:ind w:firstLine="0" w:firstLineChars="0"/>
                    <w:jc w:val="center"/>
                    <w:rPr>
                      <w:color w:val="auto"/>
                      <w:sz w:val="21"/>
                      <w:szCs w:val="21"/>
                      <w:highlight w:val="none"/>
                    </w:rPr>
                  </w:pPr>
                  <w:r>
                    <w:rPr>
                      <w:color w:val="auto"/>
                      <w:sz w:val="21"/>
                      <w:szCs w:val="21"/>
                      <w:highlight w:val="none"/>
                    </w:rPr>
                    <w:t>Ⅲ类</w:t>
                  </w:r>
                </w:p>
              </w:tc>
            </w:tr>
          </w:tbl>
          <w:p>
            <w:pPr>
              <w:spacing w:line="500" w:lineRule="exact"/>
              <w:ind w:firstLine="480"/>
              <w:rPr>
                <w:color w:val="auto"/>
                <w:szCs w:val="24"/>
                <w:highlight w:val="none"/>
              </w:rPr>
            </w:pPr>
            <w:r>
              <w:rPr>
                <w:rFonts w:hint="eastAsia"/>
                <w:color w:val="auto"/>
                <w:highlight w:val="none"/>
              </w:rPr>
              <w:t>根据监测结果，</w:t>
            </w:r>
            <w:r>
              <w:rPr>
                <w:rFonts w:hint="eastAsia"/>
                <w:color w:val="auto"/>
                <w:szCs w:val="24"/>
                <w:highlight w:val="none"/>
              </w:rPr>
              <w:t>本项目所在区域地表水水质均能达到</w:t>
            </w:r>
            <w:r>
              <w:rPr>
                <w:color w:val="auto"/>
                <w:highlight w:val="none"/>
              </w:rPr>
              <w:t>《地表水环境质量标准》</w:t>
            </w:r>
            <w:r>
              <w:rPr>
                <w:rFonts w:hint="eastAsia"/>
                <w:color w:val="auto"/>
                <w:highlight w:val="none"/>
              </w:rPr>
              <w:t>（</w:t>
            </w:r>
            <w:r>
              <w:rPr>
                <w:color w:val="auto"/>
                <w:highlight w:val="none"/>
              </w:rPr>
              <w:t>GB3838-2002</w:t>
            </w:r>
            <w:r>
              <w:rPr>
                <w:rFonts w:hint="eastAsia"/>
                <w:color w:val="auto"/>
                <w:highlight w:val="none"/>
              </w:rPr>
              <w:t>）</w:t>
            </w:r>
            <w:r>
              <w:rPr>
                <w:color w:val="auto"/>
                <w:highlight w:val="none"/>
              </w:rPr>
              <w:t>中的Ⅲ类标准。</w:t>
            </w:r>
          </w:p>
          <w:p>
            <w:pPr>
              <w:tabs>
                <w:tab w:val="left" w:pos="930"/>
              </w:tabs>
              <w:spacing w:line="500" w:lineRule="exact"/>
              <w:ind w:firstLine="0" w:firstLineChars="0"/>
              <w:rPr>
                <w:b/>
                <w:bCs/>
                <w:color w:val="auto"/>
                <w:highlight w:val="none"/>
              </w:rPr>
            </w:pPr>
            <w:r>
              <w:rPr>
                <w:rFonts w:hint="eastAsia" w:hAnsi="宋体"/>
                <w:b/>
                <w:bCs/>
                <w:color w:val="auto"/>
                <w:highlight w:val="none"/>
              </w:rPr>
              <w:t>3.1.2 大气环境</w:t>
            </w:r>
            <w:r>
              <w:rPr>
                <w:rFonts w:hAnsi="宋体"/>
                <w:b/>
                <w:bCs/>
                <w:color w:val="auto"/>
                <w:highlight w:val="none"/>
              </w:rPr>
              <w:t>质量现状</w:t>
            </w:r>
          </w:p>
          <w:p>
            <w:pPr>
              <w:spacing w:line="500" w:lineRule="exact"/>
              <w:ind w:firstLine="480"/>
              <w:rPr>
                <w:color w:val="auto"/>
                <w:highlight w:val="none"/>
              </w:rPr>
            </w:pPr>
            <w:r>
              <w:rPr>
                <w:rStyle w:val="33"/>
                <w:b w:val="0"/>
                <w:color w:val="auto"/>
                <w:szCs w:val="24"/>
                <w:highlight w:val="none"/>
              </w:rPr>
              <w:t>根据《湖州市环境空气质量功能区划》，本项目所在区域属于环境空气质量二类功能区。</w:t>
            </w:r>
            <w:r>
              <w:rPr>
                <w:rFonts w:hint="eastAsia"/>
                <w:color w:val="auto"/>
                <w:highlight w:val="none"/>
              </w:rPr>
              <w:t>环境空气质量执行</w:t>
            </w:r>
            <w:r>
              <w:rPr>
                <w:color w:val="auto"/>
                <w:highlight w:val="none"/>
              </w:rPr>
              <w:t>《环境空气质量标准》</w:t>
            </w:r>
            <w:r>
              <w:rPr>
                <w:color w:val="auto"/>
                <w:szCs w:val="22"/>
                <w:highlight w:val="none"/>
              </w:rPr>
              <w:t>（GB3095-2012）</w:t>
            </w:r>
            <w:r>
              <w:rPr>
                <w:rFonts w:hint="eastAsia"/>
                <w:color w:val="auto"/>
                <w:szCs w:val="22"/>
                <w:highlight w:val="none"/>
              </w:rPr>
              <w:t>中的</w:t>
            </w:r>
            <w:r>
              <w:rPr>
                <w:color w:val="auto"/>
                <w:highlight w:val="none"/>
              </w:rPr>
              <w:t>二级标准</w:t>
            </w:r>
            <w:r>
              <w:rPr>
                <w:rFonts w:hint="eastAsia"/>
                <w:color w:val="auto"/>
                <w:highlight w:val="none"/>
              </w:rPr>
              <w:t>，</w:t>
            </w:r>
            <w:r>
              <w:rPr>
                <w:rStyle w:val="33"/>
                <w:rFonts w:hint="eastAsia"/>
                <w:b w:val="0"/>
                <w:color w:val="auto"/>
                <w:szCs w:val="24"/>
                <w:highlight w:val="none"/>
              </w:rPr>
              <w:t>区域空气</w:t>
            </w:r>
            <w:r>
              <w:rPr>
                <w:color w:val="auto"/>
                <w:szCs w:val="24"/>
                <w:highlight w:val="none"/>
              </w:rPr>
              <w:t>环境质量现状</w:t>
            </w:r>
            <w:r>
              <w:rPr>
                <w:rFonts w:hint="eastAsia"/>
                <w:color w:val="auto"/>
                <w:szCs w:val="24"/>
                <w:highlight w:val="none"/>
              </w:rPr>
              <w:t>评价</w:t>
            </w:r>
            <w:r>
              <w:rPr>
                <w:rFonts w:hint="eastAsia"/>
                <w:color w:val="auto"/>
                <w:highlight w:val="none"/>
              </w:rPr>
              <w:t>引用</w:t>
            </w:r>
            <w:r>
              <w:rPr>
                <w:color w:val="auto"/>
                <w:szCs w:val="22"/>
                <w:highlight w:val="none"/>
              </w:rPr>
              <w:t>《</w:t>
            </w:r>
            <w:r>
              <w:rPr>
                <w:color w:val="auto"/>
                <w:szCs w:val="24"/>
                <w:highlight w:val="none"/>
              </w:rPr>
              <w:t>20</w:t>
            </w:r>
            <w:r>
              <w:rPr>
                <w:rFonts w:hint="eastAsia"/>
                <w:color w:val="auto"/>
                <w:szCs w:val="24"/>
                <w:highlight w:val="none"/>
              </w:rPr>
              <w:t>20</w:t>
            </w:r>
            <w:r>
              <w:rPr>
                <w:color w:val="auto"/>
                <w:szCs w:val="24"/>
                <w:highlight w:val="none"/>
              </w:rPr>
              <w:t>年度德清县环境质量报告书</w:t>
            </w:r>
            <w:r>
              <w:rPr>
                <w:color w:val="auto"/>
                <w:szCs w:val="22"/>
                <w:highlight w:val="none"/>
              </w:rPr>
              <w:t>》中的监测数据</w:t>
            </w:r>
            <w:r>
              <w:rPr>
                <w:color w:val="auto"/>
                <w:highlight w:val="none"/>
              </w:rPr>
              <w:t>，</w:t>
            </w:r>
            <w:r>
              <w:rPr>
                <w:color w:val="auto"/>
                <w:szCs w:val="24"/>
                <w:highlight w:val="none"/>
              </w:rPr>
              <w:t>见表3-</w:t>
            </w:r>
            <w:r>
              <w:rPr>
                <w:rFonts w:hint="eastAsia"/>
                <w:color w:val="auto"/>
                <w:szCs w:val="24"/>
                <w:highlight w:val="none"/>
              </w:rPr>
              <w:t>2</w:t>
            </w:r>
            <w:r>
              <w:rPr>
                <w:color w:val="auto"/>
                <w:highlight w:val="none"/>
              </w:rPr>
              <w:t>。</w:t>
            </w:r>
          </w:p>
          <w:p>
            <w:pPr>
              <w:spacing w:line="460" w:lineRule="exact"/>
              <w:ind w:firstLine="422"/>
              <w:jc w:val="center"/>
              <w:rPr>
                <w:b/>
                <w:bCs/>
                <w:color w:val="auto"/>
                <w:sz w:val="21"/>
                <w:szCs w:val="18"/>
                <w:highlight w:val="none"/>
              </w:rPr>
            </w:pPr>
            <w:r>
              <w:rPr>
                <w:b/>
                <w:bCs/>
                <w:color w:val="auto"/>
                <w:sz w:val="21"/>
                <w:szCs w:val="18"/>
                <w:highlight w:val="none"/>
              </w:rPr>
              <w:t>表3-</w:t>
            </w:r>
            <w:r>
              <w:rPr>
                <w:rFonts w:hint="eastAsia"/>
                <w:b/>
                <w:bCs/>
                <w:color w:val="auto"/>
                <w:sz w:val="21"/>
                <w:szCs w:val="18"/>
                <w:highlight w:val="none"/>
              </w:rPr>
              <w:t>2</w:t>
            </w:r>
            <w:r>
              <w:rPr>
                <w:b/>
                <w:bCs/>
                <w:color w:val="auto"/>
                <w:sz w:val="21"/>
                <w:szCs w:val="18"/>
                <w:highlight w:val="none"/>
              </w:rPr>
              <w:t xml:space="preserve">  区域空气质量现状评价表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026"/>
              <w:gridCol w:w="1788"/>
              <w:gridCol w:w="1581"/>
              <w:gridCol w:w="136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污染物</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年评价指标</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现状浓度（μg/m</w:t>
                  </w:r>
                  <w:r>
                    <w:rPr>
                      <w:color w:val="auto"/>
                      <w:sz w:val="21"/>
                      <w:szCs w:val="21"/>
                      <w:highlight w:val="none"/>
                      <w:vertAlign w:val="superscript"/>
                    </w:rPr>
                    <w:t>3</w:t>
                  </w:r>
                  <w:r>
                    <w:rPr>
                      <w:color w:val="auto"/>
                      <w:sz w:val="21"/>
                      <w:szCs w:val="21"/>
                      <w:highlight w:val="none"/>
                    </w:rPr>
                    <w:t>）</w:t>
                  </w:r>
                </w:p>
              </w:tc>
              <w:tc>
                <w:tcPr>
                  <w:tcW w:w="1581"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标准值（μg/m</w:t>
                  </w:r>
                  <w:r>
                    <w:rPr>
                      <w:color w:val="auto"/>
                      <w:sz w:val="21"/>
                      <w:szCs w:val="21"/>
                      <w:highlight w:val="none"/>
                      <w:vertAlign w:val="superscript"/>
                    </w:rPr>
                    <w:t>3</w:t>
                  </w:r>
                  <w:r>
                    <w:rPr>
                      <w:color w:val="auto"/>
                      <w:sz w:val="21"/>
                      <w:szCs w:val="21"/>
                      <w:highlight w:val="none"/>
                    </w:rPr>
                    <w:t>）</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占标率（%）</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SO</w:t>
                  </w:r>
                  <w:r>
                    <w:rPr>
                      <w:color w:val="auto"/>
                      <w:kern w:val="0"/>
                      <w:sz w:val="21"/>
                      <w:szCs w:val="21"/>
                      <w:highlight w:val="none"/>
                      <w:vertAlign w:val="subscript"/>
                    </w:rPr>
                    <w:t>2</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581"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60</w:t>
                  </w:r>
                </w:p>
              </w:tc>
              <w:tc>
                <w:tcPr>
                  <w:tcW w:w="1362" w:type="dxa"/>
                  <w:noWrap/>
                  <w:vAlign w:val="center"/>
                </w:tcPr>
                <w:p>
                  <w:pPr>
                    <w:widowControl/>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6.67</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第98百分位数</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1581"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150</w:t>
                  </w:r>
                </w:p>
              </w:tc>
              <w:tc>
                <w:tcPr>
                  <w:tcW w:w="1362" w:type="dxa"/>
                  <w:noWrap/>
                  <w:vAlign w:val="center"/>
                </w:tcPr>
                <w:p>
                  <w:pPr>
                    <w:widowControl/>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5.33</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NO</w:t>
                  </w:r>
                  <w:r>
                    <w:rPr>
                      <w:color w:val="auto"/>
                      <w:kern w:val="0"/>
                      <w:sz w:val="21"/>
                      <w:szCs w:val="21"/>
                      <w:highlight w:val="none"/>
                      <w:vertAlign w:val="subscript"/>
                    </w:rPr>
                    <w:t>2</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23</w:t>
                  </w:r>
                </w:p>
              </w:tc>
              <w:tc>
                <w:tcPr>
                  <w:tcW w:w="1581" w:type="dxa"/>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40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57.5</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第98百分位数</w:t>
                  </w:r>
                </w:p>
              </w:tc>
              <w:tc>
                <w:tcPr>
                  <w:tcW w:w="1788" w:type="dxa"/>
                  <w:noWrap/>
                  <w:vAlign w:val="center"/>
                </w:tcPr>
                <w:p>
                  <w:pPr>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57</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80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71.25</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PM</w:t>
                  </w:r>
                  <w:r>
                    <w:rPr>
                      <w:color w:val="auto"/>
                      <w:kern w:val="0"/>
                      <w:sz w:val="21"/>
                      <w:szCs w:val="21"/>
                      <w:highlight w:val="none"/>
                      <w:vertAlign w:val="subscript"/>
                    </w:rPr>
                    <w:t>10</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49</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70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70</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第95百分位数</w:t>
                  </w:r>
                </w:p>
              </w:tc>
              <w:tc>
                <w:tcPr>
                  <w:tcW w:w="1788" w:type="dxa"/>
                  <w:noWrap/>
                  <w:vAlign w:val="center"/>
                </w:tcPr>
                <w:p>
                  <w:pPr>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97</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150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64.67</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PM</w:t>
                  </w:r>
                  <w:r>
                    <w:rPr>
                      <w:color w:val="auto"/>
                      <w:kern w:val="0"/>
                      <w:sz w:val="21"/>
                      <w:szCs w:val="21"/>
                      <w:highlight w:val="none"/>
                      <w:vertAlign w:val="subscript"/>
                    </w:rPr>
                    <w:t>2.5</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26</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35</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74.28</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第95百分位数</w:t>
                  </w:r>
                </w:p>
              </w:tc>
              <w:tc>
                <w:tcPr>
                  <w:tcW w:w="1788" w:type="dxa"/>
                  <w:noWrap/>
                  <w:vAlign w:val="center"/>
                </w:tcPr>
                <w:p>
                  <w:pPr>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57</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75</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76</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CO</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第95百分位数</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4000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0.03</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O</w:t>
                  </w:r>
                  <w:r>
                    <w:rPr>
                      <w:color w:val="auto"/>
                      <w:sz w:val="21"/>
                      <w:szCs w:val="21"/>
                      <w:highlight w:val="none"/>
                      <w:vertAlign w:val="subscript"/>
                    </w:rPr>
                    <w:t>3</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日最大8小时平均第90百分位数</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150</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160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93.75</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bl>
          <w:p>
            <w:pPr>
              <w:spacing w:line="500" w:lineRule="exact"/>
              <w:ind w:firstLine="480" w:firstLineChars="0"/>
              <w:jc w:val="left"/>
              <w:rPr>
                <w:color w:val="auto"/>
                <w:szCs w:val="24"/>
                <w:highlight w:val="none"/>
              </w:rPr>
            </w:pPr>
            <w:r>
              <w:rPr>
                <w:color w:val="auto"/>
                <w:szCs w:val="24"/>
                <w:highlight w:val="none"/>
              </w:rPr>
              <w:t>根据监测结果，德清县20</w:t>
            </w:r>
            <w:r>
              <w:rPr>
                <w:rFonts w:hint="eastAsia"/>
                <w:color w:val="auto"/>
                <w:szCs w:val="24"/>
                <w:highlight w:val="none"/>
              </w:rPr>
              <w:t>20</w:t>
            </w:r>
            <w:r>
              <w:rPr>
                <w:color w:val="auto"/>
                <w:szCs w:val="24"/>
                <w:highlight w:val="none"/>
              </w:rPr>
              <w:t>年度环境空气质量达到《环境空气质量标准》（GB3095-2012）中的二级标准</w:t>
            </w:r>
            <w:r>
              <w:rPr>
                <w:rFonts w:hint="eastAsia"/>
                <w:color w:val="auto"/>
                <w:szCs w:val="24"/>
                <w:highlight w:val="none"/>
              </w:rPr>
              <w:t>，其空气质量现状较好。</w:t>
            </w:r>
          </w:p>
          <w:p>
            <w:pPr>
              <w:tabs>
                <w:tab w:val="left" w:pos="930"/>
              </w:tabs>
              <w:spacing w:line="500" w:lineRule="exact"/>
              <w:ind w:firstLine="0" w:firstLineChars="0"/>
              <w:rPr>
                <w:b/>
                <w:bCs/>
                <w:color w:val="auto"/>
                <w:highlight w:val="none"/>
              </w:rPr>
            </w:pPr>
            <w:r>
              <w:rPr>
                <w:rFonts w:hint="eastAsia" w:hAnsi="宋体"/>
                <w:b/>
                <w:bCs/>
                <w:color w:val="auto"/>
                <w:highlight w:val="none"/>
              </w:rPr>
              <w:t>3.1.3 声环境</w:t>
            </w:r>
            <w:r>
              <w:rPr>
                <w:rFonts w:hAnsi="宋体"/>
                <w:b/>
                <w:bCs/>
                <w:color w:val="auto"/>
                <w:highlight w:val="none"/>
              </w:rPr>
              <w:t>质量现状</w:t>
            </w:r>
          </w:p>
          <w:p>
            <w:pPr>
              <w:spacing w:line="500" w:lineRule="exact"/>
              <w:ind w:firstLine="480" w:firstLineChars="0"/>
              <w:jc w:val="left"/>
              <w:rPr>
                <w:color w:val="auto"/>
                <w:highlight w:val="none"/>
              </w:rPr>
            </w:pPr>
            <w:r>
              <w:rPr>
                <w:rFonts w:hint="eastAsia"/>
                <w:color w:val="auto"/>
                <w:szCs w:val="24"/>
                <w:highlight w:val="none"/>
              </w:rPr>
              <w:t>本项目位于</w:t>
            </w:r>
            <w:r>
              <w:rPr>
                <w:rFonts w:hint="eastAsia"/>
                <w:bCs/>
                <w:color w:val="auto"/>
                <w:highlight w:val="none"/>
              </w:rPr>
              <w:t>德清县乾元镇苕溪东街1155号，属于工业集聚点，</w:t>
            </w:r>
            <w:r>
              <w:rPr>
                <w:color w:val="auto"/>
                <w:highlight w:val="none"/>
              </w:rPr>
              <w:t>属于以工业生产为主的区域</w:t>
            </w:r>
            <w:r>
              <w:rPr>
                <w:rFonts w:hint="eastAsia"/>
                <w:color w:val="auto"/>
                <w:highlight w:val="none"/>
              </w:rPr>
              <w:t>，</w:t>
            </w:r>
            <w:r>
              <w:rPr>
                <w:color w:val="auto"/>
                <w:szCs w:val="24"/>
                <w:highlight w:val="none"/>
              </w:rPr>
              <w:t>因此</w:t>
            </w:r>
            <w:r>
              <w:rPr>
                <w:color w:val="auto"/>
                <w:highlight w:val="none"/>
              </w:rPr>
              <w:t>声环境昼间质量执行《声环境质量标准》（GB3096-2008）中的3类标准</w:t>
            </w:r>
            <w:r>
              <w:rPr>
                <w:rFonts w:hint="eastAsia"/>
                <w:color w:val="auto"/>
                <w:highlight w:val="none"/>
              </w:rPr>
              <w:t>。西南侧敏感点距本项目最近距离为30米，故委托浙江中昱环境工程股份有限公司于2020年10月20日对厂界四周及西南侧敏感点进行了检测（报告编号：中昱环境（2020）检11-47号）。</w:t>
            </w:r>
          </w:p>
          <w:p>
            <w:pPr>
              <w:spacing w:line="460" w:lineRule="exact"/>
              <w:ind w:firstLine="422"/>
              <w:jc w:val="center"/>
              <w:rPr>
                <w:b/>
                <w:color w:val="auto"/>
                <w:sz w:val="21"/>
                <w:szCs w:val="18"/>
                <w:highlight w:val="none"/>
              </w:rPr>
            </w:pPr>
            <w:r>
              <w:rPr>
                <w:b/>
                <w:color w:val="auto"/>
                <w:sz w:val="21"/>
                <w:szCs w:val="18"/>
                <w:highlight w:val="none"/>
              </w:rPr>
              <w:t>表3-</w:t>
            </w:r>
            <w:r>
              <w:rPr>
                <w:rFonts w:hint="eastAsia"/>
                <w:b/>
                <w:color w:val="auto"/>
                <w:sz w:val="21"/>
                <w:szCs w:val="18"/>
                <w:highlight w:val="none"/>
              </w:rPr>
              <w:t>9</w:t>
            </w:r>
            <w:r>
              <w:rPr>
                <w:b/>
                <w:color w:val="auto"/>
                <w:sz w:val="21"/>
                <w:szCs w:val="18"/>
                <w:highlight w:val="none"/>
              </w:rPr>
              <w:t xml:space="preserve">  项目所在地声环境本底监测结果</w:t>
            </w:r>
          </w:p>
          <w:p>
            <w:pPr>
              <w:spacing w:line="460" w:lineRule="exact"/>
              <w:ind w:firstLine="420"/>
              <w:jc w:val="right"/>
              <w:rPr>
                <w:color w:val="auto"/>
                <w:sz w:val="21"/>
                <w:szCs w:val="18"/>
                <w:highlight w:val="none"/>
              </w:rPr>
            </w:pPr>
            <w:r>
              <w:rPr>
                <w:color w:val="auto"/>
                <w:sz w:val="21"/>
                <w:szCs w:val="18"/>
                <w:highlight w:val="none"/>
              </w:rPr>
              <w:t>单位：dB(A)</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130"/>
              <w:gridCol w:w="1116"/>
              <w:gridCol w:w="1117"/>
              <w:gridCol w:w="115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3" w:type="dxa"/>
                  <w:tcBorders>
                    <w:top w:val="single" w:color="auto" w:sz="4" w:space="0"/>
                    <w:bottom w:val="single" w:color="auto" w:sz="4" w:space="0"/>
                    <w:tl2br w:val="single" w:color="auto" w:sz="4" w:space="0"/>
                  </w:tcBorders>
                  <w:noWrap/>
                  <w:vAlign w:val="center"/>
                </w:tcPr>
                <w:p>
                  <w:pPr>
                    <w:spacing w:line="240" w:lineRule="auto"/>
                    <w:ind w:firstLine="0" w:firstLineChars="0"/>
                    <w:jc w:val="right"/>
                    <w:rPr>
                      <w:b/>
                      <w:bCs/>
                      <w:color w:val="auto"/>
                      <w:sz w:val="21"/>
                      <w:szCs w:val="21"/>
                      <w:highlight w:val="none"/>
                    </w:rPr>
                  </w:pPr>
                  <w:r>
                    <w:rPr>
                      <w:b/>
                      <w:bCs/>
                      <w:color w:val="auto"/>
                      <w:sz w:val="21"/>
                      <w:szCs w:val="21"/>
                      <w:highlight w:val="none"/>
                    </w:rPr>
                    <w:t>位置</w:t>
                  </w:r>
                </w:p>
                <w:p>
                  <w:pPr>
                    <w:spacing w:line="240" w:lineRule="auto"/>
                    <w:ind w:firstLine="0" w:firstLineChars="0"/>
                    <w:jc w:val="left"/>
                    <w:rPr>
                      <w:b/>
                      <w:bCs/>
                      <w:color w:val="auto"/>
                      <w:sz w:val="21"/>
                      <w:szCs w:val="21"/>
                      <w:highlight w:val="none"/>
                    </w:rPr>
                  </w:pPr>
                  <w:r>
                    <w:rPr>
                      <w:b/>
                      <w:bCs/>
                      <w:color w:val="auto"/>
                      <w:sz w:val="21"/>
                      <w:szCs w:val="21"/>
                      <w:highlight w:val="none"/>
                    </w:rPr>
                    <w:t>时段</w:t>
                  </w:r>
                </w:p>
              </w:tc>
              <w:tc>
                <w:tcPr>
                  <w:tcW w:w="1130" w:type="dxa"/>
                  <w:tcBorders>
                    <w:top w:val="single" w:color="auto" w:sz="4" w:space="0"/>
                    <w:bottom w:val="single" w:color="auto" w:sz="4" w:space="0"/>
                  </w:tcBorders>
                  <w:noWrap/>
                  <w:vAlign w:val="center"/>
                </w:tcPr>
                <w:p>
                  <w:pPr>
                    <w:spacing w:line="240" w:lineRule="auto"/>
                    <w:ind w:firstLine="0" w:firstLineChars="0"/>
                    <w:jc w:val="center"/>
                    <w:rPr>
                      <w:color w:val="auto"/>
                      <w:sz w:val="21"/>
                      <w:szCs w:val="21"/>
                      <w:highlight w:val="none"/>
                    </w:rPr>
                  </w:pPr>
                  <w:r>
                    <w:rPr>
                      <w:color w:val="auto"/>
                      <w:sz w:val="21"/>
                      <w:szCs w:val="21"/>
                      <w:highlight w:val="none"/>
                    </w:rPr>
                    <w:t>东侧</w:t>
                  </w:r>
                </w:p>
              </w:tc>
              <w:tc>
                <w:tcPr>
                  <w:tcW w:w="1116" w:type="dxa"/>
                  <w:tcBorders>
                    <w:top w:val="single" w:color="auto" w:sz="4" w:space="0"/>
                    <w:bottom w:val="single" w:color="auto" w:sz="4" w:space="0"/>
                  </w:tcBorders>
                  <w:noWrap/>
                  <w:vAlign w:val="center"/>
                </w:tcPr>
                <w:p>
                  <w:pPr>
                    <w:spacing w:line="240" w:lineRule="auto"/>
                    <w:ind w:firstLine="0" w:firstLineChars="0"/>
                    <w:jc w:val="center"/>
                    <w:rPr>
                      <w:color w:val="auto"/>
                      <w:sz w:val="21"/>
                      <w:szCs w:val="21"/>
                      <w:highlight w:val="none"/>
                    </w:rPr>
                  </w:pPr>
                  <w:r>
                    <w:rPr>
                      <w:color w:val="auto"/>
                      <w:sz w:val="21"/>
                      <w:szCs w:val="21"/>
                      <w:highlight w:val="none"/>
                    </w:rPr>
                    <w:t>南侧</w:t>
                  </w:r>
                </w:p>
              </w:tc>
              <w:tc>
                <w:tcPr>
                  <w:tcW w:w="1117" w:type="dxa"/>
                  <w:tcBorders>
                    <w:top w:val="single" w:color="auto" w:sz="4" w:space="0"/>
                    <w:bottom w:val="single" w:color="auto" w:sz="4" w:space="0"/>
                  </w:tcBorders>
                  <w:noWrap/>
                  <w:vAlign w:val="center"/>
                </w:tcPr>
                <w:p>
                  <w:pPr>
                    <w:spacing w:line="240" w:lineRule="auto"/>
                    <w:ind w:firstLine="0" w:firstLineChars="0"/>
                    <w:jc w:val="center"/>
                    <w:rPr>
                      <w:color w:val="auto"/>
                      <w:sz w:val="21"/>
                      <w:szCs w:val="21"/>
                      <w:highlight w:val="none"/>
                    </w:rPr>
                  </w:pPr>
                  <w:r>
                    <w:rPr>
                      <w:color w:val="auto"/>
                      <w:sz w:val="21"/>
                      <w:szCs w:val="21"/>
                      <w:highlight w:val="none"/>
                    </w:rPr>
                    <w:t>西侧</w:t>
                  </w:r>
                </w:p>
              </w:tc>
              <w:tc>
                <w:tcPr>
                  <w:tcW w:w="1150" w:type="dxa"/>
                  <w:tcBorders>
                    <w:top w:val="single" w:color="auto" w:sz="4" w:space="0"/>
                    <w:bottom w:val="single" w:color="auto" w:sz="4" w:space="0"/>
                  </w:tcBorders>
                  <w:noWrap/>
                  <w:vAlign w:val="center"/>
                </w:tcPr>
                <w:p>
                  <w:pPr>
                    <w:spacing w:line="240" w:lineRule="auto"/>
                    <w:ind w:firstLine="0" w:firstLineChars="0"/>
                    <w:jc w:val="center"/>
                    <w:rPr>
                      <w:color w:val="auto"/>
                      <w:sz w:val="21"/>
                      <w:szCs w:val="21"/>
                      <w:highlight w:val="none"/>
                    </w:rPr>
                  </w:pPr>
                  <w:r>
                    <w:rPr>
                      <w:color w:val="auto"/>
                      <w:sz w:val="21"/>
                      <w:szCs w:val="21"/>
                      <w:highlight w:val="none"/>
                    </w:rPr>
                    <w:t>北侧</w:t>
                  </w:r>
                </w:p>
              </w:tc>
              <w:tc>
                <w:tcPr>
                  <w:tcW w:w="1978" w:type="dxa"/>
                  <w:tcBorders>
                    <w:top w:val="single" w:color="auto" w:sz="4" w:space="0"/>
                    <w:bottom w:val="single" w:color="auto" w:sz="4" w:space="0"/>
                  </w:tcBorders>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西南侧敏感点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3" w:type="dxa"/>
                  <w:noWrap/>
                  <w:vAlign w:val="center"/>
                </w:tcPr>
                <w:p>
                  <w:pPr>
                    <w:spacing w:line="240" w:lineRule="auto"/>
                    <w:ind w:firstLine="0" w:firstLineChars="0"/>
                    <w:jc w:val="center"/>
                    <w:rPr>
                      <w:bCs/>
                      <w:color w:val="auto"/>
                      <w:sz w:val="21"/>
                      <w:szCs w:val="21"/>
                      <w:highlight w:val="none"/>
                    </w:rPr>
                  </w:pPr>
                  <w:r>
                    <w:rPr>
                      <w:bCs/>
                      <w:color w:val="auto"/>
                      <w:sz w:val="21"/>
                      <w:szCs w:val="21"/>
                      <w:highlight w:val="none"/>
                    </w:rPr>
                    <w:t>昼间</w:t>
                  </w:r>
                </w:p>
              </w:tc>
              <w:tc>
                <w:tcPr>
                  <w:tcW w:w="113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52.4</w:t>
                  </w:r>
                </w:p>
              </w:tc>
              <w:tc>
                <w:tcPr>
                  <w:tcW w:w="1116" w:type="dxa"/>
                  <w:noWrap/>
                  <w:vAlign w:val="center"/>
                </w:tcPr>
                <w:p>
                  <w:pPr>
                    <w:spacing w:line="240" w:lineRule="auto"/>
                    <w:ind w:firstLine="0" w:firstLineChars="0"/>
                    <w:jc w:val="center"/>
                    <w:rPr>
                      <w:color w:val="auto"/>
                      <w:sz w:val="21"/>
                      <w:szCs w:val="21"/>
                      <w:highlight w:val="none"/>
                    </w:rPr>
                  </w:pPr>
                  <w:r>
                    <w:rPr>
                      <w:rFonts w:hint="eastAsia"/>
                      <w:color w:val="auto"/>
                      <w:spacing w:val="-2"/>
                      <w:sz w:val="21"/>
                      <w:szCs w:val="21"/>
                      <w:highlight w:val="none"/>
                    </w:rPr>
                    <w:t>54.8</w:t>
                  </w:r>
                </w:p>
              </w:tc>
              <w:tc>
                <w:tcPr>
                  <w:tcW w:w="1117" w:type="dxa"/>
                  <w:noWrap/>
                  <w:vAlign w:val="center"/>
                </w:tcPr>
                <w:p>
                  <w:pPr>
                    <w:spacing w:line="240" w:lineRule="auto"/>
                    <w:ind w:firstLine="0" w:firstLineChars="0"/>
                    <w:jc w:val="center"/>
                    <w:rPr>
                      <w:color w:val="auto"/>
                      <w:sz w:val="21"/>
                      <w:szCs w:val="21"/>
                      <w:highlight w:val="none"/>
                    </w:rPr>
                  </w:pPr>
                  <w:r>
                    <w:rPr>
                      <w:rFonts w:hint="eastAsia"/>
                      <w:color w:val="auto"/>
                      <w:spacing w:val="-2"/>
                      <w:sz w:val="21"/>
                      <w:szCs w:val="21"/>
                      <w:highlight w:val="none"/>
                    </w:rPr>
                    <w:t>55.4</w:t>
                  </w:r>
                </w:p>
              </w:tc>
              <w:tc>
                <w:tcPr>
                  <w:tcW w:w="1150" w:type="dxa"/>
                  <w:noWrap/>
                  <w:vAlign w:val="center"/>
                </w:tcPr>
                <w:p>
                  <w:pPr>
                    <w:spacing w:line="240" w:lineRule="auto"/>
                    <w:ind w:firstLine="0" w:firstLineChars="0"/>
                    <w:jc w:val="center"/>
                    <w:rPr>
                      <w:color w:val="auto"/>
                      <w:sz w:val="21"/>
                      <w:szCs w:val="21"/>
                      <w:highlight w:val="none"/>
                    </w:rPr>
                  </w:pPr>
                  <w:r>
                    <w:rPr>
                      <w:rFonts w:hint="eastAsia"/>
                      <w:color w:val="auto"/>
                      <w:spacing w:val="-2"/>
                      <w:sz w:val="21"/>
                      <w:szCs w:val="21"/>
                      <w:highlight w:val="none"/>
                    </w:rPr>
                    <w:t>59.1</w:t>
                  </w:r>
                </w:p>
              </w:tc>
              <w:tc>
                <w:tcPr>
                  <w:tcW w:w="1978" w:type="dxa"/>
                  <w:noWrap/>
                  <w:vAlign w:val="center"/>
                </w:tcPr>
                <w:p>
                  <w:pPr>
                    <w:spacing w:line="240" w:lineRule="auto"/>
                    <w:ind w:firstLine="0" w:firstLineChars="0"/>
                    <w:jc w:val="center"/>
                    <w:rPr>
                      <w:color w:val="auto"/>
                      <w:sz w:val="21"/>
                      <w:szCs w:val="21"/>
                      <w:highlight w:val="none"/>
                    </w:rPr>
                  </w:pPr>
                  <w:r>
                    <w:rPr>
                      <w:rFonts w:hint="eastAsia"/>
                      <w:color w:val="auto"/>
                      <w:spacing w:val="-2"/>
                      <w:sz w:val="21"/>
                      <w:szCs w:val="21"/>
                      <w:highlight w:val="none"/>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3" w:type="dxa"/>
                  <w:noWrap/>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2类标准限值</w:t>
                  </w:r>
                </w:p>
              </w:tc>
              <w:tc>
                <w:tcPr>
                  <w:tcW w:w="6491" w:type="dxa"/>
                  <w:gridSpan w:val="5"/>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昼间：60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3"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3类标准限值</w:t>
                  </w:r>
                </w:p>
              </w:tc>
              <w:tc>
                <w:tcPr>
                  <w:tcW w:w="6491" w:type="dxa"/>
                  <w:gridSpan w:val="5"/>
                  <w:noWrap/>
                  <w:vAlign w:val="center"/>
                </w:tcPr>
                <w:p>
                  <w:pPr>
                    <w:spacing w:line="240" w:lineRule="auto"/>
                    <w:ind w:firstLine="0" w:firstLineChars="0"/>
                    <w:jc w:val="center"/>
                    <w:rPr>
                      <w:color w:val="auto"/>
                      <w:sz w:val="21"/>
                      <w:szCs w:val="21"/>
                      <w:highlight w:val="none"/>
                    </w:rPr>
                  </w:pPr>
                  <w:r>
                    <w:rPr>
                      <w:color w:val="auto"/>
                      <w:sz w:val="21"/>
                      <w:szCs w:val="21"/>
                      <w:highlight w:val="none"/>
                    </w:rPr>
                    <w:t>昼间：65</w:t>
                  </w:r>
                </w:p>
              </w:tc>
            </w:tr>
          </w:tbl>
          <w:p>
            <w:pPr>
              <w:pStyle w:val="19"/>
              <w:spacing w:line="500" w:lineRule="exact"/>
              <w:ind w:firstLine="420"/>
              <w:rPr>
                <w:rFonts w:ascii="Times New Roman" w:hAnsi="Times New Roman"/>
                <w:color w:val="auto"/>
                <w:sz w:val="21"/>
                <w:szCs w:val="16"/>
                <w:highlight w:val="none"/>
              </w:rPr>
            </w:pPr>
            <w:r>
              <w:rPr>
                <w:rFonts w:hint="eastAsia" w:ascii="Times New Roman" w:hAnsi="Times New Roman"/>
                <w:color w:val="auto"/>
                <w:sz w:val="21"/>
                <w:szCs w:val="16"/>
                <w:highlight w:val="none"/>
              </w:rPr>
              <w:t>注：夜间不生产。</w:t>
            </w:r>
          </w:p>
          <w:p>
            <w:pPr>
              <w:pStyle w:val="19"/>
              <w:spacing w:line="500" w:lineRule="exact"/>
              <w:ind w:firstLine="480"/>
              <w:rPr>
                <w:rFonts w:ascii="Times New Roman" w:hAnsi="Times New Roman"/>
                <w:color w:val="auto"/>
                <w:sz w:val="24"/>
                <w:szCs w:val="20"/>
                <w:highlight w:val="none"/>
              </w:rPr>
            </w:pPr>
            <w:r>
              <w:rPr>
                <w:rFonts w:hint="eastAsia" w:ascii="Times New Roman" w:hAnsi="Times New Roman"/>
                <w:color w:val="auto"/>
                <w:sz w:val="24"/>
                <w:szCs w:val="20"/>
                <w:highlight w:val="none"/>
              </w:rPr>
              <w:t>监测结果表明，本项目所在地环境噪声能达到《声环境质量标准》（GB3096-2008）中的3类标准，西南侧敏感点达到《声环境质量标准》（GB3096-2008）中的2类标准。</w:t>
            </w:r>
          </w:p>
          <w:p>
            <w:pPr>
              <w:spacing w:line="500" w:lineRule="exact"/>
              <w:ind w:firstLine="0" w:firstLineChars="0"/>
              <w:rPr>
                <w:b/>
                <w:bCs/>
                <w:color w:val="auto"/>
                <w:highlight w:val="none"/>
              </w:rPr>
            </w:pPr>
            <w:r>
              <w:rPr>
                <w:rFonts w:hint="eastAsia"/>
                <w:b/>
                <w:bCs/>
                <w:color w:val="auto"/>
                <w:highlight w:val="none"/>
              </w:rPr>
              <w:t>3.1.4 生态环境质量现状</w:t>
            </w:r>
          </w:p>
          <w:p>
            <w:pPr>
              <w:spacing w:line="500" w:lineRule="exact"/>
              <w:ind w:firstLine="480"/>
              <w:rPr>
                <w:color w:val="auto"/>
                <w:highlight w:val="none"/>
              </w:rPr>
            </w:pPr>
            <w:r>
              <w:rPr>
                <w:rFonts w:hint="eastAsia"/>
                <w:color w:val="auto"/>
                <w:szCs w:val="24"/>
                <w:highlight w:val="none"/>
              </w:rPr>
              <w:t>本项目系租用德清扬泰建筑材料有限公司闲置工业厂房进行生产，位于</w:t>
            </w:r>
            <w:r>
              <w:rPr>
                <w:rFonts w:hint="eastAsia"/>
                <w:bCs/>
                <w:color w:val="auto"/>
                <w:highlight w:val="none"/>
              </w:rPr>
              <w:t>德清县乾元镇苕溪东街1155号，属于工业集聚点，且新增工业用地范围內不含有生态环境保护目标，故本项目不进行生态现状调查</w:t>
            </w:r>
            <w:r>
              <w:rPr>
                <w:rFonts w:hint="eastAsia"/>
                <w:color w:val="auto"/>
                <w:highlight w:val="none"/>
              </w:rPr>
              <w:t>。</w:t>
            </w:r>
          </w:p>
          <w:p>
            <w:pPr>
              <w:pStyle w:val="4"/>
              <w:spacing w:line="500" w:lineRule="exact"/>
              <w:ind w:firstLine="0" w:firstLineChars="0"/>
              <w:rPr>
                <w:color w:val="auto"/>
                <w:highlight w:val="none"/>
                <w:lang w:val="en-US"/>
              </w:rPr>
            </w:pPr>
            <w:r>
              <w:rPr>
                <w:rFonts w:hint="eastAsia" w:ascii="Times New Roman" w:hAnsi="Times New Roman" w:cs="Times New Roman"/>
                <w:color w:val="auto"/>
                <w:highlight w:val="none"/>
                <w:lang w:val="en-US"/>
              </w:rPr>
              <w:t xml:space="preserve">3.1.5 </w:t>
            </w:r>
            <w:r>
              <w:rPr>
                <w:rFonts w:hint="eastAsia"/>
                <w:color w:val="auto"/>
                <w:highlight w:val="none"/>
                <w:lang w:val="en-US"/>
              </w:rPr>
              <w:t>电磁辐射质量现状</w:t>
            </w:r>
          </w:p>
          <w:p>
            <w:pPr>
              <w:widowControl/>
              <w:spacing w:line="500" w:lineRule="exact"/>
              <w:ind w:firstLine="480"/>
              <w:jc w:val="left"/>
              <w:rPr>
                <w:b/>
                <w:bCs/>
                <w:color w:val="auto"/>
                <w:highlight w:val="none"/>
              </w:rPr>
            </w:pPr>
            <w:r>
              <w:rPr>
                <w:rFonts w:hint="eastAsia" w:ascii="宋体" w:hAnsi="宋体" w:cs="宋体"/>
                <w:color w:val="auto"/>
                <w:kern w:val="0"/>
                <w:szCs w:val="24"/>
                <w:highlight w:val="none"/>
              </w:rPr>
              <w:t>本项目不属于新建或改建、扩建广播电台、差转台、电视塔台、卫星地球上行站、雷达等电磁辐射类项目，故不对项目电磁辐射现状开展监测与评价。</w:t>
            </w:r>
          </w:p>
          <w:p>
            <w:pPr>
              <w:spacing w:line="500" w:lineRule="exact"/>
              <w:ind w:firstLine="0" w:firstLineChars="0"/>
              <w:rPr>
                <w:b/>
                <w:bCs/>
                <w:color w:val="auto"/>
                <w:highlight w:val="none"/>
              </w:rPr>
            </w:pPr>
            <w:r>
              <w:rPr>
                <w:rFonts w:hint="eastAsia"/>
                <w:b/>
                <w:bCs/>
                <w:color w:val="auto"/>
                <w:highlight w:val="none"/>
              </w:rPr>
              <w:t>3.1.6 土壤、地下水环境质量现状</w:t>
            </w:r>
          </w:p>
          <w:p>
            <w:pPr>
              <w:widowControl/>
              <w:spacing w:line="500" w:lineRule="exact"/>
              <w:ind w:firstLine="480"/>
              <w:jc w:val="left"/>
              <w:rPr>
                <w:color w:val="auto"/>
                <w:highlight w:val="none"/>
              </w:rPr>
            </w:pPr>
            <w:r>
              <w:rPr>
                <w:rFonts w:hint="eastAsia"/>
                <w:color w:val="auto"/>
                <w:highlight w:val="none"/>
              </w:rPr>
              <w:t>本项目不存在土壤和地下水环境污染途径，故不要求开展环境质量现状调查。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5000" w:type="pct"/>
            <w:noWrap/>
          </w:tcPr>
          <w:p>
            <w:pPr>
              <w:spacing w:line="500" w:lineRule="exact"/>
              <w:ind w:firstLine="0" w:firstLineChars="0"/>
              <w:rPr>
                <w:b/>
                <w:color w:val="auto"/>
                <w:szCs w:val="24"/>
                <w:highlight w:val="none"/>
              </w:rPr>
            </w:pPr>
            <w:r>
              <w:rPr>
                <w:rFonts w:hint="eastAsia"/>
                <w:b/>
                <w:color w:val="auto"/>
                <w:szCs w:val="24"/>
                <w:highlight w:val="none"/>
              </w:rPr>
              <w:t xml:space="preserve">3.2 </w:t>
            </w:r>
            <w:r>
              <w:rPr>
                <w:b/>
                <w:color w:val="auto"/>
                <w:szCs w:val="24"/>
                <w:highlight w:val="none"/>
              </w:rPr>
              <w:t>环境保护目标</w:t>
            </w:r>
          </w:p>
          <w:p>
            <w:pPr>
              <w:spacing w:line="500" w:lineRule="exact"/>
              <w:ind w:firstLine="544" w:firstLineChars="227"/>
              <w:rPr>
                <w:bCs/>
                <w:color w:val="auto"/>
                <w:highlight w:val="none"/>
              </w:rPr>
            </w:pPr>
            <w:r>
              <w:rPr>
                <w:color w:val="auto"/>
                <w:highlight w:val="none"/>
              </w:rPr>
              <w:t>根据本项目特性和所在地环境特征，确定</w:t>
            </w:r>
            <w:r>
              <w:rPr>
                <w:bCs/>
                <w:color w:val="auto"/>
                <w:highlight w:val="none"/>
              </w:rPr>
              <w:t>主要环境保护目标</w:t>
            </w:r>
            <w:r>
              <w:rPr>
                <w:rFonts w:hint="eastAsia"/>
                <w:bCs/>
                <w:color w:val="auto"/>
                <w:highlight w:val="none"/>
              </w:rPr>
              <w:t>见</w:t>
            </w:r>
            <w:r>
              <w:rPr>
                <w:bCs/>
                <w:color w:val="auto"/>
                <w:highlight w:val="none"/>
              </w:rPr>
              <w:t>表3-</w:t>
            </w:r>
            <w:r>
              <w:rPr>
                <w:rFonts w:hint="eastAsia"/>
                <w:bCs/>
                <w:color w:val="auto"/>
                <w:highlight w:val="none"/>
              </w:rPr>
              <w:t>5</w:t>
            </w:r>
            <w:r>
              <w:rPr>
                <w:bCs/>
                <w:color w:val="auto"/>
                <w:highlight w:val="none"/>
              </w:rPr>
              <w:t>。</w:t>
            </w:r>
          </w:p>
          <w:p>
            <w:pPr>
              <w:spacing w:line="460" w:lineRule="exact"/>
              <w:ind w:firstLine="422"/>
              <w:jc w:val="center"/>
              <w:rPr>
                <w:b/>
                <w:color w:val="auto"/>
                <w:sz w:val="21"/>
                <w:szCs w:val="13"/>
                <w:highlight w:val="none"/>
              </w:rPr>
            </w:pPr>
            <w:r>
              <w:rPr>
                <w:b/>
                <w:color w:val="auto"/>
                <w:sz w:val="21"/>
                <w:szCs w:val="13"/>
                <w:highlight w:val="none"/>
              </w:rPr>
              <w:t>表3</w:t>
            </w:r>
            <w:r>
              <w:rPr>
                <w:rFonts w:hint="eastAsia"/>
                <w:b/>
                <w:color w:val="auto"/>
                <w:sz w:val="21"/>
                <w:szCs w:val="13"/>
                <w:highlight w:val="none"/>
              </w:rPr>
              <w:t>-5</w:t>
            </w:r>
            <w:r>
              <w:rPr>
                <w:b/>
                <w:color w:val="auto"/>
                <w:sz w:val="21"/>
                <w:szCs w:val="13"/>
                <w:highlight w:val="none"/>
              </w:rPr>
              <w:t xml:space="preserve">  主要环境保护目标及保护级别</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88"/>
              <w:gridCol w:w="1096"/>
              <w:gridCol w:w="943"/>
              <w:gridCol w:w="1419"/>
              <w:gridCol w:w="1559"/>
              <w:gridCol w:w="87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restart"/>
                  <w:vAlign w:val="center"/>
                </w:tcPr>
                <w:p>
                  <w:pPr>
                    <w:spacing w:line="240" w:lineRule="auto"/>
                    <w:ind w:firstLine="0" w:firstLineChars="0"/>
                    <w:rPr>
                      <w:b/>
                      <w:bCs/>
                      <w:color w:val="auto"/>
                      <w:sz w:val="21"/>
                      <w:szCs w:val="21"/>
                      <w:highlight w:val="none"/>
                    </w:rPr>
                  </w:pPr>
                  <w:r>
                    <w:rPr>
                      <w:b/>
                      <w:bCs/>
                      <w:color w:val="auto"/>
                      <w:sz w:val="21"/>
                      <w:szCs w:val="21"/>
                      <w:highlight w:val="none"/>
                    </w:rPr>
                    <w:t>序号</w:t>
                  </w:r>
                </w:p>
              </w:tc>
              <w:tc>
                <w:tcPr>
                  <w:tcW w:w="788"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环境</w:t>
                  </w:r>
                </w:p>
                <w:p>
                  <w:pPr>
                    <w:spacing w:line="240" w:lineRule="auto"/>
                    <w:ind w:firstLine="0" w:firstLineChars="0"/>
                    <w:jc w:val="center"/>
                    <w:rPr>
                      <w:b/>
                      <w:bCs/>
                      <w:color w:val="auto"/>
                      <w:sz w:val="21"/>
                      <w:szCs w:val="21"/>
                      <w:highlight w:val="none"/>
                    </w:rPr>
                  </w:pPr>
                  <w:r>
                    <w:rPr>
                      <w:b/>
                      <w:bCs/>
                      <w:color w:val="auto"/>
                      <w:sz w:val="21"/>
                      <w:szCs w:val="21"/>
                      <w:highlight w:val="none"/>
                    </w:rPr>
                    <w:t>要素</w:t>
                  </w:r>
                </w:p>
              </w:tc>
              <w:tc>
                <w:tcPr>
                  <w:tcW w:w="2039" w:type="dxa"/>
                  <w:gridSpan w:val="2"/>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坐标</w:t>
                  </w:r>
                </w:p>
              </w:tc>
              <w:tc>
                <w:tcPr>
                  <w:tcW w:w="1419"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环境保护</w:t>
                  </w:r>
                </w:p>
                <w:p>
                  <w:pPr>
                    <w:spacing w:line="240" w:lineRule="auto"/>
                    <w:ind w:firstLine="0" w:firstLineChars="0"/>
                    <w:jc w:val="center"/>
                    <w:rPr>
                      <w:b/>
                      <w:bCs/>
                      <w:color w:val="auto"/>
                      <w:sz w:val="21"/>
                      <w:szCs w:val="21"/>
                      <w:highlight w:val="none"/>
                    </w:rPr>
                  </w:pPr>
                  <w:r>
                    <w:rPr>
                      <w:b/>
                      <w:bCs/>
                      <w:color w:val="auto"/>
                      <w:sz w:val="21"/>
                      <w:szCs w:val="21"/>
                      <w:highlight w:val="none"/>
                    </w:rPr>
                    <w:t>对象名称</w:t>
                  </w:r>
                </w:p>
              </w:tc>
              <w:tc>
                <w:tcPr>
                  <w:tcW w:w="1559"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方位</w:t>
                  </w:r>
                </w:p>
              </w:tc>
              <w:tc>
                <w:tcPr>
                  <w:tcW w:w="877"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最近</w:t>
                  </w:r>
                </w:p>
                <w:p>
                  <w:pPr>
                    <w:spacing w:line="240" w:lineRule="auto"/>
                    <w:ind w:firstLine="0" w:firstLineChars="0"/>
                    <w:jc w:val="center"/>
                    <w:rPr>
                      <w:b/>
                      <w:bCs/>
                      <w:color w:val="auto"/>
                      <w:sz w:val="21"/>
                      <w:szCs w:val="21"/>
                      <w:highlight w:val="none"/>
                    </w:rPr>
                  </w:pPr>
                  <w:r>
                    <w:rPr>
                      <w:b/>
                      <w:bCs/>
                      <w:color w:val="auto"/>
                      <w:sz w:val="21"/>
                      <w:szCs w:val="21"/>
                      <w:highlight w:val="none"/>
                    </w:rPr>
                    <w:t>距离</w:t>
                  </w:r>
                </w:p>
              </w:tc>
              <w:tc>
                <w:tcPr>
                  <w:tcW w:w="1290"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bCs/>
                      <w:color w:val="auto"/>
                      <w:sz w:val="21"/>
                      <w:szCs w:val="21"/>
                      <w:highlight w:val="none"/>
                    </w:rPr>
                  </w:pPr>
                </w:p>
              </w:tc>
              <w:tc>
                <w:tcPr>
                  <w:tcW w:w="788" w:type="dxa"/>
                  <w:vMerge w:val="continue"/>
                  <w:vAlign w:val="center"/>
                </w:tcPr>
                <w:p>
                  <w:pPr>
                    <w:spacing w:line="240" w:lineRule="auto"/>
                    <w:ind w:firstLine="0" w:firstLineChars="0"/>
                    <w:jc w:val="center"/>
                    <w:rPr>
                      <w:bCs/>
                      <w:color w:val="auto"/>
                      <w:sz w:val="21"/>
                      <w:szCs w:val="21"/>
                      <w:highlight w:val="none"/>
                    </w:rPr>
                  </w:pPr>
                </w:p>
              </w:tc>
              <w:tc>
                <w:tcPr>
                  <w:tcW w:w="109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X</w:t>
                  </w:r>
                </w:p>
              </w:tc>
              <w:tc>
                <w:tcPr>
                  <w:tcW w:w="9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Y</w:t>
                  </w:r>
                </w:p>
              </w:tc>
              <w:tc>
                <w:tcPr>
                  <w:tcW w:w="1419" w:type="dxa"/>
                  <w:vMerge w:val="continue"/>
                  <w:vAlign w:val="center"/>
                </w:tcPr>
                <w:p>
                  <w:pPr>
                    <w:spacing w:line="240" w:lineRule="auto"/>
                    <w:ind w:firstLine="0" w:firstLineChars="0"/>
                    <w:jc w:val="center"/>
                    <w:rPr>
                      <w:bCs/>
                      <w:color w:val="auto"/>
                      <w:sz w:val="21"/>
                      <w:szCs w:val="21"/>
                      <w:highlight w:val="none"/>
                    </w:rPr>
                  </w:pPr>
                </w:p>
              </w:tc>
              <w:tc>
                <w:tcPr>
                  <w:tcW w:w="1559" w:type="dxa"/>
                  <w:vMerge w:val="continue"/>
                  <w:vAlign w:val="center"/>
                </w:tcPr>
                <w:p>
                  <w:pPr>
                    <w:spacing w:line="240" w:lineRule="auto"/>
                    <w:ind w:firstLine="0" w:firstLineChars="0"/>
                    <w:jc w:val="center"/>
                    <w:rPr>
                      <w:bCs/>
                      <w:color w:val="auto"/>
                      <w:sz w:val="21"/>
                      <w:szCs w:val="21"/>
                      <w:highlight w:val="none"/>
                    </w:rPr>
                  </w:pPr>
                </w:p>
              </w:tc>
              <w:tc>
                <w:tcPr>
                  <w:tcW w:w="877" w:type="dxa"/>
                  <w:vMerge w:val="continue"/>
                  <w:vAlign w:val="center"/>
                </w:tcPr>
                <w:p>
                  <w:pPr>
                    <w:spacing w:line="240" w:lineRule="auto"/>
                    <w:ind w:firstLine="0" w:firstLineChars="0"/>
                    <w:jc w:val="center"/>
                    <w:rPr>
                      <w:bCs/>
                      <w:color w:val="auto"/>
                      <w:sz w:val="21"/>
                      <w:szCs w:val="21"/>
                      <w:highlight w:val="none"/>
                    </w:rPr>
                  </w:pPr>
                </w:p>
              </w:tc>
              <w:tc>
                <w:tcPr>
                  <w:tcW w:w="1290" w:type="dxa"/>
                  <w:vMerge w:val="continue"/>
                  <w:vAlign w:val="center"/>
                </w:tcPr>
                <w:p>
                  <w:pPr>
                    <w:spacing w:line="240" w:lineRule="auto"/>
                    <w:ind w:firstLine="0" w:firstLineChars="0"/>
                    <w:jc w:val="center"/>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788" w:type="dxa"/>
                  <w:vAlign w:val="center"/>
                </w:tcPr>
                <w:p>
                  <w:pPr>
                    <w:spacing w:line="240" w:lineRule="auto"/>
                    <w:ind w:firstLine="0" w:firstLineChars="0"/>
                    <w:jc w:val="center"/>
                    <w:rPr>
                      <w:color w:val="auto"/>
                      <w:sz w:val="21"/>
                      <w:szCs w:val="21"/>
                      <w:highlight w:val="none"/>
                    </w:rPr>
                  </w:pPr>
                  <w:r>
                    <w:rPr>
                      <w:color w:val="auto"/>
                      <w:sz w:val="21"/>
                      <w:szCs w:val="21"/>
                      <w:highlight w:val="none"/>
                    </w:rPr>
                    <w:t>环境</w:t>
                  </w:r>
                </w:p>
                <w:p>
                  <w:pPr>
                    <w:spacing w:line="240" w:lineRule="auto"/>
                    <w:ind w:firstLine="0" w:firstLineChars="0"/>
                    <w:jc w:val="center"/>
                    <w:rPr>
                      <w:color w:val="auto"/>
                      <w:sz w:val="21"/>
                      <w:szCs w:val="21"/>
                      <w:highlight w:val="none"/>
                    </w:rPr>
                  </w:pPr>
                  <w:r>
                    <w:rPr>
                      <w:color w:val="auto"/>
                      <w:sz w:val="21"/>
                      <w:szCs w:val="21"/>
                      <w:highlight w:val="none"/>
                    </w:rPr>
                    <w:t>空气</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120.10603130</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30.53772748</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联星村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南侧及西南侧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约146户，共556人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788" w:type="dxa"/>
                  <w:vAlign w:val="center"/>
                </w:tcPr>
                <w:p>
                  <w:pPr>
                    <w:spacing w:line="240" w:lineRule="auto"/>
                    <w:ind w:firstLine="0" w:firstLineChars="0"/>
                    <w:jc w:val="center"/>
                    <w:rPr>
                      <w:color w:val="auto"/>
                      <w:sz w:val="21"/>
                      <w:szCs w:val="21"/>
                      <w:highlight w:val="none"/>
                    </w:rPr>
                  </w:pPr>
                  <w:r>
                    <w:rPr>
                      <w:color w:val="auto"/>
                      <w:sz w:val="21"/>
                      <w:szCs w:val="21"/>
                      <w:highlight w:val="none"/>
                    </w:rPr>
                    <w:t>声</w:t>
                  </w:r>
                </w:p>
                <w:p>
                  <w:pPr>
                    <w:spacing w:line="240" w:lineRule="auto"/>
                    <w:ind w:firstLine="0" w:firstLineChars="0"/>
                    <w:jc w:val="center"/>
                    <w:rPr>
                      <w:color w:val="auto"/>
                      <w:sz w:val="21"/>
                      <w:szCs w:val="21"/>
                      <w:highlight w:val="none"/>
                    </w:rPr>
                  </w:pPr>
                  <w:r>
                    <w:rPr>
                      <w:color w:val="auto"/>
                      <w:sz w:val="21"/>
                      <w:szCs w:val="21"/>
                      <w:highlight w:val="none"/>
                    </w:rPr>
                    <w:t>环境</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120.10603130</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30.53772748</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联星村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南侧及西南侧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约23户，共92人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地下水环境</w:t>
                  </w:r>
                </w:p>
              </w:tc>
              <w:tc>
                <w:tcPr>
                  <w:tcW w:w="3458" w:type="dxa"/>
                  <w:gridSpan w:val="3"/>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区域地下水</w:t>
                  </w:r>
                </w:p>
              </w:tc>
              <w:tc>
                <w:tcPr>
                  <w:tcW w:w="3726" w:type="dxa"/>
                  <w:gridSpan w:val="3"/>
                  <w:vAlign w:val="center"/>
                </w:tcPr>
                <w:p>
                  <w:pPr>
                    <w:spacing w:line="240" w:lineRule="auto"/>
                    <w:ind w:firstLine="0" w:firstLineChars="0"/>
                    <w:rPr>
                      <w:color w:val="auto"/>
                      <w:sz w:val="21"/>
                      <w:szCs w:val="21"/>
                      <w:highlight w:val="none"/>
                    </w:rPr>
                  </w:pPr>
                  <w:r>
                    <w:rPr>
                      <w:rFonts w:hint="eastAsia"/>
                      <w:color w:val="auto"/>
                      <w:sz w:val="21"/>
                      <w:szCs w:val="21"/>
                      <w:highlight w:val="none"/>
                    </w:rPr>
                    <w:t>厂界外500米范围内无地下水集中式饮用水水源和热水、矿泉水、温泉等特殊地下水资源。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788" w:type="dxa"/>
                  <w:vAlign w:val="center"/>
                </w:tcPr>
                <w:p>
                  <w:pPr>
                    <w:spacing w:line="240" w:lineRule="auto"/>
                    <w:ind w:firstLine="0" w:firstLineChars="0"/>
                    <w:jc w:val="center"/>
                    <w:rPr>
                      <w:color w:val="auto"/>
                      <w:sz w:val="21"/>
                      <w:szCs w:val="21"/>
                      <w:highlight w:val="none"/>
                    </w:rPr>
                  </w:pPr>
                  <w:r>
                    <w:rPr>
                      <w:color w:val="auto"/>
                      <w:sz w:val="21"/>
                      <w:szCs w:val="21"/>
                      <w:highlight w:val="none"/>
                    </w:rPr>
                    <w:t>生态</w:t>
                  </w:r>
                  <w:r>
                    <w:rPr>
                      <w:rFonts w:hint="eastAsia"/>
                      <w:color w:val="auto"/>
                      <w:sz w:val="21"/>
                      <w:szCs w:val="21"/>
                      <w:highlight w:val="none"/>
                    </w:rPr>
                    <w:t>环境</w:t>
                  </w:r>
                </w:p>
              </w:tc>
              <w:tc>
                <w:tcPr>
                  <w:tcW w:w="7184" w:type="dxa"/>
                  <w:gridSpan w:val="6"/>
                  <w:vAlign w:val="center"/>
                </w:tcPr>
                <w:p>
                  <w:pPr>
                    <w:spacing w:line="240" w:lineRule="auto"/>
                    <w:ind w:firstLine="0" w:firstLineChars="0"/>
                    <w:rPr>
                      <w:color w:val="auto"/>
                      <w:sz w:val="21"/>
                      <w:szCs w:val="21"/>
                      <w:highlight w:val="none"/>
                    </w:rPr>
                  </w:pPr>
                  <w:r>
                    <w:rPr>
                      <w:rFonts w:hint="eastAsia"/>
                      <w:color w:val="auto"/>
                      <w:sz w:val="21"/>
                      <w:szCs w:val="21"/>
                      <w:highlight w:val="none"/>
                    </w:rPr>
                    <w:t>项目不新增工业用地，租用德清扬泰建筑材料有限公司闲置工业厂房进行生产。对生态环境影响不大。</w:t>
                  </w:r>
                </w:p>
              </w:tc>
            </w:tr>
          </w:tbl>
          <w:p>
            <w:pPr>
              <w:ind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000" w:type="pct"/>
            <w:noWrap/>
          </w:tcPr>
          <w:p>
            <w:pPr>
              <w:spacing w:line="500" w:lineRule="exact"/>
              <w:ind w:firstLine="0" w:firstLineChars="0"/>
              <w:rPr>
                <w:b/>
                <w:bCs/>
                <w:color w:val="auto"/>
                <w:szCs w:val="24"/>
                <w:highlight w:val="none"/>
              </w:rPr>
            </w:pPr>
            <w:r>
              <w:rPr>
                <w:rFonts w:hint="eastAsia"/>
                <w:b/>
                <w:bCs/>
                <w:color w:val="auto"/>
                <w:szCs w:val="24"/>
                <w:highlight w:val="none"/>
              </w:rPr>
              <w:t>3.3污染物排放控制标准</w:t>
            </w:r>
          </w:p>
          <w:p>
            <w:pPr>
              <w:spacing w:line="500" w:lineRule="exact"/>
              <w:ind w:firstLine="0" w:firstLineChars="0"/>
              <w:rPr>
                <w:b/>
                <w:bCs/>
                <w:color w:val="auto"/>
                <w:szCs w:val="24"/>
                <w:highlight w:val="none"/>
              </w:rPr>
            </w:pPr>
            <w:r>
              <w:rPr>
                <w:rFonts w:hint="eastAsia"/>
                <w:b/>
                <w:bCs/>
                <w:color w:val="auto"/>
                <w:szCs w:val="24"/>
                <w:highlight w:val="none"/>
              </w:rPr>
              <w:t>3.3.1</w:t>
            </w:r>
            <w:r>
              <w:rPr>
                <w:b/>
                <w:bCs/>
                <w:color w:val="auto"/>
                <w:szCs w:val="24"/>
                <w:highlight w:val="none"/>
              </w:rPr>
              <w:t>废气</w:t>
            </w:r>
          </w:p>
          <w:p>
            <w:pPr>
              <w:spacing w:line="500" w:lineRule="exact"/>
              <w:ind w:firstLine="480"/>
              <w:rPr>
                <w:color w:val="auto"/>
                <w:szCs w:val="24"/>
                <w:highlight w:val="none"/>
              </w:rPr>
            </w:pPr>
            <w:r>
              <w:rPr>
                <w:rFonts w:hint="eastAsia"/>
                <w:bCs/>
                <w:color w:val="auto"/>
                <w:szCs w:val="24"/>
                <w:highlight w:val="none"/>
              </w:rPr>
              <w:t>本项目工艺粉尘包括车辆扬尘、装卸粉尘、进料粉尘、搅拌粉尘和包装粉尘，其主要污染因子为</w:t>
            </w:r>
            <w:r>
              <w:rPr>
                <w:rFonts w:hint="eastAsia"/>
                <w:color w:val="auto"/>
                <w:szCs w:val="24"/>
                <w:highlight w:val="none"/>
              </w:rPr>
              <w:t>颗粒物，颗粒物有组织排放浓度执行《大气污染物综合排放标准》（GB16297-1996）中的“新污染源，二级标准”中的限值要求，无组织排放浓度执行《大气污染物综合排放标准》（GB16297-1996）中“新污染源，无组织排放限值”。</w:t>
            </w:r>
          </w:p>
          <w:p>
            <w:pPr>
              <w:adjustRightInd w:val="0"/>
              <w:snapToGrid w:val="0"/>
              <w:spacing w:line="460" w:lineRule="exact"/>
              <w:ind w:firstLine="0" w:firstLineChars="0"/>
              <w:jc w:val="center"/>
              <w:rPr>
                <w:color w:val="auto"/>
                <w:sz w:val="21"/>
                <w:szCs w:val="18"/>
                <w:highlight w:val="none"/>
              </w:rPr>
            </w:pPr>
            <w:r>
              <w:rPr>
                <w:b/>
                <w:bCs/>
                <w:color w:val="auto"/>
                <w:sz w:val="21"/>
                <w:szCs w:val="18"/>
                <w:highlight w:val="none"/>
              </w:rPr>
              <w:t>表</w:t>
            </w:r>
            <w:r>
              <w:rPr>
                <w:rFonts w:hint="eastAsia"/>
                <w:b/>
                <w:bCs/>
                <w:color w:val="auto"/>
                <w:sz w:val="21"/>
                <w:szCs w:val="18"/>
                <w:highlight w:val="none"/>
              </w:rPr>
              <w:t>3-4</w:t>
            </w:r>
            <w:r>
              <w:rPr>
                <w:b/>
                <w:bCs/>
                <w:color w:val="auto"/>
                <w:sz w:val="21"/>
                <w:szCs w:val="18"/>
                <w:highlight w:val="none"/>
              </w:rPr>
              <w:t xml:space="preserve">  </w:t>
            </w:r>
            <w:r>
              <w:rPr>
                <w:b/>
                <w:color w:val="auto"/>
                <w:sz w:val="21"/>
                <w:szCs w:val="18"/>
                <w:highlight w:val="none"/>
              </w:rPr>
              <w:t>《大气污染物综合排放标准》</w:t>
            </w:r>
            <w:r>
              <w:rPr>
                <w:rFonts w:hint="eastAsia"/>
                <w:b/>
                <w:color w:val="auto"/>
                <w:sz w:val="21"/>
                <w:szCs w:val="18"/>
                <w:highlight w:val="none"/>
              </w:rPr>
              <w:t>（</w:t>
            </w:r>
            <w:r>
              <w:rPr>
                <w:b/>
                <w:color w:val="auto"/>
                <w:sz w:val="21"/>
                <w:szCs w:val="18"/>
                <w:highlight w:val="none"/>
              </w:rPr>
              <w:t>GB16297-1996</w:t>
            </w:r>
            <w:r>
              <w:rPr>
                <w:rFonts w:hint="eastAsia"/>
                <w:b/>
                <w:color w:val="auto"/>
                <w:sz w:val="21"/>
                <w:szCs w:val="18"/>
                <w:highlight w:val="none"/>
              </w:rPr>
              <w:t>）（节选）</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913"/>
              <w:gridCol w:w="1342"/>
              <w:gridCol w:w="1438"/>
              <w:gridCol w:w="1332"/>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1" w:type="dxa"/>
                  <w:vMerge w:val="restart"/>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污染物</w:t>
                  </w:r>
                </w:p>
              </w:tc>
              <w:tc>
                <w:tcPr>
                  <w:tcW w:w="1913" w:type="dxa"/>
                  <w:vMerge w:val="restart"/>
                  <w:vAlign w:val="center"/>
                </w:tcPr>
                <w:p>
                  <w:pPr>
                    <w:adjustRightInd w:val="0"/>
                    <w:snapToGrid w:val="0"/>
                    <w:spacing w:line="240" w:lineRule="auto"/>
                    <w:ind w:firstLine="0" w:firstLineChars="0"/>
                    <w:jc w:val="center"/>
                    <w:rPr>
                      <w:rFonts w:hint="eastAsia"/>
                      <w:b/>
                      <w:color w:val="auto"/>
                      <w:sz w:val="21"/>
                      <w:szCs w:val="21"/>
                      <w:highlight w:val="none"/>
                    </w:rPr>
                  </w:pPr>
                  <w:r>
                    <w:rPr>
                      <w:b/>
                      <w:color w:val="auto"/>
                      <w:sz w:val="21"/>
                      <w:szCs w:val="21"/>
                      <w:highlight w:val="none"/>
                    </w:rPr>
                    <w:t>最高允许排放浓度</w:t>
                  </w:r>
                </w:p>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（mg/m</w:t>
                  </w:r>
                  <w:r>
                    <w:rPr>
                      <w:b/>
                      <w:color w:val="auto"/>
                      <w:sz w:val="21"/>
                      <w:szCs w:val="21"/>
                      <w:highlight w:val="none"/>
                      <w:vertAlign w:val="superscript"/>
                    </w:rPr>
                    <w:t>3</w:t>
                  </w:r>
                  <w:r>
                    <w:rPr>
                      <w:b/>
                      <w:color w:val="auto"/>
                      <w:sz w:val="21"/>
                      <w:szCs w:val="21"/>
                      <w:highlight w:val="none"/>
                    </w:rPr>
                    <w:t>）</w:t>
                  </w:r>
                </w:p>
              </w:tc>
              <w:tc>
                <w:tcPr>
                  <w:tcW w:w="2780" w:type="dxa"/>
                  <w:gridSpan w:val="2"/>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最高允许排放速率</w:t>
                  </w:r>
                </w:p>
              </w:tc>
              <w:tc>
                <w:tcPr>
                  <w:tcW w:w="2860" w:type="dxa"/>
                  <w:gridSpan w:val="2"/>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1"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13"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34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排气筒高度（m）</w:t>
                  </w:r>
                </w:p>
              </w:tc>
              <w:tc>
                <w:tcPr>
                  <w:tcW w:w="1438"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二级标准</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（kg/h）</w:t>
                  </w:r>
                </w:p>
              </w:tc>
              <w:tc>
                <w:tcPr>
                  <w:tcW w:w="133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监控点</w:t>
                  </w:r>
                </w:p>
              </w:tc>
              <w:tc>
                <w:tcPr>
                  <w:tcW w:w="1528"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浓度限值（mg/m</w:t>
                  </w:r>
                  <w:r>
                    <w:rPr>
                      <w:color w:val="auto"/>
                      <w:sz w:val="21"/>
                      <w:szCs w:val="21"/>
                      <w:highlight w:val="none"/>
                      <w:vertAlign w:val="superscript"/>
                    </w:rPr>
                    <w:t>3</w:t>
                  </w: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1" w:type="dxa"/>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c>
                <w:tcPr>
                  <w:tcW w:w="1913" w:type="dxa"/>
                  <w:vAlign w:val="center"/>
                </w:tcPr>
                <w:p>
                  <w:pPr>
                    <w:pStyle w:val="66"/>
                    <w:adjustRightInd w:val="0"/>
                    <w:spacing w:line="240" w:lineRule="auto"/>
                    <w:ind w:firstLine="0" w:firstLineChars="0"/>
                    <w:rPr>
                      <w:color w:val="auto"/>
                      <w:sz w:val="21"/>
                      <w:szCs w:val="21"/>
                      <w:highlight w:val="none"/>
                    </w:rPr>
                  </w:pPr>
                  <w:r>
                    <w:rPr>
                      <w:color w:val="auto"/>
                      <w:sz w:val="21"/>
                      <w:szCs w:val="21"/>
                      <w:highlight w:val="none"/>
                    </w:rPr>
                    <w:t>120（其他）</w:t>
                  </w:r>
                </w:p>
              </w:tc>
              <w:tc>
                <w:tcPr>
                  <w:tcW w:w="13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w:t>
                  </w:r>
                </w:p>
              </w:tc>
              <w:tc>
                <w:tcPr>
                  <w:tcW w:w="1438" w:type="dxa"/>
                  <w:vAlign w:val="center"/>
                </w:tcPr>
                <w:p>
                  <w:pPr>
                    <w:pStyle w:val="66"/>
                    <w:adjustRightInd w:val="0"/>
                    <w:spacing w:line="240" w:lineRule="auto"/>
                    <w:ind w:firstLine="0" w:firstLineChars="0"/>
                    <w:rPr>
                      <w:color w:val="auto"/>
                      <w:sz w:val="21"/>
                      <w:szCs w:val="21"/>
                      <w:highlight w:val="none"/>
                    </w:rPr>
                  </w:pPr>
                  <w:r>
                    <w:rPr>
                      <w:rFonts w:hint="eastAsia"/>
                      <w:color w:val="auto"/>
                      <w:sz w:val="21"/>
                      <w:szCs w:val="21"/>
                      <w:highlight w:val="none"/>
                    </w:rPr>
                    <w:t>23</w:t>
                  </w:r>
                </w:p>
              </w:tc>
              <w:tc>
                <w:tcPr>
                  <w:tcW w:w="133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周界外</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浓度最高点</w:t>
                  </w:r>
                </w:p>
              </w:tc>
              <w:tc>
                <w:tcPr>
                  <w:tcW w:w="1528" w:type="dxa"/>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r>
          </w:tbl>
          <w:p>
            <w:pPr>
              <w:spacing w:line="500" w:lineRule="exact"/>
              <w:ind w:firstLine="0" w:firstLineChars="0"/>
              <w:rPr>
                <w:b/>
                <w:bCs/>
                <w:color w:val="auto"/>
                <w:szCs w:val="24"/>
                <w:highlight w:val="none"/>
              </w:rPr>
            </w:pPr>
            <w:r>
              <w:rPr>
                <w:rFonts w:hint="eastAsia"/>
                <w:b/>
                <w:bCs/>
                <w:color w:val="auto"/>
                <w:szCs w:val="24"/>
                <w:highlight w:val="none"/>
              </w:rPr>
              <w:t xml:space="preserve">3.3.2 </w:t>
            </w:r>
            <w:r>
              <w:rPr>
                <w:b/>
                <w:bCs/>
                <w:color w:val="auto"/>
                <w:szCs w:val="24"/>
                <w:highlight w:val="none"/>
              </w:rPr>
              <w:t>废水</w:t>
            </w:r>
          </w:p>
          <w:p>
            <w:pPr>
              <w:spacing w:line="500" w:lineRule="exact"/>
              <w:ind w:firstLine="480"/>
              <w:rPr>
                <w:color w:val="auto"/>
                <w:szCs w:val="24"/>
                <w:highlight w:val="none"/>
              </w:rPr>
            </w:pPr>
            <w:r>
              <w:rPr>
                <w:rFonts w:hint="eastAsia"/>
                <w:color w:val="auto"/>
                <w:szCs w:val="24"/>
                <w:highlight w:val="none"/>
              </w:rPr>
              <w:t>本项目生活污水经化粪池预处理后委托环卫部门通过槽罐车集中清运至德清县乾元污水处理有限公司集中处理。营运期生活污水排放</w:t>
            </w:r>
            <w:r>
              <w:rPr>
                <w:rFonts w:hint="eastAsia"/>
                <w:color w:val="auto"/>
                <w:szCs w:val="22"/>
                <w:highlight w:val="none"/>
              </w:rPr>
              <w:t>执行</w:t>
            </w:r>
            <w:r>
              <w:rPr>
                <w:color w:val="auto"/>
                <w:szCs w:val="22"/>
                <w:highlight w:val="none"/>
              </w:rPr>
              <w:t>《污水综合排放标准》</w:t>
            </w:r>
            <w:r>
              <w:rPr>
                <w:rFonts w:hint="eastAsia"/>
                <w:color w:val="auto"/>
                <w:szCs w:val="22"/>
                <w:highlight w:val="none"/>
              </w:rPr>
              <w:t>（</w:t>
            </w:r>
            <w:r>
              <w:rPr>
                <w:color w:val="auto"/>
                <w:szCs w:val="22"/>
                <w:highlight w:val="none"/>
              </w:rPr>
              <w:t>GB8978-1996</w:t>
            </w:r>
            <w:r>
              <w:rPr>
                <w:rFonts w:hint="eastAsia"/>
                <w:color w:val="auto"/>
                <w:szCs w:val="22"/>
                <w:highlight w:val="none"/>
              </w:rPr>
              <w:t>）</w:t>
            </w:r>
            <w:r>
              <w:rPr>
                <w:color w:val="auto"/>
                <w:szCs w:val="22"/>
                <w:highlight w:val="none"/>
              </w:rPr>
              <w:t>中的三级标准</w:t>
            </w:r>
            <w:r>
              <w:rPr>
                <w:rFonts w:hint="eastAsia"/>
                <w:color w:val="auto"/>
                <w:szCs w:val="22"/>
                <w:highlight w:val="none"/>
              </w:rPr>
              <w:t>，</w:t>
            </w:r>
            <w:r>
              <w:rPr>
                <w:color w:val="auto"/>
                <w:szCs w:val="24"/>
                <w:highlight w:val="none"/>
              </w:rPr>
              <w:t>见表</w:t>
            </w:r>
            <w:r>
              <w:rPr>
                <w:rFonts w:hint="eastAsia"/>
                <w:color w:val="auto"/>
                <w:szCs w:val="24"/>
                <w:highlight w:val="none"/>
              </w:rPr>
              <w:t>3-8</w:t>
            </w:r>
            <w:r>
              <w:rPr>
                <w:color w:val="auto"/>
                <w:szCs w:val="24"/>
                <w:highlight w:val="none"/>
              </w:rPr>
              <w:t>。</w:t>
            </w:r>
          </w:p>
          <w:p>
            <w:pPr>
              <w:spacing w:line="460" w:lineRule="exact"/>
              <w:ind w:firstLine="422"/>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3-8</w:t>
            </w:r>
            <w:r>
              <w:rPr>
                <w:b/>
                <w:color w:val="auto"/>
                <w:sz w:val="21"/>
                <w:szCs w:val="18"/>
                <w:highlight w:val="none"/>
              </w:rPr>
              <w:t xml:space="preserve">  《污水综合排放标准》</w:t>
            </w:r>
            <w:r>
              <w:rPr>
                <w:rFonts w:hint="eastAsia"/>
                <w:b/>
                <w:color w:val="auto"/>
                <w:sz w:val="21"/>
                <w:szCs w:val="18"/>
                <w:highlight w:val="none"/>
              </w:rPr>
              <w:t>（</w:t>
            </w:r>
            <w:r>
              <w:rPr>
                <w:b/>
                <w:color w:val="auto"/>
                <w:sz w:val="21"/>
                <w:szCs w:val="18"/>
                <w:highlight w:val="none"/>
              </w:rPr>
              <w:t>GB8978-1996</w:t>
            </w:r>
            <w:r>
              <w:rPr>
                <w:rFonts w:hint="eastAsia"/>
                <w:b/>
                <w:color w:val="auto"/>
                <w:sz w:val="21"/>
                <w:szCs w:val="18"/>
                <w:highlight w:val="none"/>
              </w:rPr>
              <w:t>）</w:t>
            </w:r>
            <w:r>
              <w:rPr>
                <w:b/>
                <w:color w:val="auto"/>
                <w:sz w:val="21"/>
                <w:szCs w:val="18"/>
                <w:highlight w:val="none"/>
              </w:rPr>
              <w:t>三级标准</w:t>
            </w:r>
          </w:p>
          <w:p>
            <w:pPr>
              <w:tabs>
                <w:tab w:val="left" w:pos="3131"/>
                <w:tab w:val="right" w:pos="7989"/>
              </w:tabs>
              <w:spacing w:line="240" w:lineRule="auto"/>
              <w:ind w:right="210" w:firstLine="420"/>
              <w:jc w:val="right"/>
              <w:rPr>
                <w:color w:val="auto"/>
                <w:sz w:val="21"/>
                <w:szCs w:val="18"/>
                <w:highlight w:val="none"/>
              </w:rPr>
            </w:pPr>
            <w:r>
              <w:rPr>
                <w:color w:val="auto"/>
                <w:sz w:val="21"/>
                <w:szCs w:val="18"/>
                <w:highlight w:val="none"/>
              </w:rPr>
              <w:t>单位：mg/L（除pH外）</w:t>
            </w:r>
          </w:p>
          <w:tbl>
            <w:tblPr>
              <w:tblStyle w:val="30"/>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7"/>
              <w:gridCol w:w="953"/>
              <w:gridCol w:w="1179"/>
              <w:gridCol w:w="1055"/>
              <w:gridCol w:w="953"/>
              <w:gridCol w:w="671"/>
              <w:gridCol w:w="1469"/>
              <w:gridCol w:w="10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37"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项目</w:t>
                  </w:r>
                </w:p>
              </w:tc>
              <w:tc>
                <w:tcPr>
                  <w:tcW w:w="953"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pH</w:t>
                  </w:r>
                </w:p>
              </w:tc>
              <w:tc>
                <w:tcPr>
                  <w:tcW w:w="1179"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COD</w:t>
                  </w:r>
                  <w:r>
                    <w:rPr>
                      <w:bCs/>
                      <w:color w:val="auto"/>
                      <w:sz w:val="21"/>
                      <w:szCs w:val="21"/>
                      <w:highlight w:val="none"/>
                      <w:vertAlign w:val="subscript"/>
                    </w:rPr>
                    <w:t>Cr</w:t>
                  </w:r>
                </w:p>
              </w:tc>
              <w:tc>
                <w:tcPr>
                  <w:tcW w:w="1055"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BOD</w:t>
                  </w:r>
                  <w:r>
                    <w:rPr>
                      <w:bCs/>
                      <w:color w:val="auto"/>
                      <w:sz w:val="21"/>
                      <w:szCs w:val="21"/>
                      <w:highlight w:val="none"/>
                      <w:vertAlign w:val="subscript"/>
                    </w:rPr>
                    <w:t>5</w:t>
                  </w:r>
                </w:p>
              </w:tc>
              <w:tc>
                <w:tcPr>
                  <w:tcW w:w="953"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SS</w:t>
                  </w:r>
                </w:p>
              </w:tc>
              <w:tc>
                <w:tcPr>
                  <w:tcW w:w="671"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氨氮</w:t>
                  </w:r>
                </w:p>
              </w:tc>
              <w:tc>
                <w:tcPr>
                  <w:tcW w:w="1469" w:type="dxa"/>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总磷（以P计）</w:t>
                  </w:r>
                </w:p>
              </w:tc>
              <w:tc>
                <w:tcPr>
                  <w:tcW w:w="1087"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动植物油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137"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三级标准</w:t>
                  </w:r>
                </w:p>
              </w:tc>
              <w:tc>
                <w:tcPr>
                  <w:tcW w:w="953"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6～9</w:t>
                  </w:r>
                </w:p>
              </w:tc>
              <w:tc>
                <w:tcPr>
                  <w:tcW w:w="1179"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≤500</w:t>
                  </w:r>
                </w:p>
              </w:tc>
              <w:tc>
                <w:tcPr>
                  <w:tcW w:w="1055"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≤300</w:t>
                  </w:r>
                </w:p>
              </w:tc>
              <w:tc>
                <w:tcPr>
                  <w:tcW w:w="953"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≤400</w:t>
                  </w:r>
                </w:p>
              </w:tc>
              <w:tc>
                <w:tcPr>
                  <w:tcW w:w="67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≤35</w:t>
                  </w:r>
                </w:p>
              </w:tc>
              <w:tc>
                <w:tcPr>
                  <w:tcW w:w="1469"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≤8.0</w:t>
                  </w:r>
                </w:p>
              </w:tc>
              <w:tc>
                <w:tcPr>
                  <w:tcW w:w="1087"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≤100</w:t>
                  </w:r>
                </w:p>
              </w:tc>
            </w:tr>
          </w:tbl>
          <w:p>
            <w:pPr>
              <w:spacing w:line="460" w:lineRule="exact"/>
              <w:ind w:firstLine="210" w:firstLineChars="100"/>
              <w:rPr>
                <w:color w:val="auto"/>
                <w:sz w:val="21"/>
                <w:szCs w:val="16"/>
                <w:highlight w:val="none"/>
              </w:rPr>
            </w:pPr>
            <w:r>
              <w:rPr>
                <w:color w:val="auto"/>
                <w:sz w:val="21"/>
                <w:szCs w:val="18"/>
                <w:highlight w:val="none"/>
              </w:rPr>
              <w:t>注：</w:t>
            </w:r>
            <w:r>
              <w:rPr>
                <w:rFonts w:hint="eastAsia"/>
                <w:color w:val="auto"/>
                <w:sz w:val="21"/>
                <w:szCs w:val="18"/>
                <w:highlight w:val="none"/>
              </w:rPr>
              <w:t>生活污水中</w:t>
            </w:r>
            <w:r>
              <w:rPr>
                <w:color w:val="auto"/>
                <w:sz w:val="21"/>
                <w:szCs w:val="18"/>
                <w:highlight w:val="none"/>
              </w:rPr>
              <w:t>氨氮和总磷</w:t>
            </w:r>
            <w:r>
              <w:rPr>
                <w:rFonts w:hint="eastAsia"/>
                <w:color w:val="auto"/>
                <w:sz w:val="21"/>
                <w:szCs w:val="18"/>
                <w:highlight w:val="none"/>
              </w:rPr>
              <w:t>执行</w:t>
            </w:r>
            <w:r>
              <w:rPr>
                <w:color w:val="auto"/>
                <w:sz w:val="21"/>
                <w:szCs w:val="18"/>
                <w:highlight w:val="none"/>
              </w:rPr>
              <w:t>《工业企业废水氮、磷污染物间接排放限值》</w:t>
            </w:r>
            <w:r>
              <w:rPr>
                <w:rFonts w:hint="eastAsia"/>
                <w:color w:val="auto"/>
                <w:sz w:val="21"/>
                <w:szCs w:val="18"/>
                <w:highlight w:val="none"/>
              </w:rPr>
              <w:t>（</w:t>
            </w:r>
            <w:r>
              <w:rPr>
                <w:color w:val="auto"/>
                <w:sz w:val="21"/>
                <w:szCs w:val="18"/>
                <w:highlight w:val="none"/>
              </w:rPr>
              <w:t>DB33/887-2013</w:t>
            </w:r>
            <w:r>
              <w:rPr>
                <w:rFonts w:hint="eastAsia"/>
                <w:color w:val="auto"/>
                <w:sz w:val="21"/>
                <w:szCs w:val="18"/>
                <w:highlight w:val="none"/>
              </w:rPr>
              <w:t>）</w:t>
            </w:r>
            <w:r>
              <w:rPr>
                <w:color w:val="auto"/>
                <w:sz w:val="21"/>
                <w:szCs w:val="18"/>
                <w:highlight w:val="none"/>
              </w:rPr>
              <w:t>。</w:t>
            </w:r>
          </w:p>
          <w:p>
            <w:pPr>
              <w:spacing w:line="500" w:lineRule="exact"/>
              <w:ind w:firstLine="480"/>
              <w:rPr>
                <w:color w:val="auto"/>
                <w:highlight w:val="none"/>
              </w:rPr>
            </w:pPr>
            <w:r>
              <w:rPr>
                <w:rFonts w:hint="eastAsia"/>
                <w:color w:val="auto"/>
                <w:highlight w:val="none"/>
              </w:rPr>
              <w:t>德清县乾元污水处理有限公司</w:t>
            </w:r>
            <w:r>
              <w:rPr>
                <w:color w:val="auto"/>
                <w:highlight w:val="none"/>
              </w:rPr>
              <w:t>尾水排放</w:t>
            </w:r>
            <w:r>
              <w:rPr>
                <w:rFonts w:hint="eastAsia"/>
                <w:color w:val="auto"/>
                <w:highlight w:val="none"/>
              </w:rPr>
              <w:t>执行</w:t>
            </w:r>
            <w:r>
              <w:rPr>
                <w:color w:val="auto"/>
                <w:highlight w:val="none"/>
              </w:rPr>
              <w:t>《城镇污水处理厂污染物排放标准》</w:t>
            </w:r>
            <w:r>
              <w:rPr>
                <w:rFonts w:hint="eastAsia"/>
                <w:color w:val="auto"/>
                <w:highlight w:val="none"/>
              </w:rPr>
              <w:t>（</w:t>
            </w:r>
            <w:r>
              <w:rPr>
                <w:color w:val="auto"/>
                <w:highlight w:val="none"/>
              </w:rPr>
              <w:t>GB18918-2002</w:t>
            </w:r>
            <w:r>
              <w:rPr>
                <w:rFonts w:hint="eastAsia"/>
                <w:color w:val="auto"/>
                <w:highlight w:val="none"/>
              </w:rPr>
              <w:t>）</w:t>
            </w:r>
            <w:r>
              <w:rPr>
                <w:color w:val="auto"/>
                <w:szCs w:val="24"/>
                <w:highlight w:val="none"/>
              </w:rPr>
              <w:t>中的</w:t>
            </w:r>
            <w:r>
              <w:rPr>
                <w:color w:val="auto"/>
                <w:highlight w:val="none"/>
              </w:rPr>
              <w:t>一级A标准，见表</w:t>
            </w:r>
            <w:r>
              <w:rPr>
                <w:rFonts w:hint="eastAsia"/>
                <w:color w:val="auto"/>
                <w:highlight w:val="none"/>
              </w:rPr>
              <w:t>3-9</w:t>
            </w:r>
            <w:r>
              <w:rPr>
                <w:color w:val="auto"/>
                <w:highlight w:val="none"/>
              </w:rPr>
              <w:t>。</w:t>
            </w:r>
          </w:p>
          <w:p>
            <w:pPr>
              <w:spacing w:line="460" w:lineRule="exact"/>
              <w:ind w:firstLine="422"/>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3-9</w:t>
            </w:r>
            <w:r>
              <w:rPr>
                <w:b/>
                <w:color w:val="auto"/>
                <w:sz w:val="21"/>
                <w:szCs w:val="18"/>
                <w:highlight w:val="none"/>
              </w:rPr>
              <w:t xml:space="preserve">  《城镇污水处理厂污染物排放标准》</w:t>
            </w:r>
            <w:r>
              <w:rPr>
                <w:rFonts w:hint="eastAsia"/>
                <w:b/>
                <w:color w:val="auto"/>
                <w:sz w:val="21"/>
                <w:szCs w:val="18"/>
                <w:highlight w:val="none"/>
              </w:rPr>
              <w:t>（</w:t>
            </w:r>
            <w:r>
              <w:rPr>
                <w:b/>
                <w:color w:val="auto"/>
                <w:sz w:val="21"/>
                <w:szCs w:val="18"/>
                <w:highlight w:val="none"/>
              </w:rPr>
              <w:t>GB18918-2002</w:t>
            </w:r>
            <w:r>
              <w:rPr>
                <w:rFonts w:hint="eastAsia"/>
                <w:b/>
                <w:color w:val="auto"/>
                <w:sz w:val="21"/>
                <w:szCs w:val="18"/>
                <w:highlight w:val="none"/>
              </w:rPr>
              <w:t>）</w:t>
            </w:r>
            <w:r>
              <w:rPr>
                <w:b/>
                <w:color w:val="auto"/>
                <w:sz w:val="21"/>
                <w:szCs w:val="18"/>
                <w:highlight w:val="none"/>
              </w:rPr>
              <w:t>一级A标准</w:t>
            </w:r>
          </w:p>
          <w:p>
            <w:pPr>
              <w:spacing w:line="460" w:lineRule="exact"/>
              <w:ind w:firstLine="4620" w:firstLineChars="2200"/>
              <w:jc w:val="center"/>
              <w:rPr>
                <w:color w:val="auto"/>
                <w:sz w:val="21"/>
                <w:szCs w:val="16"/>
                <w:highlight w:val="none"/>
              </w:rPr>
            </w:pPr>
            <w:r>
              <w:rPr>
                <w:color w:val="auto"/>
                <w:sz w:val="21"/>
                <w:szCs w:val="18"/>
                <w:highlight w:val="none"/>
              </w:rPr>
              <w:t xml:space="preserve">          单位：mg/L（pH除外）</w:t>
            </w:r>
          </w:p>
          <w:tbl>
            <w:tblPr>
              <w:tblStyle w:val="30"/>
              <w:tblW w:w="8504" w:type="dxa"/>
              <w:jc w:val="center"/>
              <w:tblBorders>
                <w:top w:val="single" w:color="auto" w:sz="18" w:space="0"/>
                <w:left w:val="single" w:color="auto" w:sz="2" w:space="0"/>
                <w:bottom w:val="single" w:color="auto" w:sz="18"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96"/>
              <w:gridCol w:w="881"/>
              <w:gridCol w:w="1232"/>
              <w:gridCol w:w="861"/>
              <w:gridCol w:w="703"/>
              <w:gridCol w:w="1063"/>
              <w:gridCol w:w="1641"/>
              <w:gridCol w:w="1227"/>
            </w:tblGrid>
            <w:tr>
              <w:tblPrEx>
                <w:tblBorders>
                  <w:top w:val="single" w:color="auto" w:sz="18" w:space="0"/>
                  <w:left w:val="single" w:color="auto" w:sz="2" w:space="0"/>
                  <w:bottom w:val="single" w:color="auto" w:sz="18"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896" w:type="dxa"/>
                  <w:tcBorders>
                    <w:top w:val="single" w:color="auto" w:sz="2" w:space="0"/>
                    <w:bottom w:val="single" w:color="auto" w:sz="2" w:space="0"/>
                  </w:tcBorders>
                  <w:vAlign w:val="center"/>
                </w:tcPr>
                <w:p>
                  <w:pPr>
                    <w:pStyle w:val="66"/>
                    <w:snapToGrid/>
                    <w:spacing w:line="240" w:lineRule="auto"/>
                    <w:ind w:firstLine="0" w:firstLineChars="0"/>
                    <w:rPr>
                      <w:b/>
                      <w:bCs/>
                      <w:color w:val="auto"/>
                      <w:spacing w:val="0"/>
                      <w:sz w:val="21"/>
                      <w:szCs w:val="21"/>
                      <w:highlight w:val="none"/>
                    </w:rPr>
                  </w:pPr>
                  <w:r>
                    <w:rPr>
                      <w:b/>
                      <w:bCs/>
                      <w:color w:val="auto"/>
                      <w:spacing w:val="0"/>
                      <w:sz w:val="21"/>
                      <w:szCs w:val="21"/>
                      <w:highlight w:val="none"/>
                    </w:rPr>
                    <w:t>项目</w:t>
                  </w:r>
                </w:p>
              </w:tc>
              <w:tc>
                <w:tcPr>
                  <w:tcW w:w="881" w:type="dxa"/>
                  <w:tcBorders>
                    <w:top w:val="single" w:color="auto" w:sz="2" w:space="0"/>
                    <w:bottom w:val="single" w:color="auto" w:sz="2" w:space="0"/>
                  </w:tcBorders>
                  <w:vAlign w:val="center"/>
                </w:tcPr>
                <w:p>
                  <w:pPr>
                    <w:pStyle w:val="66"/>
                    <w:snapToGrid/>
                    <w:spacing w:line="240" w:lineRule="auto"/>
                    <w:ind w:firstLine="0" w:firstLineChars="0"/>
                    <w:rPr>
                      <w:bCs/>
                      <w:color w:val="auto"/>
                      <w:spacing w:val="0"/>
                      <w:sz w:val="21"/>
                      <w:szCs w:val="21"/>
                      <w:highlight w:val="none"/>
                    </w:rPr>
                  </w:pPr>
                  <w:r>
                    <w:rPr>
                      <w:bCs/>
                      <w:color w:val="auto"/>
                      <w:spacing w:val="0"/>
                      <w:sz w:val="21"/>
                      <w:szCs w:val="21"/>
                      <w:highlight w:val="none"/>
                    </w:rPr>
                    <w:t>pH</w:t>
                  </w:r>
                </w:p>
              </w:tc>
              <w:tc>
                <w:tcPr>
                  <w:tcW w:w="1232" w:type="dxa"/>
                  <w:tcBorders>
                    <w:top w:val="single" w:color="auto" w:sz="2" w:space="0"/>
                    <w:bottom w:val="single" w:color="auto" w:sz="2" w:space="0"/>
                  </w:tcBorders>
                  <w:vAlign w:val="center"/>
                </w:tcPr>
                <w:p>
                  <w:pPr>
                    <w:pStyle w:val="66"/>
                    <w:snapToGrid/>
                    <w:spacing w:line="240" w:lineRule="auto"/>
                    <w:ind w:firstLine="0" w:firstLineChars="0"/>
                    <w:rPr>
                      <w:bCs/>
                      <w:color w:val="auto"/>
                      <w:spacing w:val="0"/>
                      <w:sz w:val="21"/>
                      <w:szCs w:val="21"/>
                      <w:highlight w:val="none"/>
                    </w:rPr>
                  </w:pPr>
                  <w:r>
                    <w:rPr>
                      <w:bCs/>
                      <w:color w:val="auto"/>
                      <w:spacing w:val="0"/>
                      <w:sz w:val="21"/>
                      <w:szCs w:val="21"/>
                      <w:highlight w:val="none"/>
                    </w:rPr>
                    <w:t>COD</w:t>
                  </w:r>
                  <w:r>
                    <w:rPr>
                      <w:bCs/>
                      <w:color w:val="auto"/>
                      <w:spacing w:val="0"/>
                      <w:sz w:val="21"/>
                      <w:szCs w:val="21"/>
                      <w:highlight w:val="none"/>
                      <w:vertAlign w:val="subscript"/>
                    </w:rPr>
                    <w:t>Cr</w:t>
                  </w:r>
                </w:p>
              </w:tc>
              <w:tc>
                <w:tcPr>
                  <w:tcW w:w="861" w:type="dxa"/>
                  <w:tcBorders>
                    <w:top w:val="single" w:color="auto" w:sz="2" w:space="0"/>
                    <w:bottom w:val="single" w:color="auto" w:sz="2" w:space="0"/>
                  </w:tcBorders>
                  <w:vAlign w:val="center"/>
                </w:tcPr>
                <w:p>
                  <w:pPr>
                    <w:pStyle w:val="66"/>
                    <w:snapToGrid/>
                    <w:spacing w:line="240" w:lineRule="auto"/>
                    <w:ind w:firstLine="0" w:firstLineChars="0"/>
                    <w:rPr>
                      <w:bCs/>
                      <w:color w:val="auto"/>
                      <w:spacing w:val="0"/>
                      <w:sz w:val="21"/>
                      <w:szCs w:val="21"/>
                      <w:highlight w:val="none"/>
                    </w:rPr>
                  </w:pPr>
                  <w:r>
                    <w:rPr>
                      <w:bCs/>
                      <w:color w:val="auto"/>
                      <w:spacing w:val="0"/>
                      <w:sz w:val="21"/>
                      <w:szCs w:val="21"/>
                      <w:highlight w:val="none"/>
                    </w:rPr>
                    <w:t>BOD</w:t>
                  </w:r>
                  <w:r>
                    <w:rPr>
                      <w:bCs/>
                      <w:color w:val="auto"/>
                      <w:spacing w:val="0"/>
                      <w:sz w:val="21"/>
                      <w:szCs w:val="21"/>
                      <w:highlight w:val="none"/>
                      <w:vertAlign w:val="subscript"/>
                    </w:rPr>
                    <w:t>5</w:t>
                  </w:r>
                </w:p>
              </w:tc>
              <w:tc>
                <w:tcPr>
                  <w:tcW w:w="703" w:type="dxa"/>
                  <w:tcBorders>
                    <w:top w:val="single" w:color="auto" w:sz="2" w:space="0"/>
                    <w:bottom w:val="single" w:color="auto" w:sz="2" w:space="0"/>
                  </w:tcBorders>
                  <w:vAlign w:val="center"/>
                </w:tcPr>
                <w:p>
                  <w:pPr>
                    <w:pStyle w:val="66"/>
                    <w:snapToGrid/>
                    <w:spacing w:line="240" w:lineRule="auto"/>
                    <w:ind w:firstLine="0" w:firstLineChars="0"/>
                    <w:rPr>
                      <w:bCs/>
                      <w:color w:val="auto"/>
                      <w:spacing w:val="0"/>
                      <w:sz w:val="21"/>
                      <w:szCs w:val="21"/>
                      <w:highlight w:val="none"/>
                    </w:rPr>
                  </w:pPr>
                  <w:r>
                    <w:rPr>
                      <w:bCs/>
                      <w:color w:val="auto"/>
                      <w:spacing w:val="0"/>
                      <w:sz w:val="21"/>
                      <w:szCs w:val="21"/>
                      <w:highlight w:val="none"/>
                    </w:rPr>
                    <w:t>SS</w:t>
                  </w:r>
                </w:p>
              </w:tc>
              <w:tc>
                <w:tcPr>
                  <w:tcW w:w="1063" w:type="dxa"/>
                  <w:tcBorders>
                    <w:top w:val="single" w:color="auto" w:sz="2" w:space="0"/>
                    <w:bottom w:val="single" w:color="auto" w:sz="2" w:space="0"/>
                    <w:right w:val="single" w:color="auto" w:sz="4" w:space="0"/>
                  </w:tcBorders>
                  <w:vAlign w:val="center"/>
                </w:tcPr>
                <w:p>
                  <w:pPr>
                    <w:pStyle w:val="66"/>
                    <w:snapToGrid/>
                    <w:spacing w:line="240" w:lineRule="auto"/>
                    <w:ind w:firstLine="0" w:firstLineChars="0"/>
                    <w:rPr>
                      <w:bCs/>
                      <w:color w:val="auto"/>
                      <w:spacing w:val="0"/>
                      <w:sz w:val="21"/>
                      <w:szCs w:val="21"/>
                      <w:highlight w:val="none"/>
                    </w:rPr>
                  </w:pPr>
                  <w:r>
                    <w:rPr>
                      <w:bCs/>
                      <w:color w:val="auto"/>
                      <w:sz w:val="21"/>
                      <w:szCs w:val="21"/>
                      <w:highlight w:val="none"/>
                    </w:rPr>
                    <w:t>NH</w:t>
                  </w:r>
                  <w:r>
                    <w:rPr>
                      <w:bCs/>
                      <w:color w:val="auto"/>
                      <w:sz w:val="21"/>
                      <w:szCs w:val="21"/>
                      <w:highlight w:val="none"/>
                      <w:vertAlign w:val="subscript"/>
                    </w:rPr>
                    <w:t>3</w:t>
                  </w:r>
                  <w:r>
                    <w:rPr>
                      <w:bCs/>
                      <w:color w:val="auto"/>
                      <w:sz w:val="21"/>
                      <w:szCs w:val="21"/>
                      <w:highlight w:val="none"/>
                    </w:rPr>
                    <w:t>-N</w:t>
                  </w:r>
                </w:p>
              </w:tc>
              <w:tc>
                <w:tcPr>
                  <w:tcW w:w="1641" w:type="dxa"/>
                  <w:tcBorders>
                    <w:top w:val="single" w:color="auto" w:sz="2" w:space="0"/>
                    <w:left w:val="single" w:color="auto" w:sz="4" w:space="0"/>
                    <w:bottom w:val="single" w:color="auto" w:sz="2" w:space="0"/>
                  </w:tcBorders>
                  <w:vAlign w:val="center"/>
                </w:tcPr>
                <w:p>
                  <w:pPr>
                    <w:pStyle w:val="66"/>
                    <w:snapToGrid/>
                    <w:spacing w:line="240" w:lineRule="auto"/>
                    <w:ind w:firstLine="0" w:firstLineChars="0"/>
                    <w:rPr>
                      <w:bCs/>
                      <w:color w:val="auto"/>
                      <w:spacing w:val="0"/>
                      <w:sz w:val="21"/>
                      <w:szCs w:val="21"/>
                      <w:highlight w:val="none"/>
                    </w:rPr>
                  </w:pPr>
                  <w:r>
                    <w:rPr>
                      <w:color w:val="auto"/>
                      <w:sz w:val="21"/>
                      <w:szCs w:val="21"/>
                      <w:highlight w:val="none"/>
                    </w:rPr>
                    <w:t>总磷（以P计）</w:t>
                  </w:r>
                </w:p>
              </w:tc>
              <w:tc>
                <w:tcPr>
                  <w:tcW w:w="1227" w:type="dxa"/>
                  <w:tcBorders>
                    <w:top w:val="single" w:color="auto" w:sz="2" w:space="0"/>
                    <w:left w:val="single" w:color="auto" w:sz="4" w:space="0"/>
                    <w:bottom w:val="single" w:color="auto" w:sz="2" w:space="0"/>
                  </w:tcBorders>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动植物油</w:t>
                  </w:r>
                </w:p>
              </w:tc>
            </w:tr>
            <w:tr>
              <w:tblPrEx>
                <w:tblBorders>
                  <w:top w:val="single" w:color="auto" w:sz="18" w:space="0"/>
                  <w:left w:val="single" w:color="auto" w:sz="2" w:space="0"/>
                  <w:bottom w:val="single" w:color="auto" w:sz="18"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896" w:type="dxa"/>
                  <w:tcBorders>
                    <w:top w:val="single" w:color="auto" w:sz="2" w:space="0"/>
                    <w:bottom w:val="single" w:color="auto" w:sz="2" w:space="0"/>
                  </w:tcBorders>
                  <w:vAlign w:val="center"/>
                </w:tcPr>
                <w:p>
                  <w:pPr>
                    <w:pStyle w:val="66"/>
                    <w:snapToGrid/>
                    <w:spacing w:line="240" w:lineRule="auto"/>
                    <w:ind w:firstLine="0" w:firstLineChars="0"/>
                    <w:rPr>
                      <w:b/>
                      <w:bCs/>
                      <w:color w:val="auto"/>
                      <w:spacing w:val="0"/>
                      <w:sz w:val="21"/>
                      <w:szCs w:val="21"/>
                      <w:highlight w:val="none"/>
                    </w:rPr>
                  </w:pPr>
                  <w:r>
                    <w:rPr>
                      <w:b/>
                      <w:bCs/>
                      <w:color w:val="auto"/>
                      <w:spacing w:val="0"/>
                      <w:sz w:val="21"/>
                      <w:szCs w:val="21"/>
                      <w:highlight w:val="none"/>
                    </w:rPr>
                    <w:t>标准值</w:t>
                  </w:r>
                </w:p>
              </w:tc>
              <w:tc>
                <w:tcPr>
                  <w:tcW w:w="881" w:type="dxa"/>
                  <w:tcBorders>
                    <w:top w:val="single" w:color="auto" w:sz="2" w:space="0"/>
                    <w:bottom w:val="single" w:color="auto" w:sz="2"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6～9</w:t>
                  </w:r>
                </w:p>
              </w:tc>
              <w:tc>
                <w:tcPr>
                  <w:tcW w:w="1232" w:type="dxa"/>
                  <w:tcBorders>
                    <w:top w:val="single" w:color="auto" w:sz="2" w:space="0"/>
                    <w:bottom w:val="single" w:color="auto" w:sz="2"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≤50</w:t>
                  </w:r>
                </w:p>
              </w:tc>
              <w:tc>
                <w:tcPr>
                  <w:tcW w:w="861" w:type="dxa"/>
                  <w:tcBorders>
                    <w:top w:val="single" w:color="auto" w:sz="2" w:space="0"/>
                    <w:bottom w:val="single" w:color="auto" w:sz="2"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c>
                <w:tcPr>
                  <w:tcW w:w="703" w:type="dxa"/>
                  <w:tcBorders>
                    <w:top w:val="single" w:color="auto" w:sz="2" w:space="0"/>
                    <w:bottom w:val="single" w:color="auto" w:sz="2"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c>
                <w:tcPr>
                  <w:tcW w:w="1063" w:type="dxa"/>
                  <w:tcBorders>
                    <w:top w:val="single" w:color="auto" w:sz="2" w:space="0"/>
                    <w:bottom w:val="single" w:color="auto" w:sz="2" w:space="0"/>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≤5</w:t>
                  </w:r>
                </w:p>
              </w:tc>
              <w:tc>
                <w:tcPr>
                  <w:tcW w:w="1641" w:type="dxa"/>
                  <w:tcBorders>
                    <w:top w:val="single" w:color="auto" w:sz="2" w:space="0"/>
                    <w:left w:val="single" w:color="auto" w:sz="4" w:space="0"/>
                    <w:bottom w:val="single" w:color="auto" w:sz="2" w:space="0"/>
                  </w:tcBorders>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≤0.5</w:t>
                  </w:r>
                </w:p>
              </w:tc>
              <w:tc>
                <w:tcPr>
                  <w:tcW w:w="1227" w:type="dxa"/>
                  <w:tcBorders>
                    <w:top w:val="single" w:color="auto" w:sz="2" w:space="0"/>
                    <w:left w:val="single" w:color="auto" w:sz="4" w:space="0"/>
                    <w:bottom w:val="single" w:color="auto" w:sz="2" w:space="0"/>
                  </w:tcBorders>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≤1</w:t>
                  </w:r>
                </w:p>
              </w:tc>
            </w:tr>
          </w:tbl>
          <w:p>
            <w:pPr>
              <w:spacing w:line="500" w:lineRule="exact"/>
              <w:ind w:firstLine="0" w:firstLineChars="0"/>
              <w:rPr>
                <w:b/>
                <w:bCs/>
                <w:color w:val="auto"/>
                <w:szCs w:val="24"/>
                <w:highlight w:val="none"/>
              </w:rPr>
            </w:pPr>
            <w:r>
              <w:rPr>
                <w:rFonts w:hint="eastAsia"/>
                <w:b/>
                <w:bCs/>
                <w:color w:val="auto"/>
                <w:szCs w:val="24"/>
                <w:highlight w:val="none"/>
              </w:rPr>
              <w:t xml:space="preserve">3.3.3 </w:t>
            </w:r>
            <w:r>
              <w:rPr>
                <w:b/>
                <w:bCs/>
                <w:color w:val="auto"/>
                <w:szCs w:val="24"/>
                <w:highlight w:val="none"/>
              </w:rPr>
              <w:t>噪声</w:t>
            </w:r>
          </w:p>
          <w:p>
            <w:pPr>
              <w:spacing w:line="500" w:lineRule="exact"/>
              <w:ind w:firstLine="480" w:firstLineChars="0"/>
              <w:jc w:val="left"/>
              <w:rPr>
                <w:color w:val="auto"/>
                <w:highlight w:val="none"/>
              </w:rPr>
            </w:pPr>
            <w:r>
              <w:rPr>
                <w:rFonts w:hint="eastAsia"/>
                <w:color w:val="auto"/>
                <w:szCs w:val="24"/>
                <w:highlight w:val="none"/>
              </w:rPr>
              <w:t>营运期噪声执行《工业企业厂界噪声排放标准》(GB12348-2008)中的3</w:t>
            </w:r>
            <w:r>
              <w:rPr>
                <w:color w:val="auto"/>
                <w:szCs w:val="24"/>
                <w:highlight w:val="none"/>
              </w:rPr>
              <w:t>类</w:t>
            </w:r>
            <w:r>
              <w:rPr>
                <w:rFonts w:hint="eastAsia"/>
                <w:color w:val="auto"/>
                <w:szCs w:val="24"/>
                <w:highlight w:val="none"/>
              </w:rPr>
              <w:t>标准，南侧及西南侧敏感点营运期噪声执行《工业企业厂界噪声排放标准》（GB12348-2008）中的2类标准，见表3-10。</w:t>
            </w:r>
          </w:p>
          <w:p>
            <w:pPr>
              <w:adjustRightInd w:val="0"/>
              <w:snapToGrid w:val="0"/>
              <w:spacing w:line="460" w:lineRule="exact"/>
              <w:ind w:firstLine="422"/>
              <w:jc w:val="center"/>
              <w:rPr>
                <w:b/>
                <w:color w:val="auto"/>
                <w:sz w:val="21"/>
                <w:szCs w:val="21"/>
                <w:highlight w:val="none"/>
              </w:rPr>
            </w:pPr>
            <w:r>
              <w:rPr>
                <w:rFonts w:hAnsi="Arial"/>
                <w:b/>
                <w:color w:val="auto"/>
                <w:sz w:val="21"/>
                <w:szCs w:val="21"/>
                <w:highlight w:val="none"/>
              </w:rPr>
              <w:t>表</w:t>
            </w:r>
            <w:r>
              <w:rPr>
                <w:rFonts w:hint="eastAsia"/>
                <w:b/>
                <w:color w:val="auto"/>
                <w:sz w:val="21"/>
                <w:szCs w:val="21"/>
                <w:highlight w:val="none"/>
              </w:rPr>
              <w:t>3-10</w:t>
            </w:r>
            <w:r>
              <w:rPr>
                <w:rFonts w:hAnsi="Arial"/>
                <w:b/>
                <w:color w:val="auto"/>
                <w:sz w:val="21"/>
                <w:szCs w:val="21"/>
                <w:highlight w:val="none"/>
              </w:rPr>
              <w:t>《工业企业厂界环境噪声排放标准》</w:t>
            </w:r>
            <w:r>
              <w:rPr>
                <w:rFonts w:hint="eastAsia" w:hAnsi="Arial"/>
                <w:b/>
                <w:color w:val="auto"/>
                <w:sz w:val="21"/>
                <w:szCs w:val="21"/>
                <w:highlight w:val="none"/>
              </w:rPr>
              <w:t>（</w:t>
            </w:r>
            <w:r>
              <w:rPr>
                <w:b/>
                <w:color w:val="auto"/>
                <w:sz w:val="21"/>
                <w:szCs w:val="21"/>
                <w:highlight w:val="none"/>
              </w:rPr>
              <w:t>GB12348-2008</w:t>
            </w:r>
            <w:r>
              <w:rPr>
                <w:rFonts w:hint="eastAsia" w:hAnsi="Arial"/>
                <w:b/>
                <w:color w:val="auto"/>
                <w:sz w:val="21"/>
                <w:szCs w:val="21"/>
                <w:highlight w:val="none"/>
              </w:rPr>
              <w:t>）2、3类标准</w:t>
            </w:r>
          </w:p>
          <w:p>
            <w:pPr>
              <w:spacing w:line="460" w:lineRule="exact"/>
              <w:ind w:right="315" w:firstLine="420"/>
              <w:jc w:val="right"/>
              <w:rPr>
                <w:color w:val="auto"/>
                <w:sz w:val="21"/>
                <w:szCs w:val="21"/>
                <w:highlight w:val="none"/>
              </w:rPr>
            </w:pPr>
            <w:r>
              <w:rPr>
                <w:rFonts w:hAnsi="Arial"/>
                <w:color w:val="auto"/>
                <w:sz w:val="21"/>
                <w:szCs w:val="21"/>
                <w:highlight w:val="none"/>
              </w:rPr>
              <w:t>单位：</w:t>
            </w:r>
            <w:r>
              <w:rPr>
                <w:color w:val="auto"/>
                <w:sz w:val="21"/>
                <w:szCs w:val="21"/>
                <w:highlight w:val="none"/>
              </w:rPr>
              <w:t>dB</w:t>
            </w:r>
            <w:r>
              <w:rPr>
                <w:rFonts w:hint="eastAsia"/>
                <w:color w:val="auto"/>
                <w:sz w:val="21"/>
                <w:szCs w:val="21"/>
                <w:highlight w:val="none"/>
              </w:rPr>
              <w:t>（</w:t>
            </w:r>
            <w:r>
              <w:rPr>
                <w:color w:val="auto"/>
                <w:sz w:val="21"/>
                <w:szCs w:val="21"/>
                <w:highlight w:val="none"/>
              </w:rPr>
              <w:t>A</w:t>
            </w:r>
            <w:r>
              <w:rPr>
                <w:rFonts w:hint="eastAsia"/>
                <w:color w:val="auto"/>
                <w:sz w:val="21"/>
                <w:szCs w:val="21"/>
                <w:highlight w:val="none"/>
              </w:rPr>
              <w:t>）</w:t>
            </w:r>
          </w:p>
          <w:tbl>
            <w:tblPr>
              <w:tblStyle w:val="30"/>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483"/>
              <w:gridCol w:w="50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898" w:type="dxa"/>
                  <w:noWrap/>
                  <w:vAlign w:val="center"/>
                </w:tcPr>
                <w:p>
                  <w:pPr>
                    <w:spacing w:line="240" w:lineRule="auto"/>
                    <w:ind w:firstLine="0" w:firstLineChars="0"/>
                    <w:jc w:val="center"/>
                    <w:rPr>
                      <w:b/>
                      <w:color w:val="auto"/>
                      <w:sz w:val="21"/>
                      <w:szCs w:val="21"/>
                      <w:highlight w:val="none"/>
                    </w:rPr>
                  </w:pPr>
                  <w:r>
                    <w:rPr>
                      <w:rFonts w:hAnsi="宋体"/>
                      <w:b/>
                      <w:color w:val="auto"/>
                      <w:sz w:val="21"/>
                      <w:szCs w:val="21"/>
                      <w:highlight w:val="none"/>
                    </w:rPr>
                    <w:t>类别</w:t>
                  </w:r>
                </w:p>
              </w:tc>
              <w:tc>
                <w:tcPr>
                  <w:tcW w:w="2736" w:type="dxa"/>
                  <w:tcBorders>
                    <w:right w:val="single" w:color="auto" w:sz="4" w:space="0"/>
                  </w:tcBorders>
                  <w:noWrap/>
                  <w:vAlign w:val="center"/>
                </w:tcPr>
                <w:p>
                  <w:pPr>
                    <w:spacing w:line="240" w:lineRule="auto"/>
                    <w:ind w:firstLine="0" w:firstLineChars="0"/>
                    <w:jc w:val="center"/>
                    <w:rPr>
                      <w:b/>
                      <w:color w:val="auto"/>
                      <w:sz w:val="21"/>
                      <w:szCs w:val="21"/>
                      <w:highlight w:val="none"/>
                    </w:rPr>
                  </w:pPr>
                  <w:r>
                    <w:rPr>
                      <w:rFonts w:hAnsi="宋体"/>
                      <w:b/>
                      <w:color w:val="auto"/>
                      <w:sz w:val="21"/>
                      <w:szCs w:val="21"/>
                      <w:highlight w:val="none"/>
                    </w:rPr>
                    <w:t>昼间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898" w:type="dxa"/>
                  <w:noWrap/>
                  <w:vAlign w:val="center"/>
                </w:tcPr>
                <w:p>
                  <w:pPr>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2类</w:t>
                  </w:r>
                </w:p>
              </w:tc>
              <w:tc>
                <w:tcPr>
                  <w:tcW w:w="2736" w:type="dxa"/>
                  <w:tcBorders>
                    <w:right w:val="single" w:color="auto" w:sz="4" w:space="0"/>
                  </w:tcBorders>
                  <w:noWrap/>
                  <w:vAlign w:val="center"/>
                </w:tcPr>
                <w:p>
                  <w:pPr>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898"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w:t>
                  </w:r>
                  <w:r>
                    <w:rPr>
                      <w:rFonts w:hAnsi="宋体"/>
                      <w:bCs/>
                      <w:color w:val="auto"/>
                      <w:sz w:val="21"/>
                      <w:szCs w:val="21"/>
                      <w:highlight w:val="none"/>
                    </w:rPr>
                    <w:t>类</w:t>
                  </w:r>
                </w:p>
              </w:tc>
              <w:tc>
                <w:tcPr>
                  <w:tcW w:w="2736" w:type="dxa"/>
                  <w:tcBorders>
                    <w:right w:val="single" w:color="auto" w:sz="4" w:space="0"/>
                  </w:tcBorders>
                  <w:noWrap/>
                  <w:vAlign w:val="center"/>
                </w:tcPr>
                <w:p>
                  <w:pPr>
                    <w:spacing w:line="240" w:lineRule="auto"/>
                    <w:ind w:firstLine="0" w:firstLineChars="0"/>
                    <w:jc w:val="center"/>
                    <w:rPr>
                      <w:color w:val="auto"/>
                      <w:sz w:val="21"/>
                      <w:szCs w:val="21"/>
                      <w:highlight w:val="none"/>
                    </w:rPr>
                  </w:pPr>
                  <w:r>
                    <w:rPr>
                      <w:color w:val="auto"/>
                      <w:sz w:val="21"/>
                      <w:szCs w:val="21"/>
                      <w:highlight w:val="none"/>
                    </w:rPr>
                    <w:t>6</w:t>
                  </w:r>
                  <w:r>
                    <w:rPr>
                      <w:rFonts w:hint="eastAsia"/>
                      <w:color w:val="auto"/>
                      <w:sz w:val="21"/>
                      <w:szCs w:val="21"/>
                      <w:highlight w:val="none"/>
                    </w:rPr>
                    <w:t>5</w:t>
                  </w:r>
                </w:p>
              </w:tc>
            </w:tr>
          </w:tbl>
          <w:p>
            <w:pPr>
              <w:pStyle w:val="26"/>
              <w:spacing w:before="0" w:beforeAutospacing="0" w:after="0" w:afterAutospacing="0" w:line="460" w:lineRule="exact"/>
              <w:ind w:firstLine="210" w:firstLineChars="1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注：夜间不生产。</w:t>
            </w:r>
          </w:p>
          <w:p>
            <w:pPr>
              <w:pStyle w:val="26"/>
              <w:spacing w:before="0" w:beforeAutospacing="0" w:after="0" w:afterAutospacing="0" w:line="500" w:lineRule="exact"/>
              <w:ind w:firstLineChars="0"/>
              <w:rPr>
                <w:rFonts w:ascii="Times New Roman" w:hAnsi="Times New Roman" w:eastAsia="宋体"/>
                <w:color w:val="auto"/>
                <w:kern w:val="2"/>
                <w:highlight w:val="none"/>
              </w:rPr>
            </w:pPr>
            <w:r>
              <w:rPr>
                <w:rFonts w:hint="eastAsia" w:ascii="Times New Roman" w:hAnsi="Times New Roman"/>
                <w:b/>
                <w:bCs/>
                <w:color w:val="auto"/>
                <w:highlight w:val="none"/>
              </w:rPr>
              <w:t>3.3.4</w:t>
            </w:r>
            <w:r>
              <w:rPr>
                <w:rFonts w:ascii="Times New Roman" w:hAnsi="Times New Roman"/>
                <w:b/>
                <w:bCs/>
                <w:color w:val="auto"/>
                <w:highlight w:val="none"/>
              </w:rPr>
              <w:t>固体废物</w:t>
            </w:r>
          </w:p>
          <w:p>
            <w:pPr>
              <w:pStyle w:val="26"/>
              <w:wordWrap w:val="0"/>
              <w:spacing w:before="0" w:beforeAutospacing="0" w:after="0" w:afterAutospacing="0" w:line="500" w:lineRule="exact"/>
              <w:ind w:firstLine="480"/>
              <w:rPr>
                <w:rFonts w:ascii="Times New Roman" w:hAnsi="Times New Roman" w:eastAsia="宋体"/>
                <w:color w:val="auto"/>
                <w:kern w:val="2"/>
                <w:highlight w:val="none"/>
              </w:rPr>
            </w:pPr>
            <w:r>
              <w:rPr>
                <w:rFonts w:hint="eastAsia" w:ascii="Times New Roman" w:hAnsi="Times New Roman" w:eastAsia="宋体"/>
                <w:color w:val="auto"/>
                <w:kern w:val="2"/>
                <w:highlight w:val="none"/>
              </w:rPr>
              <w:t>一般工业固体废物的贮存场执行《</w:t>
            </w:r>
            <w:r>
              <w:rPr>
                <w:rFonts w:hint="eastAsia"/>
                <w:color w:val="auto"/>
                <w:szCs w:val="24"/>
                <w:highlight w:val="none"/>
              </w:rPr>
              <w:t>一般工业固体废物贮存和填埋污染控制标准</w:t>
            </w:r>
            <w:r>
              <w:rPr>
                <w:rFonts w:hint="eastAsia" w:ascii="Times New Roman" w:hAnsi="Times New Roman" w:eastAsia="宋体"/>
                <w:color w:val="auto"/>
                <w:kern w:val="2"/>
                <w:highlight w:val="none"/>
              </w:rPr>
              <w:t>》（GB18599-2020）</w:t>
            </w:r>
            <w:r>
              <w:rPr>
                <w:rFonts w:hint="eastAsia" w:ascii="Times New Roman" w:hAnsi="Times New Roman" w:eastAsia="宋体"/>
                <w:color w:val="auto"/>
                <w:kern w:val="2"/>
                <w:highlight w:val="none"/>
                <w:lang w:val="en-US" w:eastAsia="zh-CN"/>
              </w:rPr>
              <w:t>中的相关内容</w:t>
            </w:r>
            <w:r>
              <w:rPr>
                <w:rFonts w:hint="eastAsia" w:ascii="Times New Roman" w:hAnsi="Times New Roman" w:eastAsia="宋体"/>
                <w:color w:val="auto"/>
                <w:kern w:val="2"/>
                <w:highlight w:val="none"/>
              </w:rPr>
              <w:t>。</w:t>
            </w:r>
          </w:p>
          <w:p>
            <w:pPr>
              <w:pStyle w:val="26"/>
              <w:wordWrap w:val="0"/>
              <w:spacing w:before="0" w:beforeAutospacing="0" w:after="0" w:afterAutospacing="0" w:line="500" w:lineRule="exact"/>
              <w:ind w:firstLine="480"/>
              <w:rPr>
                <w:rFonts w:ascii="Times New Roman" w:hAnsi="Times New Roman" w:eastAsia="宋体"/>
                <w:color w:val="auto"/>
                <w:kern w:val="2"/>
                <w:highlight w:val="none"/>
              </w:rPr>
            </w:pPr>
            <w:r>
              <w:rPr>
                <w:rFonts w:ascii="Times New Roman" w:hAnsi="Times New Roman" w:eastAsia="宋体"/>
                <w:color w:val="auto"/>
                <w:kern w:val="2"/>
                <w:highlight w:val="none"/>
              </w:rPr>
              <w:t>危险固废执行《危险废物贮存污染物控制标准》</w:t>
            </w:r>
            <w:r>
              <w:rPr>
                <w:rFonts w:hint="eastAsia" w:ascii="Times New Roman" w:hAnsi="Times New Roman" w:eastAsia="宋体"/>
                <w:color w:val="auto"/>
                <w:kern w:val="2"/>
                <w:highlight w:val="none"/>
              </w:rPr>
              <w:t>（</w:t>
            </w:r>
            <w:r>
              <w:rPr>
                <w:rFonts w:ascii="Times New Roman" w:hAnsi="Times New Roman" w:eastAsia="宋体"/>
                <w:color w:val="auto"/>
                <w:kern w:val="2"/>
                <w:highlight w:val="none"/>
              </w:rPr>
              <w:t>GB18597-2001</w:t>
            </w:r>
            <w:r>
              <w:rPr>
                <w:rFonts w:hint="eastAsia" w:ascii="Times New Roman" w:hAnsi="Times New Roman" w:eastAsia="宋体"/>
                <w:color w:val="auto"/>
                <w:kern w:val="2"/>
                <w:highlight w:val="none"/>
              </w:rPr>
              <w:t>）</w:t>
            </w:r>
            <w:r>
              <w:rPr>
                <w:rFonts w:ascii="Times New Roman" w:hAnsi="Times New Roman" w:eastAsia="宋体"/>
                <w:color w:val="auto"/>
                <w:kern w:val="2"/>
                <w:highlight w:val="none"/>
              </w:rPr>
              <w:t>和国家环保部2013年第36号公告所发布的修改单内容。</w:t>
            </w:r>
          </w:p>
          <w:p>
            <w:pPr>
              <w:pStyle w:val="26"/>
              <w:wordWrap w:val="0"/>
              <w:spacing w:before="0" w:beforeAutospacing="0" w:after="0" w:afterAutospacing="0" w:line="500" w:lineRule="exact"/>
              <w:ind w:firstLineChars="0"/>
              <w:rPr>
                <w:rFonts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000" w:type="pct"/>
            <w:noWrap/>
            <w:vAlign w:val="top"/>
          </w:tcPr>
          <w:p>
            <w:pPr>
              <w:spacing w:line="500" w:lineRule="exact"/>
              <w:ind w:firstLine="0" w:firstLineChars="0"/>
              <w:rPr>
                <w:rFonts w:eastAsiaTheme="minorEastAsia"/>
                <w:b/>
                <w:bCs/>
                <w:color w:val="auto"/>
                <w:szCs w:val="24"/>
                <w:highlight w:val="none"/>
              </w:rPr>
            </w:pPr>
            <w:r>
              <w:rPr>
                <w:rFonts w:hint="eastAsia"/>
                <w:b/>
                <w:bCs/>
                <w:color w:val="auto"/>
                <w:szCs w:val="24"/>
                <w:highlight w:val="none"/>
              </w:rPr>
              <w:t>3.4总量控制指标</w:t>
            </w:r>
          </w:p>
          <w:p>
            <w:pPr>
              <w:spacing w:line="500" w:lineRule="exact"/>
              <w:ind w:firstLine="0" w:firstLineChars="0"/>
              <w:rPr>
                <w:b/>
                <w:color w:val="auto"/>
                <w:szCs w:val="24"/>
                <w:highlight w:val="none"/>
              </w:rPr>
            </w:pPr>
            <w:r>
              <w:rPr>
                <w:rFonts w:hint="eastAsia" w:hAnsi="宋体"/>
                <w:b/>
                <w:bCs/>
                <w:color w:val="auto"/>
                <w:highlight w:val="none"/>
              </w:rPr>
              <w:t>3.4.1</w:t>
            </w:r>
            <w:r>
              <w:rPr>
                <w:rFonts w:hAnsi="宋体"/>
                <w:b/>
                <w:bCs/>
                <w:color w:val="auto"/>
                <w:highlight w:val="none"/>
              </w:rPr>
              <w:t>依据</w:t>
            </w:r>
          </w:p>
          <w:p>
            <w:pPr>
              <w:spacing w:line="500" w:lineRule="exact"/>
              <w:ind w:firstLine="480"/>
              <w:rPr>
                <w:color w:val="auto"/>
                <w:kern w:val="0"/>
                <w:szCs w:val="24"/>
                <w:highlight w:val="none"/>
              </w:rPr>
            </w:pPr>
            <w:bookmarkStart w:id="5" w:name="_Toc256502561"/>
            <w:r>
              <w:rPr>
                <w:color w:val="auto"/>
                <w:kern w:val="0"/>
                <w:szCs w:val="24"/>
                <w:highlight w:val="none"/>
              </w:rPr>
              <w:t>区域污染物排放总量控制是对区域环境污染控制的一种有效手段，其目的在于使区域环境质量满足社会和经济发展对环境功能的要求。目前主要污染物排放总量控制指标为COD</w:t>
            </w:r>
            <w:r>
              <w:rPr>
                <w:color w:val="auto"/>
                <w:kern w:val="0"/>
                <w:szCs w:val="24"/>
                <w:highlight w:val="none"/>
                <w:vertAlign w:val="subscript"/>
              </w:rPr>
              <w:t>Cr</w:t>
            </w:r>
            <w:r>
              <w:rPr>
                <w:color w:val="auto"/>
                <w:kern w:val="0"/>
                <w:szCs w:val="24"/>
                <w:highlight w:val="none"/>
              </w:rPr>
              <w:t>、NH</w:t>
            </w:r>
            <w:r>
              <w:rPr>
                <w:color w:val="auto"/>
                <w:kern w:val="0"/>
                <w:szCs w:val="24"/>
                <w:highlight w:val="none"/>
                <w:vertAlign w:val="subscript"/>
              </w:rPr>
              <w:t>3</w:t>
            </w:r>
            <w:r>
              <w:rPr>
                <w:color w:val="auto"/>
                <w:kern w:val="0"/>
                <w:szCs w:val="24"/>
                <w:highlight w:val="none"/>
              </w:rPr>
              <w:t>-N、SO</w:t>
            </w:r>
            <w:r>
              <w:rPr>
                <w:color w:val="auto"/>
                <w:kern w:val="0"/>
                <w:szCs w:val="24"/>
                <w:highlight w:val="none"/>
                <w:vertAlign w:val="subscript"/>
              </w:rPr>
              <w:t>2</w:t>
            </w:r>
            <w:r>
              <w:rPr>
                <w:color w:val="auto"/>
                <w:kern w:val="0"/>
                <w:szCs w:val="24"/>
                <w:highlight w:val="none"/>
              </w:rPr>
              <w:t>、NO</w:t>
            </w:r>
            <w:r>
              <w:rPr>
                <w:color w:val="auto"/>
                <w:kern w:val="0"/>
                <w:szCs w:val="24"/>
                <w:highlight w:val="none"/>
                <w:vertAlign w:val="subscript"/>
              </w:rPr>
              <w:t>X</w:t>
            </w:r>
            <w:r>
              <w:rPr>
                <w:color w:val="auto"/>
                <w:kern w:val="0"/>
                <w:szCs w:val="24"/>
                <w:highlight w:val="none"/>
              </w:rPr>
              <w:t>、</w:t>
            </w:r>
            <w:r>
              <w:rPr>
                <w:rFonts w:hint="eastAsia"/>
                <w:color w:val="auto"/>
                <w:kern w:val="0"/>
                <w:szCs w:val="24"/>
                <w:highlight w:val="none"/>
              </w:rPr>
              <w:t>颗粒物和</w:t>
            </w:r>
            <w:r>
              <w:rPr>
                <w:color w:val="auto"/>
                <w:kern w:val="0"/>
                <w:szCs w:val="24"/>
                <w:highlight w:val="none"/>
              </w:rPr>
              <w:t>挥发性有机物</w:t>
            </w:r>
            <w:r>
              <w:rPr>
                <w:rFonts w:hint="eastAsia"/>
                <w:color w:val="auto"/>
                <w:kern w:val="0"/>
                <w:szCs w:val="24"/>
                <w:highlight w:val="none"/>
              </w:rPr>
              <w:t>（</w:t>
            </w:r>
            <w:r>
              <w:rPr>
                <w:color w:val="auto"/>
                <w:kern w:val="0"/>
                <w:szCs w:val="24"/>
                <w:highlight w:val="none"/>
              </w:rPr>
              <w:t>VOCs</w:t>
            </w:r>
            <w:r>
              <w:rPr>
                <w:rFonts w:hint="eastAsia"/>
                <w:color w:val="auto"/>
                <w:kern w:val="0"/>
                <w:szCs w:val="24"/>
                <w:highlight w:val="none"/>
              </w:rPr>
              <w:t>）</w:t>
            </w:r>
            <w:r>
              <w:rPr>
                <w:color w:val="auto"/>
                <w:kern w:val="0"/>
                <w:szCs w:val="24"/>
                <w:highlight w:val="none"/>
              </w:rPr>
              <w:t>。</w:t>
            </w:r>
          </w:p>
          <w:p>
            <w:pPr>
              <w:spacing w:line="500" w:lineRule="exact"/>
              <w:ind w:firstLine="480"/>
              <w:rPr>
                <w:rFonts w:hAnsi="宋体"/>
                <w:color w:val="auto"/>
                <w:kern w:val="0"/>
                <w:szCs w:val="24"/>
                <w:highlight w:val="none"/>
              </w:rPr>
            </w:pPr>
            <w:r>
              <w:rPr>
                <w:rFonts w:hAnsi="宋体"/>
                <w:color w:val="auto"/>
                <w:kern w:val="0"/>
                <w:szCs w:val="24"/>
                <w:highlight w:val="none"/>
              </w:rPr>
              <w:t>结合上述总量控制要求及工程分析可知，本项目排放的污染因子中纳入总量控制的指标为</w:t>
            </w:r>
            <w:r>
              <w:rPr>
                <w:color w:val="auto"/>
                <w:kern w:val="0"/>
                <w:szCs w:val="24"/>
                <w:highlight w:val="none"/>
              </w:rPr>
              <w:t>COD</w:t>
            </w:r>
            <w:r>
              <w:rPr>
                <w:color w:val="auto"/>
                <w:kern w:val="0"/>
                <w:szCs w:val="24"/>
                <w:highlight w:val="none"/>
                <w:vertAlign w:val="subscript"/>
              </w:rPr>
              <w:t>Cr</w:t>
            </w:r>
            <w:r>
              <w:rPr>
                <w:rFonts w:hAnsi="宋体"/>
                <w:color w:val="auto"/>
                <w:kern w:val="0"/>
                <w:szCs w:val="24"/>
                <w:highlight w:val="none"/>
              </w:rPr>
              <w:t>、</w:t>
            </w:r>
            <w:r>
              <w:rPr>
                <w:color w:val="auto"/>
                <w:kern w:val="0"/>
                <w:szCs w:val="24"/>
                <w:highlight w:val="none"/>
              </w:rPr>
              <w:t>NH</w:t>
            </w:r>
            <w:r>
              <w:rPr>
                <w:color w:val="auto"/>
                <w:kern w:val="0"/>
                <w:szCs w:val="24"/>
                <w:highlight w:val="none"/>
                <w:vertAlign w:val="subscript"/>
              </w:rPr>
              <w:t>3</w:t>
            </w:r>
            <w:r>
              <w:rPr>
                <w:color w:val="auto"/>
                <w:kern w:val="0"/>
                <w:szCs w:val="24"/>
                <w:highlight w:val="none"/>
              </w:rPr>
              <w:t>-N</w:t>
            </w:r>
            <w:r>
              <w:rPr>
                <w:rFonts w:hint="eastAsia"/>
                <w:color w:val="auto"/>
                <w:kern w:val="0"/>
                <w:szCs w:val="24"/>
                <w:highlight w:val="none"/>
              </w:rPr>
              <w:t>、颗粒物。</w:t>
            </w:r>
          </w:p>
          <w:p>
            <w:pPr>
              <w:spacing w:line="500" w:lineRule="exact"/>
              <w:ind w:firstLine="0" w:firstLineChars="0"/>
              <w:rPr>
                <w:rFonts w:hAnsi="宋体"/>
                <w:color w:val="auto"/>
                <w:kern w:val="0"/>
                <w:szCs w:val="24"/>
                <w:highlight w:val="none"/>
              </w:rPr>
            </w:pPr>
            <w:r>
              <w:rPr>
                <w:rFonts w:hint="eastAsia"/>
                <w:b/>
                <w:bCs/>
                <w:color w:val="auto"/>
                <w:highlight w:val="none"/>
              </w:rPr>
              <w:t>3.4.2</w:t>
            </w:r>
            <w:r>
              <w:rPr>
                <w:rFonts w:hAnsi="宋体"/>
                <w:b/>
                <w:bCs/>
                <w:color w:val="auto"/>
                <w:highlight w:val="none"/>
              </w:rPr>
              <w:t>建议总量控制指标</w:t>
            </w:r>
          </w:p>
          <w:p>
            <w:pPr>
              <w:snapToGrid w:val="0"/>
              <w:spacing w:line="460" w:lineRule="exact"/>
              <w:ind w:firstLine="422"/>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3-11</w:t>
            </w:r>
            <w:bookmarkEnd w:id="5"/>
            <w:r>
              <w:rPr>
                <w:b/>
                <w:color w:val="auto"/>
                <w:sz w:val="21"/>
                <w:szCs w:val="18"/>
                <w:highlight w:val="none"/>
              </w:rPr>
              <w:t>总量控制指标建议</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317"/>
              <w:gridCol w:w="1164"/>
              <w:gridCol w:w="1187"/>
              <w:gridCol w:w="1459"/>
              <w:gridCol w:w="116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类别</w:t>
                  </w:r>
                </w:p>
              </w:tc>
              <w:tc>
                <w:tcPr>
                  <w:tcW w:w="1317"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总量控制</w:t>
                  </w:r>
                </w:p>
                <w:p>
                  <w:pPr>
                    <w:spacing w:line="240" w:lineRule="auto"/>
                    <w:ind w:firstLine="0" w:firstLineChars="0"/>
                    <w:jc w:val="center"/>
                    <w:rPr>
                      <w:b/>
                      <w:color w:val="auto"/>
                      <w:sz w:val="21"/>
                      <w:szCs w:val="21"/>
                      <w:highlight w:val="none"/>
                    </w:rPr>
                  </w:pPr>
                  <w:r>
                    <w:rPr>
                      <w:b/>
                      <w:color w:val="auto"/>
                      <w:sz w:val="21"/>
                      <w:szCs w:val="21"/>
                      <w:highlight w:val="none"/>
                    </w:rPr>
                    <w:t>指标名称</w:t>
                  </w:r>
                </w:p>
              </w:tc>
              <w:tc>
                <w:tcPr>
                  <w:tcW w:w="1164"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产生量</w:t>
                  </w:r>
                  <w:r>
                    <w:rPr>
                      <w:b/>
                      <w:bCs/>
                      <w:color w:val="auto"/>
                      <w:sz w:val="21"/>
                      <w:szCs w:val="21"/>
                      <w:highlight w:val="none"/>
                    </w:rPr>
                    <w:t>（t/a）</w:t>
                  </w:r>
                </w:p>
              </w:tc>
              <w:tc>
                <w:tcPr>
                  <w:tcW w:w="1187"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削减量</w:t>
                  </w:r>
                </w:p>
                <w:p>
                  <w:pPr>
                    <w:spacing w:line="240" w:lineRule="auto"/>
                    <w:ind w:firstLine="0" w:firstLineChars="0"/>
                    <w:jc w:val="center"/>
                    <w:rPr>
                      <w:color w:val="auto"/>
                      <w:sz w:val="21"/>
                      <w:szCs w:val="21"/>
                      <w:highlight w:val="none"/>
                    </w:rPr>
                  </w:pPr>
                  <w:r>
                    <w:rPr>
                      <w:b/>
                      <w:bCs/>
                      <w:color w:val="auto"/>
                      <w:sz w:val="21"/>
                      <w:szCs w:val="21"/>
                      <w:highlight w:val="none"/>
                    </w:rPr>
                    <w:t>（t/a）</w:t>
                  </w:r>
                </w:p>
              </w:tc>
              <w:tc>
                <w:tcPr>
                  <w:tcW w:w="1459"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排入自然环境的量</w:t>
                  </w:r>
                  <w:r>
                    <w:rPr>
                      <w:b/>
                      <w:bCs/>
                      <w:color w:val="auto"/>
                      <w:sz w:val="21"/>
                      <w:szCs w:val="21"/>
                      <w:highlight w:val="none"/>
                    </w:rPr>
                    <w:t>（t/a）</w:t>
                  </w:r>
                </w:p>
              </w:tc>
              <w:tc>
                <w:tcPr>
                  <w:tcW w:w="1168"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建议</w:t>
                  </w:r>
                </w:p>
                <w:p>
                  <w:pPr>
                    <w:spacing w:line="240" w:lineRule="auto"/>
                    <w:ind w:firstLine="0" w:firstLineChars="0"/>
                    <w:jc w:val="center"/>
                    <w:rPr>
                      <w:b/>
                      <w:color w:val="auto"/>
                      <w:sz w:val="21"/>
                      <w:szCs w:val="21"/>
                      <w:highlight w:val="none"/>
                    </w:rPr>
                  </w:pPr>
                  <w:r>
                    <w:rPr>
                      <w:b/>
                      <w:color w:val="auto"/>
                      <w:sz w:val="21"/>
                      <w:szCs w:val="21"/>
                      <w:highlight w:val="none"/>
                    </w:rPr>
                    <w:t>申请量</w:t>
                  </w:r>
                </w:p>
                <w:p>
                  <w:pPr>
                    <w:spacing w:line="240" w:lineRule="auto"/>
                    <w:ind w:firstLine="0" w:firstLineChars="0"/>
                    <w:jc w:val="center"/>
                    <w:rPr>
                      <w:b/>
                      <w:color w:val="auto"/>
                      <w:sz w:val="21"/>
                      <w:szCs w:val="21"/>
                      <w:highlight w:val="none"/>
                    </w:rPr>
                  </w:pPr>
                  <w:r>
                    <w:rPr>
                      <w:b/>
                      <w:color w:val="auto"/>
                      <w:sz w:val="21"/>
                      <w:szCs w:val="21"/>
                      <w:highlight w:val="none"/>
                    </w:rPr>
                    <w:t>（t/a）</w:t>
                  </w:r>
                </w:p>
              </w:tc>
              <w:tc>
                <w:tcPr>
                  <w:tcW w:w="1212"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区域平衡替代削减量（t/a）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废水</w:t>
                  </w:r>
                </w:p>
              </w:tc>
              <w:tc>
                <w:tcPr>
                  <w:tcW w:w="131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水量</w:t>
                  </w:r>
                </w:p>
              </w:tc>
              <w:tc>
                <w:tcPr>
                  <w:tcW w:w="11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w:t>
                  </w:r>
                </w:p>
              </w:tc>
              <w:tc>
                <w:tcPr>
                  <w:tcW w:w="118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0</w:t>
                  </w:r>
                </w:p>
              </w:tc>
              <w:tc>
                <w:tcPr>
                  <w:tcW w:w="145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w:t>
                  </w:r>
                </w:p>
              </w:tc>
              <w:tc>
                <w:tcPr>
                  <w:tcW w:w="116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21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vMerge w:val="continue"/>
                  <w:noWrap/>
                  <w:vAlign w:val="center"/>
                </w:tcPr>
                <w:p>
                  <w:pPr>
                    <w:spacing w:line="240" w:lineRule="auto"/>
                    <w:ind w:firstLine="0" w:firstLineChars="0"/>
                    <w:jc w:val="center"/>
                    <w:rPr>
                      <w:color w:val="auto"/>
                      <w:sz w:val="21"/>
                      <w:szCs w:val="21"/>
                      <w:highlight w:val="none"/>
                    </w:rPr>
                  </w:pPr>
                </w:p>
              </w:tc>
              <w:tc>
                <w:tcPr>
                  <w:tcW w:w="131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COD</w:t>
                  </w:r>
                  <w:r>
                    <w:rPr>
                      <w:color w:val="auto"/>
                      <w:sz w:val="21"/>
                      <w:szCs w:val="21"/>
                      <w:highlight w:val="none"/>
                      <w:vertAlign w:val="subscript"/>
                    </w:rPr>
                    <w:t>Cr</w:t>
                  </w:r>
                </w:p>
              </w:tc>
              <w:tc>
                <w:tcPr>
                  <w:tcW w:w="11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0.042</w:t>
                  </w:r>
                </w:p>
              </w:tc>
              <w:tc>
                <w:tcPr>
                  <w:tcW w:w="118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0.036</w:t>
                  </w:r>
                </w:p>
              </w:tc>
              <w:tc>
                <w:tcPr>
                  <w:tcW w:w="145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0.006</w:t>
                  </w:r>
                </w:p>
              </w:tc>
              <w:tc>
                <w:tcPr>
                  <w:tcW w:w="116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21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vMerge w:val="continue"/>
                  <w:noWrap/>
                  <w:vAlign w:val="center"/>
                </w:tcPr>
                <w:p>
                  <w:pPr>
                    <w:spacing w:line="240" w:lineRule="auto"/>
                    <w:ind w:firstLine="0" w:firstLineChars="0"/>
                    <w:jc w:val="center"/>
                    <w:rPr>
                      <w:color w:val="auto"/>
                      <w:sz w:val="21"/>
                      <w:szCs w:val="21"/>
                      <w:highlight w:val="none"/>
                    </w:rPr>
                  </w:pPr>
                </w:p>
              </w:tc>
              <w:tc>
                <w:tcPr>
                  <w:tcW w:w="1317" w:type="dxa"/>
                  <w:noWrap/>
                  <w:vAlign w:val="center"/>
                </w:tcPr>
                <w:p>
                  <w:pPr>
                    <w:spacing w:line="240" w:lineRule="auto"/>
                    <w:ind w:firstLine="0" w:firstLineChars="0"/>
                    <w:jc w:val="center"/>
                    <w:rPr>
                      <w:color w:val="auto"/>
                      <w:sz w:val="21"/>
                      <w:szCs w:val="21"/>
                      <w:highlight w:val="none"/>
                    </w:rPr>
                  </w:pPr>
                  <w:r>
                    <w:rPr>
                      <w:color w:val="auto"/>
                      <w:kern w:val="0"/>
                      <w:sz w:val="21"/>
                      <w:szCs w:val="21"/>
                      <w:highlight w:val="none"/>
                    </w:rPr>
                    <w:t>NH</w:t>
                  </w:r>
                  <w:r>
                    <w:rPr>
                      <w:color w:val="auto"/>
                      <w:kern w:val="0"/>
                      <w:sz w:val="21"/>
                      <w:szCs w:val="21"/>
                      <w:highlight w:val="none"/>
                      <w:vertAlign w:val="subscript"/>
                    </w:rPr>
                    <w:t>3</w:t>
                  </w:r>
                  <w:r>
                    <w:rPr>
                      <w:color w:val="auto"/>
                      <w:kern w:val="0"/>
                      <w:sz w:val="21"/>
                      <w:szCs w:val="21"/>
                      <w:highlight w:val="none"/>
                    </w:rPr>
                    <w:t>-N</w:t>
                  </w:r>
                </w:p>
              </w:tc>
              <w:tc>
                <w:tcPr>
                  <w:tcW w:w="11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0.0036</w:t>
                  </w:r>
                </w:p>
              </w:tc>
              <w:tc>
                <w:tcPr>
                  <w:tcW w:w="118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0.0026</w:t>
                  </w:r>
                </w:p>
              </w:tc>
              <w:tc>
                <w:tcPr>
                  <w:tcW w:w="145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0.00</w:t>
                  </w:r>
                  <w:r>
                    <w:rPr>
                      <w:rFonts w:hint="eastAsia"/>
                      <w:color w:val="auto"/>
                      <w:sz w:val="21"/>
                      <w:szCs w:val="21"/>
                      <w:highlight w:val="none"/>
                    </w:rPr>
                    <w:t>1</w:t>
                  </w:r>
                </w:p>
              </w:tc>
              <w:tc>
                <w:tcPr>
                  <w:tcW w:w="116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212"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1317" w:type="dxa"/>
                  <w:noWrap/>
                  <w:vAlign w:val="center"/>
                </w:tcPr>
                <w:p>
                  <w:pPr>
                    <w:spacing w:line="240" w:lineRule="auto"/>
                    <w:ind w:firstLine="0" w:firstLineChars="0"/>
                    <w:jc w:val="center"/>
                    <w:rPr>
                      <w:color w:val="auto"/>
                      <w:kern w:val="0"/>
                      <w:sz w:val="21"/>
                      <w:szCs w:val="21"/>
                      <w:highlight w:val="none"/>
                    </w:rPr>
                  </w:pPr>
                  <w:r>
                    <w:rPr>
                      <w:color w:val="auto"/>
                      <w:kern w:val="0"/>
                      <w:sz w:val="21"/>
                      <w:szCs w:val="21"/>
                      <w:highlight w:val="none"/>
                    </w:rPr>
                    <w:t>颗粒物</w:t>
                  </w:r>
                </w:p>
              </w:tc>
              <w:tc>
                <w:tcPr>
                  <w:tcW w:w="1164" w:type="dxa"/>
                  <w:noWrap/>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21.348</w:t>
                  </w:r>
                </w:p>
              </w:tc>
              <w:tc>
                <w:tcPr>
                  <w:tcW w:w="1187" w:type="dxa"/>
                  <w:noWrap/>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20.511</w:t>
                  </w:r>
                </w:p>
              </w:tc>
              <w:tc>
                <w:tcPr>
                  <w:tcW w:w="1459" w:type="dxa"/>
                  <w:noWrap/>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0.837</w:t>
                  </w:r>
                </w:p>
              </w:tc>
              <w:tc>
                <w:tcPr>
                  <w:tcW w:w="1168" w:type="dxa"/>
                  <w:noWrap/>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0.837</w:t>
                  </w:r>
                </w:p>
              </w:tc>
              <w:tc>
                <w:tcPr>
                  <w:tcW w:w="1212" w:type="dxa"/>
                  <w:noWrap/>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1.674</w:t>
                  </w:r>
                </w:p>
              </w:tc>
            </w:tr>
          </w:tbl>
          <w:p>
            <w:pPr>
              <w:spacing w:line="500" w:lineRule="exact"/>
              <w:ind w:firstLine="480"/>
              <w:rPr>
                <w:bCs/>
                <w:color w:val="auto"/>
                <w:szCs w:val="24"/>
                <w:highlight w:val="none"/>
              </w:rPr>
            </w:pPr>
            <w:r>
              <w:rPr>
                <w:color w:val="auto"/>
                <w:szCs w:val="24"/>
                <w:highlight w:val="none"/>
              </w:rPr>
              <w:t>本项目营运期</w:t>
            </w:r>
            <w:r>
              <w:rPr>
                <w:rFonts w:hint="eastAsia"/>
                <w:color w:val="auto"/>
                <w:szCs w:val="24"/>
                <w:highlight w:val="none"/>
              </w:rPr>
              <w:t>只排放</w:t>
            </w:r>
            <w:r>
              <w:rPr>
                <w:color w:val="auto"/>
                <w:szCs w:val="24"/>
                <w:highlight w:val="none"/>
              </w:rPr>
              <w:t>生活污水</w:t>
            </w:r>
            <w:r>
              <w:rPr>
                <w:rFonts w:hint="eastAsia"/>
                <w:color w:val="auto"/>
                <w:szCs w:val="24"/>
                <w:highlight w:val="none"/>
              </w:rPr>
              <w:t>，经预处理后委托环卫部门通过环卫部门的槽罐车集中清运至德清县乾元污水处理有限公司</w:t>
            </w:r>
            <w:r>
              <w:rPr>
                <w:color w:val="auto"/>
                <w:szCs w:val="24"/>
                <w:highlight w:val="none"/>
              </w:rPr>
              <w:t>集中处理，COD</w:t>
            </w:r>
            <w:r>
              <w:rPr>
                <w:color w:val="auto"/>
                <w:szCs w:val="24"/>
                <w:highlight w:val="none"/>
                <w:vertAlign w:val="subscript"/>
              </w:rPr>
              <w:t>Cr</w:t>
            </w:r>
            <w:r>
              <w:rPr>
                <w:color w:val="auto"/>
                <w:szCs w:val="24"/>
                <w:highlight w:val="none"/>
              </w:rPr>
              <w:t>、NH</w:t>
            </w:r>
            <w:r>
              <w:rPr>
                <w:color w:val="auto"/>
                <w:szCs w:val="24"/>
                <w:highlight w:val="none"/>
                <w:vertAlign w:val="subscript"/>
              </w:rPr>
              <w:t>3</w:t>
            </w:r>
            <w:r>
              <w:rPr>
                <w:color w:val="auto"/>
                <w:szCs w:val="24"/>
                <w:highlight w:val="none"/>
              </w:rPr>
              <w:t>-N</w:t>
            </w:r>
            <w:r>
              <w:rPr>
                <w:rFonts w:hint="eastAsia"/>
                <w:color w:val="auto"/>
                <w:szCs w:val="24"/>
                <w:highlight w:val="none"/>
              </w:rPr>
              <w:t>排入自然环境的量</w:t>
            </w:r>
            <w:r>
              <w:rPr>
                <w:color w:val="auto"/>
                <w:szCs w:val="24"/>
                <w:highlight w:val="none"/>
              </w:rPr>
              <w:t>分别为</w:t>
            </w:r>
            <w:r>
              <w:rPr>
                <w:rFonts w:hint="eastAsia"/>
                <w:color w:val="auto"/>
                <w:szCs w:val="24"/>
                <w:highlight w:val="none"/>
              </w:rPr>
              <w:t>0.006</w:t>
            </w:r>
            <w:r>
              <w:rPr>
                <w:color w:val="auto"/>
                <w:szCs w:val="24"/>
                <w:highlight w:val="none"/>
              </w:rPr>
              <w:t>t/a、</w:t>
            </w:r>
            <w:r>
              <w:rPr>
                <w:rFonts w:hint="eastAsia"/>
                <w:color w:val="auto"/>
                <w:szCs w:val="24"/>
                <w:highlight w:val="none"/>
              </w:rPr>
              <w:t>0.001</w:t>
            </w:r>
            <w:r>
              <w:rPr>
                <w:color w:val="auto"/>
                <w:szCs w:val="24"/>
                <w:highlight w:val="none"/>
              </w:rPr>
              <w:t>t/a。根据</w:t>
            </w:r>
            <w:r>
              <w:rPr>
                <w:rFonts w:hint="eastAsia"/>
                <w:color w:val="auto"/>
                <w:szCs w:val="24"/>
                <w:highlight w:val="none"/>
              </w:rPr>
              <w:t>《</w:t>
            </w:r>
            <w:r>
              <w:rPr>
                <w:color w:val="auto"/>
                <w:szCs w:val="24"/>
                <w:highlight w:val="none"/>
              </w:rPr>
              <w:t>浙江省建设项目主要污染物总量准入审核办法（试行）》（浙环发[2012]10号）</w:t>
            </w:r>
            <w:r>
              <w:rPr>
                <w:rFonts w:hint="eastAsia"/>
                <w:color w:val="auto"/>
                <w:szCs w:val="24"/>
                <w:highlight w:val="none"/>
              </w:rPr>
              <w:t>，本项目产生的</w:t>
            </w:r>
            <w:r>
              <w:rPr>
                <w:color w:val="auto"/>
                <w:szCs w:val="24"/>
                <w:highlight w:val="none"/>
              </w:rPr>
              <w:t>COD</w:t>
            </w:r>
            <w:r>
              <w:rPr>
                <w:color w:val="auto"/>
                <w:szCs w:val="24"/>
                <w:highlight w:val="none"/>
                <w:vertAlign w:val="subscript"/>
              </w:rPr>
              <w:t>Cr</w:t>
            </w:r>
            <w:r>
              <w:rPr>
                <w:color w:val="auto"/>
                <w:szCs w:val="24"/>
                <w:highlight w:val="none"/>
              </w:rPr>
              <w:t>、NH</w:t>
            </w:r>
            <w:r>
              <w:rPr>
                <w:color w:val="auto"/>
                <w:szCs w:val="24"/>
                <w:highlight w:val="none"/>
                <w:vertAlign w:val="subscript"/>
              </w:rPr>
              <w:t>3</w:t>
            </w:r>
            <w:r>
              <w:rPr>
                <w:color w:val="auto"/>
                <w:szCs w:val="24"/>
                <w:highlight w:val="none"/>
              </w:rPr>
              <w:t>-N</w:t>
            </w:r>
            <w:r>
              <w:rPr>
                <w:rFonts w:hint="eastAsia"/>
                <w:color w:val="auto"/>
                <w:szCs w:val="24"/>
                <w:highlight w:val="none"/>
              </w:rPr>
              <w:t>无需进行区域替代削减。</w:t>
            </w:r>
          </w:p>
          <w:p>
            <w:pPr>
              <w:spacing w:line="500" w:lineRule="exact"/>
              <w:ind w:firstLine="480"/>
              <w:rPr>
                <w:bCs/>
                <w:color w:val="auto"/>
                <w:szCs w:val="24"/>
                <w:highlight w:val="none"/>
              </w:rPr>
            </w:pPr>
            <w:r>
              <w:rPr>
                <w:rFonts w:hint="eastAsia"/>
                <w:color w:val="auto"/>
                <w:szCs w:val="24"/>
                <w:highlight w:val="none"/>
              </w:rPr>
              <w:t>本项目总量控制指标颗粒物</w:t>
            </w:r>
            <w:r>
              <w:rPr>
                <w:rFonts w:hint="eastAsia"/>
                <w:color w:val="auto"/>
                <w:kern w:val="0"/>
                <w:szCs w:val="24"/>
                <w:highlight w:val="none"/>
              </w:rPr>
              <w:t>申请量为</w:t>
            </w:r>
            <w:r>
              <w:rPr>
                <w:rFonts w:hint="eastAsia"/>
                <w:color w:val="auto"/>
                <w:kern w:val="0"/>
                <w:szCs w:val="24"/>
                <w:highlight w:val="none"/>
                <w:lang w:val="en-US" w:eastAsia="zh-CN"/>
              </w:rPr>
              <w:t>0.837</w:t>
            </w:r>
            <w:r>
              <w:rPr>
                <w:color w:val="auto"/>
                <w:kern w:val="0"/>
                <w:szCs w:val="24"/>
                <w:highlight w:val="none"/>
              </w:rPr>
              <w:t>t</w:t>
            </w:r>
            <w:r>
              <w:rPr>
                <w:rFonts w:hint="eastAsia"/>
                <w:color w:val="auto"/>
                <w:kern w:val="0"/>
                <w:szCs w:val="24"/>
                <w:highlight w:val="none"/>
              </w:rPr>
              <w:t>/</w:t>
            </w:r>
            <w:r>
              <w:rPr>
                <w:color w:val="auto"/>
                <w:kern w:val="0"/>
                <w:szCs w:val="24"/>
                <w:highlight w:val="none"/>
              </w:rPr>
              <w:t>a</w:t>
            </w:r>
            <w:r>
              <w:rPr>
                <w:rFonts w:hint="eastAsia"/>
                <w:color w:val="auto"/>
                <w:kern w:val="0"/>
                <w:szCs w:val="24"/>
                <w:highlight w:val="none"/>
              </w:rPr>
              <w:t>。</w:t>
            </w:r>
            <w:r>
              <w:rPr>
                <w:color w:val="auto"/>
                <w:szCs w:val="24"/>
                <w:highlight w:val="none"/>
              </w:rPr>
              <w:t>根据《关于印发〈建设项目主要污染物排放总量指标审核及管理暂行办法〉</w:t>
            </w:r>
            <w:r>
              <w:rPr>
                <w:rFonts w:hint="eastAsia"/>
                <w:color w:val="auto"/>
                <w:szCs w:val="24"/>
                <w:highlight w:val="none"/>
              </w:rPr>
              <w:t>》（国家环发〔</w:t>
            </w:r>
            <w:r>
              <w:rPr>
                <w:color w:val="auto"/>
                <w:szCs w:val="24"/>
                <w:highlight w:val="none"/>
              </w:rPr>
              <w:t>2014</w:t>
            </w:r>
            <w:r>
              <w:rPr>
                <w:rFonts w:hint="eastAsia"/>
                <w:color w:val="auto"/>
                <w:szCs w:val="24"/>
                <w:highlight w:val="none"/>
              </w:rPr>
              <w:t>〕</w:t>
            </w:r>
            <w:r>
              <w:rPr>
                <w:color w:val="auto"/>
                <w:szCs w:val="24"/>
                <w:highlight w:val="none"/>
              </w:rPr>
              <w:t>197</w:t>
            </w:r>
            <w:r>
              <w:rPr>
                <w:rFonts w:hint="eastAsia"/>
                <w:color w:val="auto"/>
                <w:szCs w:val="24"/>
                <w:highlight w:val="none"/>
              </w:rPr>
              <w:t>号）、《浙江省生态环境保护“十三五”规划》（浙政办发〔</w:t>
            </w:r>
            <w:r>
              <w:rPr>
                <w:color w:val="auto"/>
                <w:szCs w:val="24"/>
                <w:highlight w:val="none"/>
              </w:rPr>
              <w:t>2016</w:t>
            </w:r>
            <w:r>
              <w:rPr>
                <w:rFonts w:hint="eastAsia"/>
                <w:color w:val="auto"/>
                <w:szCs w:val="24"/>
                <w:highlight w:val="none"/>
              </w:rPr>
              <w:t>〕</w:t>
            </w:r>
            <w:r>
              <w:rPr>
                <w:color w:val="auto"/>
                <w:szCs w:val="24"/>
                <w:highlight w:val="none"/>
              </w:rPr>
              <w:t>140</w:t>
            </w:r>
            <w:r>
              <w:rPr>
                <w:rFonts w:hint="eastAsia"/>
                <w:color w:val="auto"/>
                <w:szCs w:val="24"/>
                <w:highlight w:val="none"/>
              </w:rPr>
              <w:t>号）和《浙江省大气污染防治“十三五”规划》（浙发改规划〔</w:t>
            </w:r>
            <w:r>
              <w:rPr>
                <w:color w:val="auto"/>
                <w:szCs w:val="24"/>
                <w:highlight w:val="none"/>
              </w:rPr>
              <w:t>2017</w:t>
            </w:r>
            <w:r>
              <w:rPr>
                <w:rFonts w:hint="eastAsia"/>
                <w:color w:val="auto"/>
                <w:szCs w:val="24"/>
                <w:highlight w:val="none"/>
              </w:rPr>
              <w:t>〕</w:t>
            </w:r>
            <w:r>
              <w:rPr>
                <w:color w:val="auto"/>
                <w:szCs w:val="24"/>
                <w:highlight w:val="none"/>
              </w:rPr>
              <w:t>250</w:t>
            </w:r>
            <w:r>
              <w:rPr>
                <w:rFonts w:hint="eastAsia"/>
                <w:color w:val="auto"/>
                <w:szCs w:val="24"/>
                <w:highlight w:val="none"/>
              </w:rPr>
              <w:t>号）等</w:t>
            </w:r>
            <w:r>
              <w:rPr>
                <w:color w:val="auto"/>
                <w:szCs w:val="24"/>
                <w:highlight w:val="none"/>
              </w:rPr>
              <w:t>相关规定</w:t>
            </w:r>
            <w:r>
              <w:rPr>
                <w:bCs/>
                <w:color w:val="auto"/>
                <w:szCs w:val="24"/>
                <w:highlight w:val="none"/>
              </w:rPr>
              <w:t>，</w:t>
            </w:r>
            <w:r>
              <w:rPr>
                <w:color w:val="auto"/>
                <w:kern w:val="0"/>
                <w:szCs w:val="24"/>
                <w:highlight w:val="none"/>
              </w:rPr>
              <w:t>本项目</w:t>
            </w:r>
            <w:r>
              <w:rPr>
                <w:rFonts w:hint="eastAsia"/>
                <w:color w:val="auto"/>
                <w:kern w:val="0"/>
                <w:szCs w:val="24"/>
                <w:highlight w:val="none"/>
              </w:rPr>
              <w:t>颗粒物</w:t>
            </w:r>
            <w:r>
              <w:rPr>
                <w:color w:val="auto"/>
                <w:szCs w:val="24"/>
                <w:highlight w:val="none"/>
              </w:rPr>
              <w:t>申请量按照1</w:t>
            </w:r>
            <w:r>
              <w:rPr>
                <w:rFonts w:hint="eastAsia"/>
                <w:color w:val="auto"/>
                <w:szCs w:val="24"/>
                <w:highlight w:val="none"/>
              </w:rPr>
              <w:t>：</w:t>
            </w:r>
            <w:r>
              <w:rPr>
                <w:color w:val="auto"/>
                <w:szCs w:val="24"/>
                <w:highlight w:val="none"/>
              </w:rPr>
              <w:t>2进行区域削减替代</w:t>
            </w:r>
            <w:r>
              <w:rPr>
                <w:rFonts w:hint="eastAsia"/>
                <w:color w:val="auto"/>
                <w:szCs w:val="24"/>
                <w:highlight w:val="none"/>
              </w:rPr>
              <w:t>，其削减替代量为</w:t>
            </w:r>
            <w:r>
              <w:rPr>
                <w:rFonts w:hint="eastAsia"/>
                <w:color w:val="auto"/>
                <w:szCs w:val="24"/>
                <w:highlight w:val="none"/>
                <w:lang w:val="en-US" w:eastAsia="zh-CN"/>
              </w:rPr>
              <w:t>1.674</w:t>
            </w:r>
            <w:r>
              <w:rPr>
                <w:color w:val="auto"/>
                <w:szCs w:val="24"/>
                <w:highlight w:val="none"/>
              </w:rPr>
              <w:t>t</w:t>
            </w:r>
            <w:r>
              <w:rPr>
                <w:rFonts w:hint="eastAsia"/>
                <w:color w:val="auto"/>
                <w:szCs w:val="24"/>
                <w:highlight w:val="none"/>
              </w:rPr>
              <w:t>/</w:t>
            </w:r>
            <w:r>
              <w:rPr>
                <w:color w:val="auto"/>
                <w:szCs w:val="24"/>
                <w:highlight w:val="none"/>
              </w:rPr>
              <w:t>a</w:t>
            </w:r>
            <w:r>
              <w:rPr>
                <w:rFonts w:hint="eastAsia"/>
                <w:color w:val="auto"/>
                <w:szCs w:val="24"/>
                <w:highlight w:val="none"/>
              </w:rPr>
              <w:t>，</w:t>
            </w:r>
            <w:r>
              <w:rPr>
                <w:color w:val="auto"/>
                <w:highlight w:val="none"/>
              </w:rPr>
              <w:t>由当地</w:t>
            </w:r>
            <w:r>
              <w:rPr>
                <w:rFonts w:hint="eastAsia"/>
                <w:color w:val="auto"/>
                <w:highlight w:val="none"/>
              </w:rPr>
              <w:t>生态环境部门</w:t>
            </w:r>
            <w:r>
              <w:rPr>
                <w:bCs/>
                <w:color w:val="auto"/>
                <w:highlight w:val="none"/>
              </w:rPr>
              <w:t>予以区域平衡</w:t>
            </w:r>
            <w:r>
              <w:rPr>
                <w:bCs/>
                <w:color w:val="auto"/>
                <w:szCs w:val="24"/>
                <w:highlight w:val="none"/>
              </w:rPr>
              <w:t>。</w:t>
            </w:r>
          </w:p>
          <w:p>
            <w:pPr>
              <w:spacing w:line="500" w:lineRule="exact"/>
              <w:ind w:firstLine="480"/>
              <w:rPr>
                <w:bCs/>
                <w:color w:val="auto"/>
                <w:szCs w:val="24"/>
                <w:highlight w:val="none"/>
              </w:rPr>
            </w:pPr>
          </w:p>
          <w:p>
            <w:pPr>
              <w:spacing w:line="500" w:lineRule="exact"/>
              <w:ind w:firstLine="480"/>
              <w:rPr>
                <w:bCs/>
                <w:color w:val="auto"/>
                <w:szCs w:val="24"/>
                <w:highlight w:val="none"/>
              </w:rPr>
            </w:pPr>
          </w:p>
          <w:p>
            <w:pPr>
              <w:pStyle w:val="26"/>
              <w:wordWrap w:val="0"/>
              <w:spacing w:before="0" w:beforeAutospacing="0" w:afterAutospacing="0" w:line="500" w:lineRule="exact"/>
              <w:ind w:firstLineChars="0"/>
              <w:rPr>
                <w:rFonts w:ascii="Times New Roman" w:hAnsi="Times New Roman" w:eastAsia="宋体"/>
                <w:color w:val="auto"/>
                <w:kern w:val="2"/>
                <w:highlight w:val="none"/>
              </w:rPr>
            </w:pPr>
          </w:p>
        </w:tc>
      </w:tr>
    </w:tbl>
    <w:p>
      <w:pPr>
        <w:ind w:firstLine="0" w:firstLineChars="0"/>
        <w:rPr>
          <w:color w:val="auto"/>
          <w:highlight w:val="none"/>
        </w:rPr>
        <w:sectPr>
          <w:pgSz w:w="11906" w:h="16838"/>
          <w:pgMar w:top="1559" w:right="1559" w:bottom="1559" w:left="1559" w:header="851" w:footer="992" w:gutter="0"/>
          <w:cols w:space="720" w:num="1"/>
          <w:docGrid w:type="lines" w:linePitch="312" w:charSpace="0"/>
        </w:sectPr>
      </w:pPr>
    </w:p>
    <w:p>
      <w:pPr>
        <w:spacing w:line="240" w:lineRule="auto"/>
        <w:ind w:firstLine="0" w:firstLineChars="0"/>
        <w:jc w:val="center"/>
        <w:outlineLvl w:val="0"/>
        <w:rPr>
          <w:rFonts w:hAnsi="宋体"/>
          <w:b/>
          <w:color w:val="auto"/>
          <w:sz w:val="28"/>
          <w:szCs w:val="28"/>
          <w:highlight w:val="none"/>
        </w:rPr>
      </w:pPr>
      <w:r>
        <w:rPr>
          <w:rFonts w:hint="eastAsia" w:hAnsi="宋体"/>
          <w:b/>
          <w:color w:val="auto"/>
          <w:sz w:val="28"/>
          <w:szCs w:val="28"/>
          <w:highlight w:val="none"/>
        </w:rPr>
        <w:t>四、主要环境影响和保护措施</w:t>
      </w:r>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pStyle w:val="70"/>
              <w:spacing w:line="500" w:lineRule="exact"/>
              <w:ind w:firstLine="0" w:firstLineChars="0"/>
              <w:rPr>
                <w:rFonts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rPr>
              <w:t>4.1施工期环境保护措施</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color w:val="auto"/>
                <w:highlight w:val="none"/>
                <w:vertAlign w:val="baseline"/>
              </w:rPr>
            </w:pPr>
            <w:r>
              <w:rPr>
                <w:color w:val="auto"/>
                <w:sz w:val="24"/>
                <w:szCs w:val="22"/>
                <w:highlight w:val="none"/>
              </w:rPr>
              <w:t>本项目系租用闲置工业厂房组织生产，并不新建厂房，</w:t>
            </w:r>
            <w:r>
              <w:rPr>
                <w:color w:val="auto"/>
                <w:sz w:val="24"/>
                <w:szCs w:val="18"/>
                <w:highlight w:val="none"/>
              </w:rPr>
              <w:t>在</w:t>
            </w:r>
            <w:r>
              <w:rPr>
                <w:color w:val="auto"/>
                <w:sz w:val="24"/>
                <w:szCs w:val="22"/>
                <w:highlight w:val="none"/>
              </w:rPr>
              <w:t>完成设备安装、调试后</w:t>
            </w:r>
            <w:r>
              <w:rPr>
                <w:snapToGrid w:val="0"/>
                <w:color w:val="auto"/>
                <w:kern w:val="0"/>
                <w:sz w:val="24"/>
                <w:szCs w:val="22"/>
                <w:highlight w:val="none"/>
              </w:rPr>
              <w:t>即可投入生产，</w:t>
            </w:r>
            <w:r>
              <w:rPr>
                <w:rFonts w:hint="eastAsia"/>
                <w:color w:val="auto"/>
                <w:sz w:val="24"/>
                <w:szCs w:val="18"/>
                <w:highlight w:val="none"/>
              </w:rPr>
              <w:t>在设备安装期间会产生一定的噪声影响，为降低噪声产生的影响，要求施工单位在设备安装时小心安装，减少不必要的噪声。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spacing w:line="500" w:lineRule="exact"/>
              <w:ind w:firstLine="0" w:firstLineChars="0"/>
              <w:jc w:val="left"/>
              <w:rPr>
                <w:b/>
                <w:bCs/>
                <w:color w:val="auto"/>
                <w:highlight w:val="none"/>
              </w:rPr>
            </w:pPr>
            <w:r>
              <w:rPr>
                <w:rFonts w:hint="eastAsia"/>
                <w:b/>
                <w:bCs/>
                <w:color w:val="auto"/>
                <w:highlight w:val="none"/>
              </w:rPr>
              <w:t>4.2运营期环境影响和保护措施</w:t>
            </w:r>
          </w:p>
          <w:p>
            <w:pPr>
              <w:spacing w:line="500" w:lineRule="exact"/>
              <w:ind w:firstLine="0" w:firstLineChars="0"/>
              <w:jc w:val="left"/>
              <w:rPr>
                <w:b/>
                <w:bCs/>
                <w:color w:val="auto"/>
                <w:highlight w:val="none"/>
              </w:rPr>
            </w:pPr>
            <w:r>
              <w:rPr>
                <w:rFonts w:hint="eastAsia"/>
                <w:b/>
                <w:bCs/>
                <w:color w:val="auto"/>
                <w:highlight w:val="none"/>
              </w:rPr>
              <w:t>4.2.1废气</w:t>
            </w:r>
          </w:p>
          <w:p>
            <w:pPr>
              <w:keepNext w:val="0"/>
              <w:keepLines w:val="0"/>
              <w:pageBreakBefore w:val="0"/>
              <w:kinsoku/>
              <w:wordWrap/>
              <w:overflowPunct/>
              <w:topLinePunct w:val="0"/>
              <w:autoSpaceDE/>
              <w:autoSpaceDN/>
              <w:bidi w:val="0"/>
              <w:adjustRightInd/>
              <w:snapToGrid/>
              <w:spacing w:line="500" w:lineRule="exact"/>
              <w:ind w:firstLine="480"/>
              <w:textAlignment w:val="auto"/>
              <w:rPr>
                <w:rFonts w:hint="default" w:eastAsia="宋体"/>
                <w:color w:val="auto"/>
                <w:highlight w:val="none"/>
                <w:lang w:val="en-US" w:eastAsia="zh-CN"/>
              </w:rPr>
            </w:pPr>
            <w:r>
              <w:rPr>
                <w:rFonts w:hint="eastAsia"/>
                <w:color w:val="auto"/>
                <w:highlight w:val="none"/>
                <w:lang w:val="en-US" w:eastAsia="zh-CN"/>
              </w:rPr>
              <w:t>1、产排污情况</w:t>
            </w:r>
          </w:p>
          <w:p>
            <w:pPr>
              <w:keepNext w:val="0"/>
              <w:keepLines w:val="0"/>
              <w:pageBreakBefore w:val="0"/>
              <w:kinsoku/>
              <w:wordWrap/>
              <w:overflowPunct/>
              <w:topLinePunct w:val="0"/>
              <w:autoSpaceDE/>
              <w:autoSpaceDN/>
              <w:bidi w:val="0"/>
              <w:adjustRightInd/>
              <w:snapToGrid/>
              <w:spacing w:line="500" w:lineRule="exact"/>
              <w:ind w:firstLine="480"/>
              <w:textAlignment w:val="auto"/>
              <w:rPr>
                <w:color w:val="auto"/>
                <w:highlight w:val="none"/>
              </w:rPr>
            </w:pPr>
            <w:r>
              <w:rPr>
                <w:color w:val="auto"/>
                <w:highlight w:val="none"/>
              </w:rPr>
              <w:t>（1）</w:t>
            </w:r>
            <w:r>
              <w:rPr>
                <w:rFonts w:hint="eastAsia"/>
                <w:color w:val="auto"/>
                <w:highlight w:val="none"/>
              </w:rPr>
              <w:t>车辆扬尘</w:t>
            </w:r>
          </w:p>
          <w:p>
            <w:pPr>
              <w:pStyle w:val="75"/>
              <w:keepNext w:val="0"/>
              <w:keepLines w:val="0"/>
              <w:pageBreakBefore w:val="0"/>
              <w:kinsoku/>
              <w:wordWrap/>
              <w:overflowPunct/>
              <w:topLinePunct w:val="0"/>
              <w:autoSpaceDE/>
              <w:autoSpaceDN/>
              <w:bidi w:val="0"/>
              <w:adjustRightInd/>
              <w:snapToGrid/>
              <w:spacing w:line="500" w:lineRule="exact"/>
              <w:ind w:firstLine="480"/>
              <w:textAlignment w:val="auto"/>
              <w:rPr>
                <w:rFonts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车辆运输行驶产生的扬尘，在完全干燥情况下，可按下列经验公式计算：</w:t>
            </w:r>
          </w:p>
          <w:p>
            <w:pPr>
              <w:pStyle w:val="75"/>
              <w:keepNext w:val="0"/>
              <w:keepLines w:val="0"/>
              <w:pageBreakBefore w:val="0"/>
              <w:kinsoku/>
              <w:wordWrap/>
              <w:overflowPunct/>
              <w:topLinePunct w:val="0"/>
              <w:autoSpaceDE/>
              <w:autoSpaceDN/>
              <w:bidi w:val="0"/>
              <w:adjustRightInd/>
              <w:snapToGrid/>
              <w:spacing w:line="500" w:lineRule="exact"/>
              <w:ind w:firstLine="480"/>
              <w:textAlignment w:val="auto"/>
              <w:rPr>
                <w:rFonts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Q=0.123（V/5）（W/6.8）0.85（P/0.5）0.75</w:t>
            </w:r>
          </w:p>
          <w:p>
            <w:pPr>
              <w:pStyle w:val="75"/>
              <w:keepNext w:val="0"/>
              <w:keepLines w:val="0"/>
              <w:pageBreakBefore w:val="0"/>
              <w:kinsoku/>
              <w:wordWrap/>
              <w:overflowPunct/>
              <w:topLinePunct w:val="0"/>
              <w:autoSpaceDE/>
              <w:autoSpaceDN/>
              <w:bidi w:val="0"/>
              <w:adjustRightInd/>
              <w:snapToGrid/>
              <w:spacing w:line="500" w:lineRule="exact"/>
              <w:ind w:firstLine="480"/>
              <w:textAlignment w:val="auto"/>
              <w:rPr>
                <w:rFonts w:hint="eastAsia"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式中：</w:t>
            </w:r>
          </w:p>
          <w:p>
            <w:pPr>
              <w:pStyle w:val="75"/>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Q—汽车行驶的扬尘，kg/km·辆；</w:t>
            </w:r>
          </w:p>
          <w:p>
            <w:pPr>
              <w:pStyle w:val="75"/>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V—汽车速度，km/hr；</w:t>
            </w:r>
          </w:p>
          <w:p>
            <w:pPr>
              <w:pStyle w:val="75"/>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W—汽车载重量，t；</w:t>
            </w:r>
          </w:p>
          <w:p>
            <w:pPr>
              <w:pStyle w:val="75"/>
              <w:keepNext w:val="0"/>
              <w:keepLines w:val="0"/>
              <w:pageBreakBefore w:val="0"/>
              <w:kinsoku/>
              <w:wordWrap/>
              <w:overflowPunct/>
              <w:topLinePunct w:val="0"/>
              <w:autoSpaceDE/>
              <w:autoSpaceDN/>
              <w:bidi w:val="0"/>
              <w:adjustRightInd/>
              <w:snapToGrid/>
              <w:spacing w:line="500" w:lineRule="exact"/>
              <w:ind w:firstLine="720" w:firstLineChars="300"/>
              <w:textAlignment w:val="auto"/>
              <w:rPr>
                <w:rFonts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P—道路表面粉尘量，kg/m</w:t>
            </w:r>
            <w:r>
              <w:rPr>
                <w:rFonts w:hint="eastAsia" w:ascii="Times New Roman" w:hAnsi="Times New Roman" w:cs="Times New Roman"/>
                <w:bCs/>
                <w:color w:val="auto"/>
                <w:sz w:val="24"/>
                <w:szCs w:val="24"/>
                <w:highlight w:val="none"/>
                <w:vertAlign w:val="superscript"/>
              </w:rPr>
              <w:t>2</w:t>
            </w:r>
            <w:r>
              <w:rPr>
                <w:rFonts w:hint="eastAsia" w:ascii="Times New Roman" w:hAnsi="Times New Roman" w:cs="Times New Roman"/>
                <w:bCs/>
                <w:color w:val="auto"/>
                <w:sz w:val="24"/>
                <w:szCs w:val="24"/>
                <w:highlight w:val="none"/>
              </w:rPr>
              <w:t>。</w:t>
            </w:r>
          </w:p>
          <w:p>
            <w:pPr>
              <w:pStyle w:val="75"/>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表4-1为一辆10t卡车，通过一段长度为1km的路面时，不同路面清洁程度、不同行驶速度情况下的扬尘量。由此可见，在同样路面清洁程度条件下，车速越快，扬尘量越大；而在同样车速情况下，路面越脏，则扬尘量越大。因此限制车辆行驶速度及保持路面的清洁是减少汽车扬尘的最有效手段。</w:t>
            </w:r>
          </w:p>
          <w:p>
            <w:pPr>
              <w:pStyle w:val="75"/>
              <w:spacing w:line="460" w:lineRule="exact"/>
              <w:ind w:firstLine="0" w:firstLineChars="0"/>
              <w:jc w:val="center"/>
              <w:rPr>
                <w:rFonts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rPr>
              <w:t>表4-1  粉尘量与车速的关系</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194"/>
              <w:gridCol w:w="1193"/>
              <w:gridCol w:w="1193"/>
              <w:gridCol w:w="1193"/>
              <w:gridCol w:w="119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46" w:type="dxa"/>
                  <w:vMerge w:val="restart"/>
                  <w:tcBorders>
                    <w:top w:val="single" w:color="auto" w:sz="4" w:space="0"/>
                    <w:left w:val="single" w:color="auto" w:sz="4" w:space="0"/>
                    <w:tl2br w:val="single" w:color="auto" w:sz="4" w:space="0"/>
                  </w:tcBorders>
                  <w:noWrap/>
                  <w:vAlign w:val="center"/>
                </w:tcPr>
                <w:p>
                  <w:pPr>
                    <w:pStyle w:val="75"/>
                    <w:spacing w:line="240" w:lineRule="auto"/>
                    <w:ind w:firstLine="0" w:firstLineChars="0"/>
                    <w:jc w:val="righ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粉尘量</w:t>
                  </w:r>
                </w:p>
                <w:p>
                  <w:pPr>
                    <w:pStyle w:val="75"/>
                    <w:spacing w:line="240" w:lineRule="auto"/>
                    <w:ind w:firstLine="0" w:firstLineChars="0"/>
                    <w:jc w:val="lef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车速</w:t>
                  </w:r>
                </w:p>
              </w:tc>
              <w:tc>
                <w:tcPr>
                  <w:tcW w:w="1194" w:type="dxa"/>
                  <w:tcBorders>
                    <w:top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0.1</w:t>
                  </w:r>
                </w:p>
              </w:tc>
              <w:tc>
                <w:tcPr>
                  <w:tcW w:w="1193" w:type="dxa"/>
                  <w:tcBorders>
                    <w:top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0.2</w:t>
                  </w:r>
                </w:p>
              </w:tc>
              <w:tc>
                <w:tcPr>
                  <w:tcW w:w="1193" w:type="dxa"/>
                  <w:tcBorders>
                    <w:top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0.3</w:t>
                  </w:r>
                </w:p>
              </w:tc>
              <w:tc>
                <w:tcPr>
                  <w:tcW w:w="1193" w:type="dxa"/>
                  <w:tcBorders>
                    <w:top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0.4</w:t>
                  </w:r>
                </w:p>
              </w:tc>
              <w:tc>
                <w:tcPr>
                  <w:tcW w:w="1193" w:type="dxa"/>
                  <w:tcBorders>
                    <w:top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0.5</w:t>
                  </w:r>
                </w:p>
              </w:tc>
              <w:tc>
                <w:tcPr>
                  <w:tcW w:w="1193" w:type="dxa"/>
                  <w:tcBorders>
                    <w:top w:val="single" w:color="auto" w:sz="4" w:space="0"/>
                    <w:righ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346" w:type="dxa"/>
                  <w:vMerge w:val="continue"/>
                  <w:tcBorders>
                    <w:lef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p>
              </w:tc>
              <w:tc>
                <w:tcPr>
                  <w:tcW w:w="1194"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（kg/m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（kg/m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（kg/m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（kg/m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（kg/m2）</w:t>
                  </w:r>
                </w:p>
              </w:tc>
              <w:tc>
                <w:tcPr>
                  <w:tcW w:w="1193" w:type="dxa"/>
                  <w:tcBorders>
                    <w:righ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（kg/m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46" w:type="dxa"/>
                  <w:tcBorders>
                    <w:lef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5（km/h）</w:t>
                  </w:r>
                </w:p>
              </w:tc>
              <w:tc>
                <w:tcPr>
                  <w:tcW w:w="1194"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0.0511</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0.0859</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0.1164</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0.1444</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0.1707</w:t>
                  </w:r>
                </w:p>
              </w:tc>
              <w:tc>
                <w:tcPr>
                  <w:tcW w:w="1193" w:type="dxa"/>
                  <w:tcBorders>
                    <w:righ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0.2871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346" w:type="dxa"/>
                  <w:tcBorders>
                    <w:lef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10（km/h）</w:t>
                  </w:r>
                </w:p>
              </w:tc>
              <w:tc>
                <w:tcPr>
                  <w:tcW w:w="1194"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0.1021</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0.1717</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0.2328</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0.2888</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0.3414</w:t>
                  </w:r>
                </w:p>
              </w:tc>
              <w:tc>
                <w:tcPr>
                  <w:tcW w:w="1193" w:type="dxa"/>
                  <w:tcBorders>
                    <w:righ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46" w:type="dxa"/>
                  <w:tcBorders>
                    <w:lef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15（km/h）</w:t>
                  </w:r>
                </w:p>
              </w:tc>
              <w:tc>
                <w:tcPr>
                  <w:tcW w:w="1194"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0.1532</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0.2576</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0.3491</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0.4332</w:t>
                  </w:r>
                </w:p>
              </w:tc>
              <w:tc>
                <w:tcPr>
                  <w:tcW w:w="1193" w:type="dxa"/>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0.5121</w:t>
                  </w:r>
                </w:p>
              </w:tc>
              <w:tc>
                <w:tcPr>
                  <w:tcW w:w="1193" w:type="dxa"/>
                  <w:tcBorders>
                    <w:righ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6" w:type="dxa"/>
                  <w:tcBorders>
                    <w:left w:val="single" w:color="auto" w:sz="4" w:space="0"/>
                    <w:bottom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25（km/h）</w:t>
                  </w:r>
                </w:p>
              </w:tc>
              <w:tc>
                <w:tcPr>
                  <w:tcW w:w="1194" w:type="dxa"/>
                  <w:tcBorders>
                    <w:bottom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0.2553</w:t>
                  </w:r>
                </w:p>
              </w:tc>
              <w:tc>
                <w:tcPr>
                  <w:tcW w:w="1193" w:type="dxa"/>
                  <w:tcBorders>
                    <w:bottom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0.4293</w:t>
                  </w:r>
                </w:p>
              </w:tc>
              <w:tc>
                <w:tcPr>
                  <w:tcW w:w="1193" w:type="dxa"/>
                  <w:tcBorders>
                    <w:bottom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0.5819</w:t>
                  </w:r>
                </w:p>
              </w:tc>
              <w:tc>
                <w:tcPr>
                  <w:tcW w:w="1193" w:type="dxa"/>
                  <w:tcBorders>
                    <w:bottom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0.7220</w:t>
                  </w:r>
                </w:p>
              </w:tc>
              <w:tc>
                <w:tcPr>
                  <w:tcW w:w="1193" w:type="dxa"/>
                  <w:tcBorders>
                    <w:bottom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0.8536</w:t>
                  </w:r>
                </w:p>
              </w:tc>
              <w:tc>
                <w:tcPr>
                  <w:tcW w:w="1193" w:type="dxa"/>
                  <w:tcBorders>
                    <w:bottom w:val="single" w:color="auto" w:sz="4" w:space="0"/>
                    <w:right w:val="single" w:color="auto" w:sz="4" w:space="0"/>
                  </w:tcBorders>
                  <w:noWrap/>
                  <w:vAlign w:val="center"/>
                </w:tcPr>
                <w:p>
                  <w:pPr>
                    <w:pStyle w:val="75"/>
                    <w:spacing w:line="240" w:lineRule="auto"/>
                    <w:ind w:firstLine="0" w:firstLineChars="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1.4355</w:t>
                  </w:r>
                </w:p>
              </w:tc>
            </w:tr>
          </w:tbl>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Cs w:val="24"/>
                <w:highlight w:val="none"/>
                <w:lang w:eastAsia="zh-CN"/>
              </w:rPr>
            </w:pPr>
            <w:r>
              <w:rPr>
                <w:rFonts w:hint="eastAsia" w:ascii="Times New Roman" w:hAnsi="Times New Roman" w:cs="Times New Roman"/>
                <w:bCs/>
                <w:color w:val="auto"/>
                <w:sz w:val="24"/>
                <w:szCs w:val="24"/>
                <w:highlight w:val="none"/>
              </w:rPr>
              <w:t>如果在营运期对运输车辆行驶路面勤洒水（每天4~5次），可以使空气中粉尘量减少70%左右，可以收到很好的降尘效果，扬尘造成的TSP污染距离可缩小到20~50m范围内，洒水的试验资料见表4-2。</w:t>
            </w:r>
          </w:p>
          <w:p>
            <w:pPr>
              <w:pStyle w:val="75"/>
              <w:spacing w:line="460" w:lineRule="exact"/>
              <w:ind w:firstLine="0" w:firstLineChars="0"/>
              <w:jc w:val="center"/>
              <w:rPr>
                <w:rFonts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rPr>
              <w:t>表4-2  TSP浓度和距离关系</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282"/>
              <w:gridCol w:w="1459"/>
              <w:gridCol w:w="1459"/>
              <w:gridCol w:w="145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669" w:type="dxa"/>
                  <w:gridSpan w:val="2"/>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距路边距离（m）</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5</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20</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50</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87" w:type="dxa"/>
                  <w:vMerge w:val="restart"/>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TSP浓度</w:t>
                  </w:r>
                </w:p>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（mg/m3）</w:t>
                  </w:r>
                </w:p>
              </w:tc>
              <w:tc>
                <w:tcPr>
                  <w:tcW w:w="1282"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不洒水</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10.14</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2.810</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1.15</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87" w:type="dxa"/>
                  <w:vMerge w:val="continue"/>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p>
              </w:tc>
              <w:tc>
                <w:tcPr>
                  <w:tcW w:w="1282"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洒  水</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2.01</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1.40</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0.68</w:t>
                  </w:r>
                </w:p>
              </w:tc>
              <w:tc>
                <w:tcPr>
                  <w:tcW w:w="1459" w:type="dxa"/>
                  <w:noWrap/>
                  <w:vAlign w:val="center"/>
                </w:tcPr>
                <w:p>
                  <w:pPr>
                    <w:pStyle w:val="75"/>
                    <w:spacing w:line="240" w:lineRule="auto"/>
                    <w:ind w:firstLine="0" w:firstLineChars="0"/>
                    <w:jc w:val="center"/>
                    <w:rPr>
                      <w:rFonts w:ascii="Times New Roman" w:hAnsi="Times New Roman" w:cs="Times New Roman"/>
                      <w:bCs/>
                      <w:color w:val="auto"/>
                      <w:sz w:val="21"/>
                      <w:szCs w:val="21"/>
                      <w:highlight w:val="none"/>
                    </w:rPr>
                  </w:pPr>
                  <w:r>
                    <w:rPr>
                      <w:rFonts w:hint="eastAsia" w:ascii="Times New Roman" w:hAnsi="Times New Roman" w:cs="Times New Roman"/>
                      <w:bCs/>
                      <w:color w:val="auto"/>
                      <w:sz w:val="21"/>
                      <w:szCs w:val="21"/>
                      <w:highlight w:val="none"/>
                    </w:rPr>
                    <w:t>0.60</w:t>
                  </w:r>
                </w:p>
              </w:tc>
            </w:tr>
          </w:tbl>
          <w:p>
            <w:pPr>
              <w:pStyle w:val="75"/>
              <w:spacing w:line="500" w:lineRule="exact"/>
              <w:ind w:firstLine="480"/>
              <w:rPr>
                <w:rFonts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rPr>
              <w:t>在采取限速、洒水及保护路面整洁等措施后，运输车辆行驶扬尘对区域大气环境的程度及时间都将较为有限，预计厂界排放浓度能够达到</w:t>
            </w:r>
            <w:r>
              <w:rPr>
                <w:rFonts w:hint="eastAsia" w:ascii="Times New Roman" w:hAnsi="Times New Roman" w:cs="Times New Roman"/>
                <w:color w:val="auto"/>
                <w:sz w:val="24"/>
                <w:szCs w:val="24"/>
                <w:highlight w:val="none"/>
              </w:rPr>
              <w:t>《大气污染物综合排放标准》（GB16297-1996）中</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新污染源，无组织排放限值</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的要求。</w:t>
            </w:r>
          </w:p>
          <w:p>
            <w:pPr>
              <w:pStyle w:val="75"/>
              <w:spacing w:line="500" w:lineRule="exact"/>
              <w:ind w:firstLine="480"/>
              <w:rPr>
                <w:bCs/>
                <w:color w:val="auto"/>
                <w:sz w:val="24"/>
                <w:szCs w:val="24"/>
                <w:highlight w:val="none"/>
              </w:rPr>
            </w:pPr>
            <w:r>
              <w:rPr>
                <w:rFonts w:ascii="Times New Roman" w:hAnsi="Times New Roman" w:cs="Times New Roman"/>
                <w:bCs/>
                <w:color w:val="auto"/>
                <w:sz w:val="24"/>
                <w:szCs w:val="24"/>
                <w:highlight w:val="none"/>
              </w:rPr>
              <w:t>（2）</w:t>
            </w:r>
            <w:r>
              <w:rPr>
                <w:rFonts w:hint="eastAsia" w:cs="Times New Roman"/>
                <w:color w:val="auto"/>
                <w:sz w:val="24"/>
                <w:szCs w:val="22"/>
                <w:highlight w:val="none"/>
              </w:rPr>
              <w:t>装卸</w:t>
            </w:r>
            <w:r>
              <w:rPr>
                <w:rFonts w:hint="eastAsia" w:ascii="Times New Roman" w:hAnsi="Times New Roman" w:cs="Times New Roman"/>
                <w:color w:val="auto"/>
                <w:sz w:val="24"/>
                <w:szCs w:val="22"/>
                <w:highlight w:val="none"/>
              </w:rPr>
              <w:t>粉尘</w:t>
            </w:r>
          </w:p>
          <w:p>
            <w:pPr>
              <w:pStyle w:val="4"/>
              <w:spacing w:line="500" w:lineRule="exact"/>
              <w:ind w:firstLine="480"/>
              <w:rPr>
                <w:rFonts w:ascii="Times New Roman" w:hAnsi="Times New Roman" w:cs="Times New Roman"/>
                <w:b w:val="0"/>
                <w:bCs w:val="0"/>
                <w:color w:val="auto"/>
                <w:highlight w:val="none"/>
              </w:rPr>
            </w:pPr>
            <w:r>
              <w:rPr>
                <w:rFonts w:hint="eastAsia"/>
                <w:b w:val="0"/>
                <w:bCs w:val="0"/>
                <w:color w:val="auto"/>
                <w:highlight w:val="none"/>
                <w:lang w:val="en-US"/>
              </w:rPr>
              <w:t>本项目水泥、粉煤灰、玻化微珠和灰钙粉通过罐车运输至厂区内后，通过与相应储罐相连的管道和罐车管道连接，通过罐车的输送泵将物料输送至各自的储罐内，其装卸过程产生粉尘量极少，通过加强车辆装卸过程规范化可有效减少装卸过程产生的粉尘，各类添加剂为小袋包装，人工将胶粉料、减水剂等添加剂按比例倒入添加剂搅拌仓，添加剂使用量较小，其粉尘产生量极少，机制砂通过运输车辆卸料至料斗中再通过提升机提升至各自的储罐内，其卸料过程会产生一定量的装卸粉尘，</w:t>
            </w:r>
            <w:r>
              <w:rPr>
                <w:rFonts w:hint="eastAsia"/>
                <w:b w:val="0"/>
                <w:bCs w:val="0"/>
                <w:color w:val="auto"/>
                <w:highlight w:val="none"/>
              </w:rPr>
              <w:t>参照美国国家环保局《逸散性工业粉尘控制技术》，该过程的粉尘产生量约为</w:t>
            </w:r>
            <w:r>
              <w:rPr>
                <w:rFonts w:ascii="Times New Roman" w:hAnsi="Times New Roman" w:cs="Times New Roman"/>
                <w:b w:val="0"/>
                <w:bCs w:val="0"/>
                <w:color w:val="auto"/>
                <w:highlight w:val="none"/>
              </w:rPr>
              <w:t>0.</w:t>
            </w:r>
            <w:r>
              <w:rPr>
                <w:rFonts w:hint="eastAsia" w:ascii="Times New Roman" w:hAnsi="Times New Roman" w:cs="Times New Roman"/>
                <w:b w:val="0"/>
                <w:bCs w:val="0"/>
                <w:color w:val="auto"/>
                <w:highlight w:val="none"/>
                <w:lang w:val="en-US"/>
              </w:rPr>
              <w:t>025</w:t>
            </w:r>
            <w:r>
              <w:rPr>
                <w:rFonts w:ascii="Times New Roman" w:hAnsi="Times New Roman" w:cs="Times New Roman"/>
                <w:b w:val="0"/>
                <w:bCs w:val="0"/>
                <w:color w:val="auto"/>
                <w:highlight w:val="none"/>
              </w:rPr>
              <w:t>kg/t·</w:t>
            </w:r>
            <w:r>
              <w:rPr>
                <w:rFonts w:hint="eastAsia"/>
                <w:b w:val="0"/>
                <w:bCs w:val="0"/>
                <w:color w:val="auto"/>
                <w:highlight w:val="none"/>
              </w:rPr>
              <w:t>原料，</w:t>
            </w:r>
            <w:r>
              <w:rPr>
                <w:rFonts w:hint="eastAsia"/>
                <w:b w:val="0"/>
                <w:bCs w:val="0"/>
                <w:color w:val="auto"/>
                <w:highlight w:val="none"/>
                <w:lang w:val="en-US"/>
              </w:rPr>
              <w:t>本项目机制砂的用量为</w:t>
            </w:r>
            <w:r>
              <w:rPr>
                <w:rFonts w:ascii="Times New Roman" w:hAnsi="Times New Roman" w:cs="Times New Roman"/>
                <w:b w:val="0"/>
                <w:bCs w:val="0"/>
                <w:color w:val="auto"/>
                <w:highlight w:val="none"/>
                <w:lang w:val="en-US"/>
              </w:rPr>
              <w:t>3</w:t>
            </w:r>
            <w:r>
              <w:rPr>
                <w:rFonts w:hint="eastAsia" w:ascii="Times New Roman" w:hAnsi="Times New Roman" w:cs="Times New Roman"/>
                <w:b w:val="0"/>
                <w:bCs w:val="0"/>
                <w:color w:val="auto"/>
                <w:highlight w:val="none"/>
                <w:lang w:val="en-US"/>
              </w:rPr>
              <w:t>10</w:t>
            </w:r>
            <w:r>
              <w:rPr>
                <w:rFonts w:ascii="Times New Roman" w:hAnsi="Times New Roman" w:cs="Times New Roman"/>
                <w:b w:val="0"/>
                <w:bCs w:val="0"/>
                <w:color w:val="auto"/>
                <w:highlight w:val="none"/>
                <w:lang w:val="en-US"/>
              </w:rPr>
              <w:t>00t/a</w:t>
            </w:r>
            <w:r>
              <w:rPr>
                <w:rFonts w:hint="eastAsia"/>
                <w:b w:val="0"/>
                <w:bCs w:val="0"/>
                <w:color w:val="auto"/>
                <w:highlight w:val="none"/>
                <w:lang w:val="en-US"/>
              </w:rPr>
              <w:t>。则共产生装卸粉尘为</w:t>
            </w:r>
            <w:r>
              <w:rPr>
                <w:rFonts w:hint="eastAsia" w:ascii="Times New Roman" w:hAnsi="Times New Roman" w:cs="Times New Roman"/>
                <w:b w:val="0"/>
                <w:bCs w:val="0"/>
                <w:color w:val="auto"/>
                <w:highlight w:val="none"/>
                <w:lang w:val="en-US"/>
              </w:rPr>
              <w:t>0.775</w:t>
            </w:r>
            <w:r>
              <w:rPr>
                <w:rFonts w:ascii="Times New Roman" w:hAnsi="Times New Roman" w:cs="Times New Roman"/>
                <w:b w:val="0"/>
                <w:bCs w:val="0"/>
                <w:color w:val="auto"/>
                <w:highlight w:val="none"/>
                <w:lang w:val="en-US"/>
              </w:rPr>
              <w:t>t/a</w:t>
            </w:r>
            <w:r>
              <w:rPr>
                <w:rFonts w:hint="eastAsia"/>
                <w:b w:val="0"/>
                <w:bCs w:val="0"/>
                <w:color w:val="auto"/>
                <w:highlight w:val="none"/>
                <w:lang w:val="en-US"/>
              </w:rPr>
              <w:t>。安捷森公司通过在料斗顶部和侧面设置集气罩收集，风机风量为</w:t>
            </w:r>
            <w:r>
              <w:rPr>
                <w:rFonts w:hint="eastAsia" w:ascii="Times New Roman" w:hAnsi="Times New Roman" w:cs="Times New Roman"/>
                <w:b w:val="0"/>
                <w:bCs w:val="0"/>
                <w:color w:val="auto"/>
                <w:highlight w:val="none"/>
                <w:lang w:val="en-US" w:eastAsia="zh-CN"/>
              </w:rPr>
              <w:t>1</w:t>
            </w:r>
            <w:r>
              <w:rPr>
                <w:rFonts w:ascii="Times New Roman" w:hAnsi="Times New Roman" w:cs="Times New Roman"/>
                <w:b w:val="0"/>
                <w:bCs w:val="0"/>
                <w:color w:val="auto"/>
                <w:highlight w:val="none"/>
                <w:lang w:val="en-US"/>
              </w:rPr>
              <w:t>000m</w:t>
            </w:r>
            <w:r>
              <w:rPr>
                <w:rFonts w:ascii="Times New Roman" w:hAnsi="Times New Roman" w:cs="Times New Roman"/>
                <w:b w:val="0"/>
                <w:bCs w:val="0"/>
                <w:color w:val="auto"/>
                <w:highlight w:val="none"/>
                <w:vertAlign w:val="superscript"/>
                <w:lang w:val="en-US"/>
              </w:rPr>
              <w:t>3</w:t>
            </w:r>
            <w:r>
              <w:rPr>
                <w:rFonts w:ascii="Times New Roman" w:hAnsi="Times New Roman" w:cs="Times New Roman"/>
                <w:b w:val="0"/>
                <w:bCs w:val="0"/>
                <w:color w:val="auto"/>
                <w:highlight w:val="none"/>
                <w:lang w:val="en-US"/>
              </w:rPr>
              <w:t>/h</w:t>
            </w:r>
            <w:r>
              <w:rPr>
                <w:rFonts w:hint="eastAsia"/>
                <w:b w:val="0"/>
                <w:bCs w:val="0"/>
                <w:color w:val="auto"/>
                <w:highlight w:val="none"/>
                <w:lang w:val="en-US"/>
              </w:rPr>
              <w:t>。收集效率为</w:t>
            </w:r>
            <w:r>
              <w:rPr>
                <w:rFonts w:ascii="Times New Roman" w:hAnsi="Times New Roman" w:cs="Times New Roman"/>
                <w:b w:val="0"/>
                <w:bCs w:val="0"/>
                <w:color w:val="auto"/>
                <w:highlight w:val="none"/>
                <w:lang w:val="en-US"/>
              </w:rPr>
              <w:t>80%</w:t>
            </w:r>
            <w:r>
              <w:rPr>
                <w:rFonts w:hint="eastAsia"/>
                <w:b w:val="0"/>
                <w:bCs w:val="0"/>
                <w:color w:val="auto"/>
                <w:highlight w:val="none"/>
                <w:lang w:val="en-US"/>
              </w:rPr>
              <w:t>，则</w:t>
            </w:r>
            <w:r>
              <w:rPr>
                <w:rFonts w:ascii="Times New Roman" w:hAnsi="Times New Roman" w:cs="Times New Roman"/>
                <w:b w:val="0"/>
                <w:bCs w:val="0"/>
                <w:color w:val="auto"/>
                <w:highlight w:val="none"/>
                <w:lang w:val="en-US"/>
              </w:rPr>
              <w:t>有组织产生量为</w:t>
            </w:r>
            <w:r>
              <w:rPr>
                <w:rFonts w:hint="eastAsia" w:ascii="Times New Roman" w:hAnsi="Times New Roman" w:cs="Times New Roman"/>
                <w:b w:val="0"/>
                <w:bCs w:val="0"/>
                <w:color w:val="auto"/>
                <w:highlight w:val="none"/>
                <w:lang w:val="en-US"/>
              </w:rPr>
              <w:t>0.62</w:t>
            </w:r>
            <w:r>
              <w:rPr>
                <w:rFonts w:ascii="Times New Roman" w:hAnsi="Times New Roman" w:cs="Times New Roman"/>
                <w:b w:val="0"/>
                <w:bCs w:val="0"/>
                <w:color w:val="auto"/>
                <w:highlight w:val="none"/>
                <w:lang w:val="en-US"/>
              </w:rPr>
              <w:t>t/a，</w:t>
            </w:r>
            <w:r>
              <w:rPr>
                <w:rFonts w:hint="eastAsia"/>
                <w:b w:val="0"/>
                <w:bCs w:val="0"/>
                <w:color w:val="auto"/>
                <w:highlight w:val="none"/>
                <w:lang w:val="en-US"/>
              </w:rPr>
              <w:t>集中收集后通过</w:t>
            </w:r>
            <w:r>
              <w:rPr>
                <w:rFonts w:hint="eastAsia"/>
                <w:b w:val="0"/>
                <w:bCs w:val="0"/>
                <w:color w:val="auto"/>
                <w:highlight w:val="none"/>
              </w:rPr>
              <w:t>脉冲式布袋除尘器</w:t>
            </w:r>
            <w:r>
              <w:rPr>
                <w:rFonts w:hint="eastAsia"/>
                <w:b w:val="0"/>
                <w:bCs w:val="0"/>
                <w:color w:val="auto"/>
                <w:highlight w:val="none"/>
                <w:lang w:val="en-US"/>
              </w:rPr>
              <w:t>进行处理，</w:t>
            </w:r>
            <w:r>
              <w:rPr>
                <w:rFonts w:ascii="Times New Roman" w:hAnsi="Times New Roman" w:cs="Times New Roman"/>
                <w:b w:val="0"/>
                <w:bCs w:val="0"/>
                <w:color w:val="auto"/>
                <w:highlight w:val="none"/>
                <w:lang w:val="en-US"/>
              </w:rPr>
              <w:t>脉冲式布袋除尘器</w:t>
            </w:r>
            <w:r>
              <w:rPr>
                <w:rFonts w:hint="eastAsia" w:ascii="Times New Roman" w:hAnsi="Times New Roman" w:cs="Times New Roman"/>
                <w:b w:val="0"/>
                <w:bCs w:val="0"/>
                <w:color w:val="auto"/>
                <w:highlight w:val="none"/>
                <w:lang w:val="en-US"/>
              </w:rPr>
              <w:t>对颗粒物的处理效率约为98%，</w:t>
            </w:r>
            <w:r>
              <w:rPr>
                <w:rFonts w:hint="eastAsia"/>
                <w:b w:val="0"/>
                <w:bCs w:val="0"/>
                <w:color w:val="auto"/>
                <w:highlight w:val="none"/>
                <w:lang w:val="en-US"/>
              </w:rPr>
              <w:t>尾气通</w:t>
            </w:r>
            <w:r>
              <w:rPr>
                <w:rFonts w:ascii="Times New Roman" w:hAnsi="Times New Roman" w:cs="Times New Roman"/>
                <w:b w:val="0"/>
                <w:bCs w:val="0"/>
                <w:color w:val="auto"/>
                <w:highlight w:val="none"/>
                <w:lang w:val="en-US"/>
              </w:rPr>
              <w:t>过1根</w:t>
            </w:r>
            <w:r>
              <w:rPr>
                <w:rFonts w:hint="eastAsia" w:ascii="Times New Roman" w:hAnsi="Times New Roman" w:cs="Times New Roman"/>
                <w:b w:val="0"/>
                <w:bCs w:val="0"/>
                <w:color w:val="auto"/>
                <w:highlight w:val="none"/>
                <w:lang w:val="en-US"/>
              </w:rPr>
              <w:t>30</w:t>
            </w:r>
            <w:r>
              <w:rPr>
                <w:rFonts w:ascii="Times New Roman" w:hAnsi="Times New Roman" w:cs="Times New Roman"/>
                <w:b w:val="0"/>
                <w:bCs w:val="0"/>
                <w:color w:val="auto"/>
                <w:highlight w:val="none"/>
                <w:lang w:val="en-US"/>
              </w:rPr>
              <w:t>米高的排气筒P1高空排放。则有组织排放量为</w:t>
            </w:r>
            <w:r>
              <w:rPr>
                <w:rFonts w:hint="eastAsia" w:ascii="Times New Roman" w:hAnsi="Times New Roman" w:cs="Times New Roman"/>
                <w:b w:val="0"/>
                <w:bCs w:val="0"/>
                <w:color w:val="auto"/>
                <w:highlight w:val="none"/>
                <w:lang w:val="en-US"/>
              </w:rPr>
              <w:t>0.012</w:t>
            </w:r>
            <w:r>
              <w:rPr>
                <w:rFonts w:ascii="Times New Roman" w:hAnsi="Times New Roman" w:cs="Times New Roman"/>
                <w:b w:val="0"/>
                <w:bCs w:val="0"/>
                <w:color w:val="auto"/>
                <w:highlight w:val="none"/>
                <w:lang w:val="en-US"/>
              </w:rPr>
              <w:t>t/a。</w:t>
            </w:r>
            <w:r>
              <w:rPr>
                <w:rFonts w:ascii="Times New Roman" w:hAnsi="Times New Roman" w:cs="Times New Roman"/>
                <w:b w:val="0"/>
                <w:bCs w:val="0"/>
                <w:color w:val="auto"/>
                <w:highlight w:val="none"/>
              </w:rPr>
              <w:t>有组织排放速率为</w:t>
            </w:r>
            <w:r>
              <w:rPr>
                <w:rFonts w:hint="eastAsia" w:ascii="Times New Roman" w:hAnsi="Times New Roman" w:cs="Times New Roman"/>
                <w:b w:val="0"/>
                <w:bCs w:val="0"/>
                <w:color w:val="auto"/>
                <w:highlight w:val="none"/>
                <w:lang w:val="en-US" w:eastAsia="zh-CN"/>
              </w:rPr>
              <w:t>0.01</w:t>
            </w:r>
            <w:r>
              <w:rPr>
                <w:rFonts w:ascii="Times New Roman" w:hAnsi="Times New Roman" w:cs="Times New Roman"/>
                <w:b w:val="0"/>
                <w:bCs w:val="0"/>
                <w:color w:val="auto"/>
                <w:highlight w:val="none"/>
              </w:rPr>
              <w:t>kg/h，排放浓度为</w:t>
            </w:r>
            <w:r>
              <w:rPr>
                <w:rFonts w:hint="eastAsia" w:ascii="Times New Roman" w:hAnsi="Times New Roman" w:cs="Times New Roman"/>
                <w:b w:val="0"/>
                <w:bCs w:val="0"/>
                <w:color w:val="auto"/>
                <w:highlight w:val="none"/>
                <w:lang w:val="en-US" w:eastAsia="zh-CN"/>
              </w:rPr>
              <w:t>10</w:t>
            </w:r>
            <w:r>
              <w:rPr>
                <w:rFonts w:ascii="Times New Roman" w:hAnsi="Times New Roman" w:cs="Times New Roman"/>
                <w:b w:val="0"/>
                <w:bCs w:val="0"/>
                <w:color w:val="auto"/>
                <w:highlight w:val="none"/>
              </w:rPr>
              <w:t>mg/m</w:t>
            </w:r>
            <w:r>
              <w:rPr>
                <w:rFonts w:ascii="Times New Roman" w:hAnsi="Times New Roman" w:cs="Times New Roman"/>
                <w:b w:val="0"/>
                <w:bCs w:val="0"/>
                <w:color w:val="auto"/>
                <w:highlight w:val="none"/>
                <w:vertAlign w:val="superscript"/>
              </w:rPr>
              <w:t>3</w:t>
            </w:r>
            <w:r>
              <w:rPr>
                <w:rFonts w:ascii="Times New Roman" w:hAnsi="Times New Roman" w:cs="Times New Roman"/>
                <w:b w:val="0"/>
                <w:bCs w:val="0"/>
                <w:color w:val="auto"/>
                <w:highlight w:val="none"/>
              </w:rPr>
              <w:t>，</w:t>
            </w:r>
            <w:r>
              <w:rPr>
                <w:rFonts w:hint="eastAsia" w:ascii="Times New Roman" w:hAnsi="Times New Roman" w:cs="Times New Roman"/>
                <w:b w:val="0"/>
                <w:bCs w:val="0"/>
                <w:color w:val="auto"/>
                <w:highlight w:val="none"/>
                <w:lang w:val="en-US"/>
              </w:rPr>
              <w:t>未收集的</w:t>
            </w:r>
            <w:r>
              <w:rPr>
                <w:rFonts w:ascii="Times New Roman" w:hAnsi="Times New Roman" w:cs="Times New Roman"/>
                <w:b w:val="0"/>
                <w:bCs w:val="0"/>
                <w:color w:val="auto"/>
                <w:highlight w:val="none"/>
              </w:rPr>
              <w:t>粉尘基本在设备附近沉降下来，逸出车间的极少，</w:t>
            </w:r>
            <w:r>
              <w:rPr>
                <w:rFonts w:hint="eastAsia" w:ascii="Times New Roman" w:hAnsi="Times New Roman" w:cs="Times New Roman"/>
                <w:b w:val="0"/>
                <w:bCs w:val="0"/>
                <w:color w:val="auto"/>
                <w:highlight w:val="none"/>
                <w:lang w:val="en-US"/>
              </w:rPr>
              <w:t>以10%计算</w:t>
            </w:r>
            <w:r>
              <w:rPr>
                <w:rFonts w:ascii="Times New Roman" w:hAnsi="Times New Roman" w:cs="Times New Roman"/>
                <w:b w:val="0"/>
                <w:bCs w:val="0"/>
                <w:color w:val="auto"/>
                <w:highlight w:val="none"/>
              </w:rPr>
              <w:t>，则</w:t>
            </w:r>
            <w:r>
              <w:rPr>
                <w:rFonts w:hint="eastAsia" w:ascii="Times New Roman" w:hAnsi="Times New Roman" w:cs="Times New Roman"/>
                <w:b w:val="0"/>
                <w:bCs w:val="0"/>
                <w:color w:val="auto"/>
                <w:highlight w:val="none"/>
                <w:lang w:val="en-US"/>
              </w:rPr>
              <w:t>最终无组织排放量约0.016</w:t>
            </w:r>
            <w:r>
              <w:rPr>
                <w:rFonts w:ascii="Times New Roman" w:hAnsi="Times New Roman" w:cs="Times New Roman"/>
                <w:b w:val="0"/>
                <w:bCs w:val="0"/>
                <w:color w:val="auto"/>
                <w:highlight w:val="none"/>
              </w:rPr>
              <w:t>t/a。</w:t>
            </w:r>
          </w:p>
          <w:p>
            <w:pPr>
              <w:pStyle w:val="4"/>
              <w:spacing w:line="500" w:lineRule="exact"/>
              <w:ind w:firstLine="480"/>
              <w:rPr>
                <w:rFonts w:hint="default" w:ascii="Times New Roman" w:hAnsi="Times New Roman" w:cs="Times New Roman"/>
                <w:b w:val="0"/>
                <w:bCs w:val="0"/>
                <w:color w:val="auto"/>
                <w:highlight w:val="none"/>
                <w:lang w:val="en-US"/>
              </w:rPr>
            </w:pPr>
            <w:r>
              <w:rPr>
                <w:rFonts w:hint="eastAsia"/>
                <w:b w:val="0"/>
                <w:bCs w:val="0"/>
                <w:color w:val="auto"/>
                <w:highlight w:val="none"/>
              </w:rPr>
              <w:t>（</w:t>
            </w:r>
            <w:r>
              <w:rPr>
                <w:rFonts w:ascii="Times New Roman" w:hAnsi="Times New Roman"/>
                <w:b w:val="0"/>
                <w:bCs w:val="0"/>
                <w:color w:val="auto"/>
                <w:highlight w:val="none"/>
              </w:rPr>
              <w:t>3</w:t>
            </w:r>
            <w:r>
              <w:rPr>
                <w:rFonts w:hint="eastAsia"/>
                <w:b w:val="0"/>
                <w:bCs w:val="0"/>
                <w:color w:val="auto"/>
                <w:highlight w:val="none"/>
              </w:rPr>
              <w:t>）进料粉尘</w:t>
            </w:r>
          </w:p>
          <w:p>
            <w:pPr>
              <w:pStyle w:val="2"/>
              <w:rPr>
                <w:rFonts w:hint="eastAsia" w:ascii="宋体" w:hAnsi="宋体" w:eastAsia="宋体" w:cs="宋体"/>
                <w:b w:val="0"/>
                <w:bCs w:val="0"/>
                <w:color w:val="auto"/>
                <w:kern w:val="2"/>
                <w:sz w:val="24"/>
                <w:szCs w:val="24"/>
                <w:highlight w:val="none"/>
                <w:lang w:val="en-US" w:eastAsia="zh-CN" w:bidi="zh-CN"/>
              </w:rPr>
            </w:pPr>
            <w:r>
              <w:rPr>
                <w:rFonts w:hint="default" w:ascii="Times New Roman" w:hAnsi="Times New Roman" w:eastAsia="宋体" w:cs="Times New Roman"/>
                <w:b w:val="0"/>
                <w:bCs w:val="0"/>
                <w:color w:val="auto"/>
                <w:kern w:val="2"/>
                <w:sz w:val="24"/>
                <w:szCs w:val="24"/>
                <w:highlight w:val="none"/>
                <w:lang w:val="en-US" w:eastAsia="zh-CN" w:bidi="zh-CN"/>
              </w:rPr>
              <w:t>水泥、机制砂、灰钙粉、玻化微珠、粉煤灰均采用储罐储存，共设有9个储罐（水泥2个，机制砂2个、灰钙粉1个、玻化微珠2个、粉煤灰1个、成品储罐1个），储罐仅在输送物料过程中会在储罐顶部呼吸口产生一定量的粉尘。据企业介绍，通过气流输送工段每天约6h，每个储罐顶部呼吸口均安装有脉冲式</w:t>
            </w:r>
            <w:r>
              <w:rPr>
                <w:rFonts w:hint="eastAsia" w:ascii="宋体" w:hAnsi="宋体" w:eastAsia="宋体" w:cs="宋体"/>
                <w:b w:val="0"/>
                <w:bCs w:val="0"/>
                <w:color w:val="auto"/>
                <w:kern w:val="2"/>
                <w:sz w:val="24"/>
                <w:szCs w:val="24"/>
                <w:highlight w:val="none"/>
                <w:lang w:val="en-US" w:eastAsia="zh-CN" w:bidi="zh-CN"/>
              </w:rPr>
              <w:t>布袋除尘器，储罐顶呼吸口粉尘由除尘器净化处理后外排，处理后粉尘经储罐顶部回收。脉冲式布袋除尘器对</w:t>
            </w:r>
            <w:r>
              <w:rPr>
                <w:rFonts w:hint="eastAsia" w:ascii="宋体" w:hAnsi="宋体" w:cs="宋体"/>
                <w:b w:val="0"/>
                <w:bCs w:val="0"/>
                <w:color w:val="auto"/>
                <w:kern w:val="2"/>
                <w:sz w:val="24"/>
                <w:szCs w:val="24"/>
                <w:highlight w:val="none"/>
                <w:lang w:val="en-US" w:eastAsia="zh-CN" w:bidi="zh-CN"/>
              </w:rPr>
              <w:t>进料</w:t>
            </w:r>
            <w:r>
              <w:rPr>
                <w:rFonts w:hint="eastAsia" w:ascii="宋体" w:hAnsi="宋体" w:eastAsia="宋体" w:cs="宋体"/>
                <w:b w:val="0"/>
                <w:bCs w:val="0"/>
                <w:color w:val="auto"/>
                <w:kern w:val="2"/>
                <w:sz w:val="24"/>
                <w:szCs w:val="24"/>
                <w:highlight w:val="none"/>
                <w:lang w:val="en-US" w:eastAsia="zh-CN" w:bidi="zh-CN"/>
              </w:rPr>
              <w:t>粉尘的处理效率以</w:t>
            </w:r>
            <w:r>
              <w:rPr>
                <w:rFonts w:hint="default" w:ascii="Times New Roman" w:hAnsi="Times New Roman" w:eastAsia="宋体" w:cs="Times New Roman"/>
                <w:b w:val="0"/>
                <w:bCs w:val="0"/>
                <w:color w:val="auto"/>
                <w:kern w:val="2"/>
                <w:sz w:val="24"/>
                <w:szCs w:val="24"/>
                <w:highlight w:val="none"/>
                <w:lang w:val="en-US" w:eastAsia="zh-CN" w:bidi="zh-CN"/>
              </w:rPr>
              <w:t>9</w:t>
            </w:r>
            <w:r>
              <w:rPr>
                <w:rFonts w:hint="eastAsia" w:cs="Times New Roman"/>
                <w:b w:val="0"/>
                <w:bCs w:val="0"/>
                <w:color w:val="auto"/>
                <w:kern w:val="2"/>
                <w:sz w:val="24"/>
                <w:szCs w:val="24"/>
                <w:highlight w:val="none"/>
                <w:lang w:val="en-US" w:eastAsia="zh-CN" w:bidi="zh-CN"/>
              </w:rPr>
              <w:t>5</w:t>
            </w:r>
            <w:r>
              <w:rPr>
                <w:rFonts w:hint="default" w:ascii="Times New Roman" w:hAnsi="Times New Roman" w:eastAsia="宋体" w:cs="Times New Roman"/>
                <w:b w:val="0"/>
                <w:bCs w:val="0"/>
                <w:color w:val="auto"/>
                <w:kern w:val="2"/>
                <w:sz w:val="24"/>
                <w:szCs w:val="24"/>
                <w:highlight w:val="none"/>
                <w:lang w:val="en-US" w:eastAsia="zh-CN" w:bidi="zh-CN"/>
              </w:rPr>
              <w:t>%</w:t>
            </w:r>
            <w:r>
              <w:rPr>
                <w:rFonts w:hint="eastAsia" w:ascii="宋体" w:hAnsi="宋体" w:eastAsia="宋体" w:cs="宋体"/>
                <w:b w:val="0"/>
                <w:bCs w:val="0"/>
                <w:color w:val="auto"/>
                <w:kern w:val="2"/>
                <w:sz w:val="24"/>
                <w:szCs w:val="24"/>
                <w:highlight w:val="none"/>
                <w:lang w:val="en-US" w:eastAsia="zh-CN" w:bidi="zh-CN"/>
              </w:rPr>
              <w:t>计，参照美国国家环保局《逸散</w:t>
            </w:r>
            <w:r>
              <w:rPr>
                <w:rFonts w:hint="default" w:ascii="Times New Roman" w:hAnsi="Times New Roman" w:eastAsia="宋体" w:cs="Times New Roman"/>
                <w:b w:val="0"/>
                <w:bCs w:val="0"/>
                <w:color w:val="auto"/>
                <w:kern w:val="2"/>
                <w:sz w:val="24"/>
                <w:szCs w:val="24"/>
                <w:highlight w:val="none"/>
                <w:lang w:val="en-US" w:eastAsia="zh-CN" w:bidi="zh-CN"/>
              </w:rPr>
              <w:t>性工业粉尘控制技术》，该过程的粉尘产生量约为0.12kg/t·卸料，则每个水泥储罐粉尘产生量为0.87t/a，每个机制砂储罐粉尘产生量为1.86t/a，灰钙粉储罐粉尘产生量为0.06t/a，每个玻化微珠储罐粉尘产生量约为0.18t/a，粉煤灰储罐粉尘产生量为0.06t/a。成品储罐粉尘产生量为6t/a，具体</w:t>
            </w:r>
            <w:r>
              <w:rPr>
                <w:rFonts w:hint="eastAsia" w:ascii="宋体" w:hAnsi="宋体" w:eastAsia="宋体" w:cs="宋体"/>
                <w:b w:val="0"/>
                <w:bCs w:val="0"/>
                <w:color w:val="auto"/>
                <w:kern w:val="2"/>
                <w:sz w:val="24"/>
                <w:szCs w:val="24"/>
                <w:highlight w:val="none"/>
                <w:lang w:val="en-US" w:eastAsia="zh-CN" w:bidi="zh-CN"/>
              </w:rPr>
              <w:t>见下表。</w:t>
            </w:r>
          </w:p>
          <w:p>
            <w:pPr>
              <w:keepNext w:val="0"/>
              <w:keepLines w:val="0"/>
              <w:pageBreakBefore w:val="0"/>
              <w:widowControl w:val="0"/>
              <w:kinsoku/>
              <w:wordWrap/>
              <w:overflowPunct/>
              <w:topLinePunct w:val="0"/>
              <w:autoSpaceDE/>
              <w:autoSpaceDN/>
              <w:bidi w:val="0"/>
              <w:adjustRightInd/>
              <w:snapToGrid/>
              <w:spacing w:line="460" w:lineRule="exact"/>
              <w:ind w:firstLine="422"/>
              <w:jc w:val="center"/>
              <w:textAlignment w:val="auto"/>
              <w:rPr>
                <w:b/>
                <w:color w:val="auto"/>
                <w:sz w:val="21"/>
                <w:szCs w:val="21"/>
                <w:highlight w:val="none"/>
              </w:rPr>
            </w:pPr>
            <w:r>
              <w:rPr>
                <w:b/>
                <w:color w:val="auto"/>
                <w:sz w:val="21"/>
                <w:szCs w:val="21"/>
                <w:highlight w:val="none"/>
              </w:rPr>
              <w:t>表</w:t>
            </w:r>
            <w:r>
              <w:rPr>
                <w:rFonts w:hint="eastAsia"/>
                <w:b/>
                <w:color w:val="auto"/>
                <w:sz w:val="21"/>
                <w:szCs w:val="21"/>
                <w:highlight w:val="none"/>
              </w:rPr>
              <w:t>4-3 进料粉尘</w:t>
            </w:r>
            <w:r>
              <w:rPr>
                <w:b/>
                <w:color w:val="auto"/>
                <w:sz w:val="21"/>
                <w:szCs w:val="21"/>
                <w:highlight w:val="none"/>
              </w:rPr>
              <w:t>排放量</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22"/>
              <w:gridCol w:w="883"/>
              <w:gridCol w:w="706"/>
              <w:gridCol w:w="796"/>
              <w:gridCol w:w="1037"/>
              <w:gridCol w:w="1153"/>
              <w:gridCol w:w="1024"/>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储罐</w:t>
                  </w:r>
                  <w:r>
                    <w:rPr>
                      <w:bCs/>
                      <w:color w:val="auto"/>
                      <w:kern w:val="0"/>
                      <w:sz w:val="21"/>
                      <w:szCs w:val="21"/>
                      <w:highlight w:val="none"/>
                    </w:rPr>
                    <w:t>名称</w:t>
                  </w:r>
                </w:p>
              </w:tc>
              <w:tc>
                <w:tcPr>
                  <w:tcW w:w="900"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产尘点</w:t>
                  </w:r>
                </w:p>
                <w:p>
                  <w:pPr>
                    <w:spacing w:line="240" w:lineRule="auto"/>
                    <w:ind w:firstLine="0" w:firstLineChars="0"/>
                    <w:jc w:val="center"/>
                    <w:rPr>
                      <w:bCs/>
                      <w:color w:val="auto"/>
                      <w:kern w:val="0"/>
                      <w:sz w:val="21"/>
                      <w:szCs w:val="21"/>
                      <w:highlight w:val="none"/>
                    </w:rPr>
                  </w:pPr>
                  <w:r>
                    <w:rPr>
                      <w:bCs/>
                      <w:color w:val="auto"/>
                      <w:kern w:val="0"/>
                      <w:sz w:val="21"/>
                      <w:szCs w:val="21"/>
                      <w:highlight w:val="none"/>
                    </w:rPr>
                    <w:t>（个）</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产生量（t/a）</w:t>
                  </w:r>
                </w:p>
              </w:tc>
              <w:tc>
                <w:tcPr>
                  <w:tcW w:w="689"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除尘设施</w:t>
                  </w:r>
                </w:p>
              </w:tc>
              <w:tc>
                <w:tcPr>
                  <w:tcW w:w="777"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排放高度</w:t>
                  </w:r>
                </w:p>
              </w:tc>
              <w:tc>
                <w:tcPr>
                  <w:tcW w:w="1012"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排放量（t/a）</w:t>
                  </w:r>
                </w:p>
              </w:tc>
              <w:tc>
                <w:tcPr>
                  <w:tcW w:w="1125"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排放浓度（mg/m</w:t>
                  </w:r>
                  <w:r>
                    <w:rPr>
                      <w:bCs/>
                      <w:color w:val="auto"/>
                      <w:kern w:val="0"/>
                      <w:sz w:val="21"/>
                      <w:szCs w:val="21"/>
                      <w:highlight w:val="none"/>
                      <w:vertAlign w:val="superscript"/>
                    </w:rPr>
                    <w:t>3</w:t>
                  </w:r>
                  <w:r>
                    <w:rPr>
                      <w:bCs/>
                      <w:color w:val="auto"/>
                      <w:kern w:val="0"/>
                      <w:sz w:val="21"/>
                      <w:szCs w:val="21"/>
                      <w:highlight w:val="none"/>
                    </w:rPr>
                    <w:t>）</w:t>
                  </w:r>
                </w:p>
              </w:tc>
              <w:tc>
                <w:tcPr>
                  <w:tcW w:w="999"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排放速率（kg/h）</w:t>
                  </w:r>
                </w:p>
              </w:tc>
              <w:tc>
                <w:tcPr>
                  <w:tcW w:w="1223" w:type="dxa"/>
                  <w:noWrap/>
                  <w:vAlign w:val="center"/>
                </w:tcPr>
                <w:p>
                  <w:pPr>
                    <w:spacing w:line="240" w:lineRule="auto"/>
                    <w:ind w:firstLine="0" w:firstLineChars="0"/>
                    <w:jc w:val="center"/>
                    <w:rPr>
                      <w:bCs/>
                      <w:color w:val="auto"/>
                      <w:sz w:val="21"/>
                      <w:szCs w:val="21"/>
                      <w:highlight w:val="none"/>
                    </w:rPr>
                  </w:pPr>
                  <w:r>
                    <w:rPr>
                      <w:bCs/>
                      <w:color w:val="auto"/>
                      <w:sz w:val="21"/>
                      <w:szCs w:val="21"/>
                      <w:highlight w:val="none"/>
                    </w:rPr>
                    <w:t>风量</w:t>
                  </w:r>
                  <w:r>
                    <w:rPr>
                      <w:bCs/>
                      <w:color w:val="auto"/>
                      <w:kern w:val="0"/>
                      <w:sz w:val="21"/>
                      <w:szCs w:val="21"/>
                      <w:highlight w:val="none"/>
                    </w:rPr>
                    <w:t>（m</w:t>
                  </w:r>
                  <w:r>
                    <w:rPr>
                      <w:bCs/>
                      <w:color w:val="auto"/>
                      <w:kern w:val="0"/>
                      <w:sz w:val="21"/>
                      <w:szCs w:val="21"/>
                      <w:highlight w:val="none"/>
                      <w:vertAlign w:val="superscript"/>
                    </w:rPr>
                    <w:t>3</w:t>
                  </w:r>
                  <w:r>
                    <w:rPr>
                      <w:bCs/>
                      <w:color w:val="auto"/>
                      <w:kern w:val="0"/>
                      <w:sz w:val="21"/>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vMerge w:val="restart"/>
                  <w:noWrap/>
                  <w:vAlign w:val="center"/>
                </w:tcPr>
                <w:p>
                  <w:pPr>
                    <w:spacing w:line="240" w:lineRule="auto"/>
                    <w:ind w:firstLine="0" w:firstLineChars="0"/>
                    <w:jc w:val="center"/>
                    <w:rPr>
                      <w:bCs/>
                      <w:color w:val="auto"/>
                      <w:kern w:val="0"/>
                      <w:sz w:val="21"/>
                      <w:szCs w:val="21"/>
                      <w:highlight w:val="none"/>
                    </w:rPr>
                  </w:pPr>
                  <w:r>
                    <w:rPr>
                      <w:rFonts w:hint="eastAsia"/>
                      <w:color w:val="auto"/>
                      <w:sz w:val="21"/>
                      <w:szCs w:val="21"/>
                      <w:highlight w:val="none"/>
                    </w:rPr>
                    <w:t>水泥</w:t>
                  </w:r>
                </w:p>
              </w:tc>
              <w:tc>
                <w:tcPr>
                  <w:tcW w:w="900" w:type="dxa"/>
                  <w:vMerge w:val="restart"/>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2</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0.87</w:t>
                  </w:r>
                </w:p>
              </w:tc>
              <w:tc>
                <w:tcPr>
                  <w:tcW w:w="689" w:type="dxa"/>
                  <w:vMerge w:val="restart"/>
                  <w:noWrap/>
                  <w:vAlign w:val="center"/>
                </w:tcPr>
                <w:p>
                  <w:pPr>
                    <w:spacing w:line="240" w:lineRule="auto"/>
                    <w:ind w:firstLine="0" w:firstLineChars="0"/>
                    <w:jc w:val="center"/>
                    <w:rPr>
                      <w:bCs/>
                      <w:color w:val="auto"/>
                      <w:sz w:val="21"/>
                      <w:szCs w:val="21"/>
                      <w:highlight w:val="none"/>
                    </w:rPr>
                  </w:pPr>
                  <w:r>
                    <w:rPr>
                      <w:bCs/>
                      <w:color w:val="auto"/>
                      <w:sz w:val="21"/>
                      <w:szCs w:val="21"/>
                      <w:highlight w:val="none"/>
                    </w:rPr>
                    <w:t>脉冲</w:t>
                  </w:r>
                </w:p>
                <w:p>
                  <w:pPr>
                    <w:spacing w:line="240" w:lineRule="auto"/>
                    <w:ind w:firstLine="0" w:firstLineChars="0"/>
                    <w:jc w:val="center"/>
                    <w:rPr>
                      <w:bCs/>
                      <w:color w:val="auto"/>
                      <w:sz w:val="21"/>
                      <w:szCs w:val="21"/>
                      <w:highlight w:val="none"/>
                    </w:rPr>
                  </w:pPr>
                  <w:r>
                    <w:rPr>
                      <w:bCs/>
                      <w:color w:val="auto"/>
                      <w:sz w:val="21"/>
                      <w:szCs w:val="21"/>
                      <w:highlight w:val="none"/>
                    </w:rPr>
                    <w:t>除尘</w:t>
                  </w:r>
                </w:p>
                <w:p>
                  <w:pPr>
                    <w:spacing w:line="240" w:lineRule="auto"/>
                    <w:ind w:firstLine="0" w:firstLineChars="0"/>
                    <w:jc w:val="center"/>
                    <w:rPr>
                      <w:bCs/>
                      <w:color w:val="auto"/>
                      <w:sz w:val="21"/>
                      <w:szCs w:val="21"/>
                      <w:highlight w:val="none"/>
                    </w:rPr>
                  </w:pPr>
                  <w:r>
                    <w:rPr>
                      <w:bCs/>
                      <w:color w:val="auto"/>
                      <w:sz w:val="21"/>
                      <w:szCs w:val="21"/>
                      <w:highlight w:val="none"/>
                    </w:rPr>
                    <w:t>器</w:t>
                  </w:r>
                </w:p>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9</w:t>
                  </w:r>
                  <w:r>
                    <w:rPr>
                      <w:bCs/>
                      <w:color w:val="auto"/>
                      <w:kern w:val="0"/>
                      <w:sz w:val="21"/>
                      <w:szCs w:val="21"/>
                      <w:highlight w:val="none"/>
                    </w:rPr>
                    <w:t>台</w:t>
                  </w:r>
                </w:p>
              </w:tc>
              <w:tc>
                <w:tcPr>
                  <w:tcW w:w="777"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30m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0.044</w:t>
                  </w:r>
                </w:p>
              </w:tc>
              <w:tc>
                <w:tcPr>
                  <w:tcW w:w="1125"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27.5</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0.055</w:t>
                  </w:r>
                </w:p>
              </w:tc>
              <w:tc>
                <w:tcPr>
                  <w:tcW w:w="1223" w:type="dxa"/>
                  <w:vMerge w:val="restart"/>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2</w:t>
                  </w:r>
                  <w:r>
                    <w:rPr>
                      <w:bCs/>
                      <w:color w:val="auto"/>
                      <w:kern w:val="0"/>
                      <w:sz w:val="21"/>
                      <w:szCs w:val="21"/>
                      <w:highlight w:val="none"/>
                    </w:rPr>
                    <w:t>×</w:t>
                  </w:r>
                  <w:r>
                    <w:rPr>
                      <w:rFonts w:hint="eastAsia"/>
                      <w:bCs/>
                      <w:color w:val="auto"/>
                      <w:kern w:val="0"/>
                      <w:sz w:val="21"/>
                      <w:szCs w:val="21"/>
                      <w:highlight w:val="none"/>
                      <w:lang w:val="en-US" w:eastAsia="zh-CN"/>
                    </w:rPr>
                    <w:t>2</w:t>
                  </w:r>
                  <w:r>
                    <w:rPr>
                      <w:bCs/>
                      <w:color w:val="auto"/>
                      <w:kern w:val="0"/>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vMerge w:val="continue"/>
                  <w:noWrap/>
                  <w:vAlign w:val="center"/>
                </w:tcPr>
                <w:p>
                  <w:pPr>
                    <w:spacing w:line="240" w:lineRule="auto"/>
                    <w:ind w:firstLine="0" w:firstLineChars="0"/>
                    <w:jc w:val="center"/>
                    <w:rPr>
                      <w:color w:val="auto"/>
                      <w:sz w:val="21"/>
                      <w:szCs w:val="21"/>
                      <w:highlight w:val="none"/>
                    </w:rPr>
                  </w:pPr>
                </w:p>
              </w:tc>
              <w:tc>
                <w:tcPr>
                  <w:tcW w:w="900" w:type="dxa"/>
                  <w:vMerge w:val="continue"/>
                  <w:noWrap/>
                  <w:vAlign w:val="center"/>
                </w:tcPr>
                <w:p>
                  <w:pPr>
                    <w:spacing w:line="240" w:lineRule="auto"/>
                    <w:ind w:firstLine="0" w:firstLineChars="0"/>
                    <w:jc w:val="center"/>
                    <w:rPr>
                      <w:bCs/>
                      <w:color w:val="auto"/>
                      <w:kern w:val="0"/>
                      <w:sz w:val="21"/>
                      <w:szCs w:val="21"/>
                      <w:highlight w:val="none"/>
                    </w:rPr>
                  </w:pP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0.87</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30m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0.044</w:t>
                  </w:r>
                </w:p>
              </w:tc>
              <w:tc>
                <w:tcPr>
                  <w:tcW w:w="1125"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27.5</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0.055</w:t>
                  </w:r>
                </w:p>
              </w:tc>
              <w:tc>
                <w:tcPr>
                  <w:tcW w:w="1223" w:type="dxa"/>
                  <w:vMerge w:val="continue"/>
                  <w:noWrap/>
                  <w:vAlign w:val="center"/>
                </w:tcPr>
                <w:p>
                  <w:pPr>
                    <w:spacing w:line="240" w:lineRule="auto"/>
                    <w:ind w:firstLine="0" w:firstLineChars="0"/>
                    <w:jc w:val="center"/>
                    <w:rPr>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vMerge w:val="restart"/>
                  <w:noWrap/>
                  <w:vAlign w:val="center"/>
                </w:tcPr>
                <w:p>
                  <w:pPr>
                    <w:spacing w:line="240" w:lineRule="auto"/>
                    <w:ind w:firstLine="0" w:firstLineChars="0"/>
                    <w:jc w:val="center"/>
                    <w:rPr>
                      <w:bCs/>
                      <w:color w:val="auto"/>
                      <w:kern w:val="0"/>
                      <w:sz w:val="21"/>
                      <w:szCs w:val="21"/>
                      <w:highlight w:val="none"/>
                    </w:rPr>
                  </w:pPr>
                  <w:r>
                    <w:rPr>
                      <w:rFonts w:hint="eastAsia"/>
                      <w:color w:val="auto"/>
                      <w:sz w:val="21"/>
                      <w:szCs w:val="21"/>
                      <w:highlight w:val="none"/>
                    </w:rPr>
                    <w:t>机制砂</w:t>
                  </w:r>
                </w:p>
              </w:tc>
              <w:tc>
                <w:tcPr>
                  <w:tcW w:w="900" w:type="dxa"/>
                  <w:vMerge w:val="restart"/>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2</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1.86</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30</w:t>
                  </w:r>
                  <w:r>
                    <w:rPr>
                      <w:bCs/>
                      <w:color w:val="auto"/>
                      <w:kern w:val="0"/>
                      <w:sz w:val="21"/>
                      <w:szCs w:val="21"/>
                      <w:highlight w:val="none"/>
                    </w:rPr>
                    <w:t>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0.093</w:t>
                  </w:r>
                </w:p>
              </w:tc>
              <w:tc>
                <w:tcPr>
                  <w:tcW w:w="1125"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38.7</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0.116</w:t>
                  </w:r>
                </w:p>
              </w:tc>
              <w:tc>
                <w:tcPr>
                  <w:tcW w:w="1223" w:type="dxa"/>
                  <w:vMerge w:val="restart"/>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2</w:t>
                  </w:r>
                  <w:r>
                    <w:rPr>
                      <w:bCs/>
                      <w:color w:val="auto"/>
                      <w:kern w:val="0"/>
                      <w:sz w:val="21"/>
                      <w:szCs w:val="21"/>
                      <w:highlight w:val="none"/>
                    </w:rPr>
                    <w:t>×</w:t>
                  </w:r>
                  <w:r>
                    <w:rPr>
                      <w:rFonts w:hint="eastAsia"/>
                      <w:bCs/>
                      <w:color w:val="auto"/>
                      <w:kern w:val="0"/>
                      <w:sz w:val="21"/>
                      <w:szCs w:val="21"/>
                      <w:highlight w:val="none"/>
                    </w:rPr>
                    <w:t>3</w:t>
                  </w:r>
                  <w:r>
                    <w:rPr>
                      <w:bCs/>
                      <w:color w:val="auto"/>
                      <w:kern w:val="0"/>
                      <w:sz w:val="21"/>
                      <w:szCs w:val="21"/>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vMerge w:val="continue"/>
                  <w:noWrap/>
                  <w:vAlign w:val="center"/>
                </w:tcPr>
                <w:p>
                  <w:pPr>
                    <w:spacing w:line="240" w:lineRule="auto"/>
                    <w:ind w:firstLine="0" w:firstLineChars="0"/>
                    <w:jc w:val="center"/>
                    <w:rPr>
                      <w:color w:val="auto"/>
                      <w:sz w:val="21"/>
                      <w:szCs w:val="21"/>
                      <w:highlight w:val="none"/>
                    </w:rPr>
                  </w:pPr>
                </w:p>
              </w:tc>
              <w:tc>
                <w:tcPr>
                  <w:tcW w:w="900" w:type="dxa"/>
                  <w:vMerge w:val="continue"/>
                  <w:noWrap/>
                  <w:vAlign w:val="center"/>
                </w:tcPr>
                <w:p>
                  <w:pPr>
                    <w:spacing w:line="240" w:lineRule="auto"/>
                    <w:ind w:firstLine="0" w:firstLineChars="0"/>
                    <w:jc w:val="center"/>
                    <w:rPr>
                      <w:bCs/>
                      <w:color w:val="auto"/>
                      <w:kern w:val="0"/>
                      <w:sz w:val="21"/>
                      <w:szCs w:val="21"/>
                      <w:highlight w:val="none"/>
                    </w:rPr>
                  </w:pP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1.86</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30m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0.093</w:t>
                  </w:r>
                </w:p>
              </w:tc>
              <w:tc>
                <w:tcPr>
                  <w:tcW w:w="1125"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38.7</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0.116</w:t>
                  </w:r>
                </w:p>
              </w:tc>
              <w:tc>
                <w:tcPr>
                  <w:tcW w:w="1223" w:type="dxa"/>
                  <w:vMerge w:val="continue"/>
                  <w:noWrap/>
                  <w:vAlign w:val="center"/>
                </w:tcPr>
                <w:p>
                  <w:pPr>
                    <w:spacing w:line="240" w:lineRule="auto"/>
                    <w:ind w:firstLine="0" w:firstLineChars="0"/>
                    <w:jc w:val="center"/>
                    <w:rPr>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noWrap/>
                  <w:vAlign w:val="center"/>
                </w:tcPr>
                <w:p>
                  <w:pPr>
                    <w:spacing w:line="240" w:lineRule="auto"/>
                    <w:ind w:firstLine="0" w:firstLineChars="0"/>
                    <w:jc w:val="center"/>
                    <w:rPr>
                      <w:bCs/>
                      <w:color w:val="auto"/>
                      <w:kern w:val="0"/>
                      <w:sz w:val="21"/>
                      <w:szCs w:val="21"/>
                      <w:highlight w:val="none"/>
                    </w:rPr>
                  </w:pPr>
                  <w:r>
                    <w:rPr>
                      <w:rFonts w:hint="eastAsia"/>
                      <w:color w:val="auto"/>
                      <w:sz w:val="21"/>
                      <w:szCs w:val="21"/>
                      <w:highlight w:val="none"/>
                    </w:rPr>
                    <w:t>灰钙粉</w:t>
                  </w:r>
                </w:p>
              </w:tc>
              <w:tc>
                <w:tcPr>
                  <w:tcW w:w="900"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0.06</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30</w:t>
                  </w:r>
                  <w:r>
                    <w:rPr>
                      <w:bCs/>
                      <w:color w:val="auto"/>
                      <w:kern w:val="0"/>
                      <w:sz w:val="21"/>
                      <w:szCs w:val="21"/>
                      <w:highlight w:val="none"/>
                    </w:rPr>
                    <w:t>m</w:t>
                  </w:r>
                </w:p>
              </w:tc>
              <w:tc>
                <w:tcPr>
                  <w:tcW w:w="1012" w:type="dxa"/>
                  <w:noWrap/>
                  <w:vAlign w:val="center"/>
                </w:tcPr>
                <w:p>
                  <w:pPr>
                    <w:widowControl/>
                    <w:spacing w:line="240" w:lineRule="auto"/>
                    <w:ind w:firstLine="0" w:firstLineChars="0"/>
                    <w:jc w:val="center"/>
                    <w:textAlignment w:val="center"/>
                    <w:rPr>
                      <w:rFonts w:hint="eastAsia" w:eastAsia="宋体"/>
                      <w:bCs/>
                      <w:color w:val="auto"/>
                      <w:kern w:val="0"/>
                      <w:sz w:val="21"/>
                      <w:szCs w:val="21"/>
                      <w:highlight w:val="none"/>
                      <w:lang w:eastAsia="zh-CN"/>
                    </w:rPr>
                  </w:pPr>
                  <w:r>
                    <w:rPr>
                      <w:rFonts w:hint="eastAsia"/>
                      <w:bCs/>
                      <w:color w:val="auto"/>
                      <w:kern w:val="0"/>
                      <w:sz w:val="21"/>
                      <w:szCs w:val="21"/>
                      <w:highlight w:val="none"/>
                    </w:rPr>
                    <w:t>0.00</w:t>
                  </w:r>
                  <w:r>
                    <w:rPr>
                      <w:rFonts w:hint="eastAsia"/>
                      <w:bCs/>
                      <w:color w:val="auto"/>
                      <w:kern w:val="0"/>
                      <w:sz w:val="21"/>
                      <w:szCs w:val="21"/>
                      <w:highlight w:val="none"/>
                      <w:lang w:val="en-US" w:eastAsia="zh-CN"/>
                    </w:rPr>
                    <w:t>3</w:t>
                  </w:r>
                </w:p>
              </w:tc>
              <w:tc>
                <w:tcPr>
                  <w:tcW w:w="1125" w:type="dxa"/>
                  <w:noWrap/>
                  <w:vAlign w:val="center"/>
                </w:tcPr>
                <w:p>
                  <w:pPr>
                    <w:widowControl/>
                    <w:spacing w:line="240" w:lineRule="auto"/>
                    <w:ind w:firstLine="0" w:firstLineChars="0"/>
                    <w:jc w:val="center"/>
                    <w:textAlignment w:val="center"/>
                    <w:rPr>
                      <w:rFonts w:hint="eastAsia" w:eastAsia="宋体"/>
                      <w:bCs/>
                      <w:color w:val="auto"/>
                      <w:kern w:val="0"/>
                      <w:sz w:val="21"/>
                      <w:szCs w:val="21"/>
                      <w:highlight w:val="none"/>
                      <w:lang w:eastAsia="zh-CN"/>
                    </w:rPr>
                  </w:pPr>
                  <w:r>
                    <w:rPr>
                      <w:rFonts w:hint="eastAsia"/>
                      <w:bCs/>
                      <w:color w:val="auto"/>
                      <w:kern w:val="0"/>
                      <w:sz w:val="21"/>
                      <w:szCs w:val="21"/>
                      <w:highlight w:val="none"/>
                      <w:lang w:val="en-US" w:eastAsia="zh-CN"/>
                    </w:rPr>
                    <w:t>8</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0.004</w:t>
                  </w:r>
                </w:p>
              </w:tc>
              <w:tc>
                <w:tcPr>
                  <w:tcW w:w="1223"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lang w:val="en-US" w:eastAsia="zh-CN"/>
                    </w:rPr>
                    <w:t>5</w:t>
                  </w:r>
                  <w:r>
                    <w:rPr>
                      <w:bCs/>
                      <w:color w:val="auto"/>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vMerge w:val="restart"/>
                  <w:noWrap/>
                  <w:vAlign w:val="center"/>
                </w:tcPr>
                <w:p>
                  <w:pPr>
                    <w:spacing w:line="240" w:lineRule="auto"/>
                    <w:ind w:firstLine="0" w:firstLineChars="0"/>
                    <w:jc w:val="center"/>
                    <w:rPr>
                      <w:bCs/>
                      <w:color w:val="auto"/>
                      <w:kern w:val="0"/>
                      <w:sz w:val="21"/>
                      <w:szCs w:val="21"/>
                      <w:highlight w:val="none"/>
                    </w:rPr>
                  </w:pPr>
                  <w:r>
                    <w:rPr>
                      <w:rFonts w:hint="eastAsia"/>
                      <w:color w:val="auto"/>
                      <w:sz w:val="21"/>
                      <w:szCs w:val="21"/>
                      <w:highlight w:val="none"/>
                    </w:rPr>
                    <w:t>玻化微珠</w:t>
                  </w:r>
                </w:p>
              </w:tc>
              <w:tc>
                <w:tcPr>
                  <w:tcW w:w="900" w:type="dxa"/>
                  <w:vMerge w:val="restart"/>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2</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0.18</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30</w:t>
                  </w:r>
                  <w:r>
                    <w:rPr>
                      <w:bCs/>
                      <w:color w:val="auto"/>
                      <w:kern w:val="0"/>
                      <w:sz w:val="21"/>
                      <w:szCs w:val="21"/>
                      <w:highlight w:val="none"/>
                    </w:rPr>
                    <w:t>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0.009</w:t>
                  </w:r>
                </w:p>
              </w:tc>
              <w:tc>
                <w:tcPr>
                  <w:tcW w:w="1125"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11</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0.011</w:t>
                  </w:r>
                </w:p>
              </w:tc>
              <w:tc>
                <w:tcPr>
                  <w:tcW w:w="1223" w:type="dxa"/>
                  <w:vMerge w:val="restart"/>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2</w:t>
                  </w:r>
                  <w:r>
                    <w:rPr>
                      <w:bCs/>
                      <w:color w:val="auto"/>
                      <w:kern w:val="0"/>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vMerge w:val="continue"/>
                  <w:noWrap/>
                  <w:vAlign w:val="center"/>
                </w:tcPr>
                <w:p>
                  <w:pPr>
                    <w:spacing w:line="240" w:lineRule="auto"/>
                    <w:ind w:firstLine="0" w:firstLineChars="0"/>
                    <w:jc w:val="center"/>
                    <w:rPr>
                      <w:color w:val="auto"/>
                      <w:sz w:val="21"/>
                      <w:szCs w:val="21"/>
                      <w:highlight w:val="none"/>
                    </w:rPr>
                  </w:pPr>
                </w:p>
              </w:tc>
              <w:tc>
                <w:tcPr>
                  <w:tcW w:w="900" w:type="dxa"/>
                  <w:vMerge w:val="continue"/>
                  <w:noWrap/>
                  <w:vAlign w:val="center"/>
                </w:tcPr>
                <w:p>
                  <w:pPr>
                    <w:spacing w:line="240" w:lineRule="auto"/>
                    <w:ind w:firstLine="0" w:firstLineChars="0"/>
                    <w:jc w:val="center"/>
                    <w:rPr>
                      <w:bCs/>
                      <w:color w:val="auto"/>
                      <w:kern w:val="0"/>
                      <w:sz w:val="21"/>
                      <w:szCs w:val="21"/>
                      <w:highlight w:val="none"/>
                    </w:rPr>
                  </w:pP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0.18</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30m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0.009</w:t>
                  </w:r>
                </w:p>
              </w:tc>
              <w:tc>
                <w:tcPr>
                  <w:tcW w:w="1125"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11</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0.011</w:t>
                  </w:r>
                </w:p>
              </w:tc>
              <w:tc>
                <w:tcPr>
                  <w:tcW w:w="1223" w:type="dxa"/>
                  <w:vMerge w:val="continue"/>
                  <w:noWrap/>
                  <w:vAlign w:val="center"/>
                </w:tcPr>
                <w:p>
                  <w:pPr>
                    <w:spacing w:line="240" w:lineRule="auto"/>
                    <w:ind w:firstLine="0" w:firstLineChars="0"/>
                    <w:jc w:val="center"/>
                    <w:rPr>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粉煤灰</w:t>
                  </w:r>
                </w:p>
              </w:tc>
              <w:tc>
                <w:tcPr>
                  <w:tcW w:w="900"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0.06</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30m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0.003</w:t>
                  </w:r>
                </w:p>
              </w:tc>
              <w:tc>
                <w:tcPr>
                  <w:tcW w:w="1125" w:type="dxa"/>
                  <w:noWrap/>
                  <w:vAlign w:val="center"/>
                </w:tcPr>
                <w:p>
                  <w:pPr>
                    <w:widowControl/>
                    <w:spacing w:line="240" w:lineRule="auto"/>
                    <w:ind w:firstLine="0" w:firstLineChars="0"/>
                    <w:jc w:val="center"/>
                    <w:textAlignment w:val="center"/>
                    <w:rPr>
                      <w:rFonts w:hint="eastAsia" w:eastAsia="宋体"/>
                      <w:bCs/>
                      <w:color w:val="auto"/>
                      <w:kern w:val="0"/>
                      <w:sz w:val="21"/>
                      <w:szCs w:val="21"/>
                      <w:highlight w:val="none"/>
                      <w:lang w:val="en-US" w:eastAsia="zh-CN"/>
                    </w:rPr>
                  </w:pPr>
                  <w:r>
                    <w:rPr>
                      <w:rFonts w:hint="eastAsia"/>
                      <w:bCs/>
                      <w:color w:val="auto"/>
                      <w:kern w:val="0"/>
                      <w:sz w:val="21"/>
                      <w:szCs w:val="21"/>
                      <w:highlight w:val="none"/>
                      <w:lang w:val="en-US" w:eastAsia="zh-CN"/>
                    </w:rPr>
                    <w:t>8</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0.004</w:t>
                  </w:r>
                </w:p>
              </w:tc>
              <w:tc>
                <w:tcPr>
                  <w:tcW w:w="1223" w:type="dxa"/>
                  <w:noWrap/>
                  <w:vAlign w:val="center"/>
                </w:tcPr>
                <w:p>
                  <w:pPr>
                    <w:spacing w:line="240" w:lineRule="auto"/>
                    <w:ind w:firstLine="0" w:firstLineChars="0"/>
                    <w:jc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成品仓</w:t>
                  </w:r>
                </w:p>
              </w:tc>
              <w:tc>
                <w:tcPr>
                  <w:tcW w:w="900"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6</w:t>
                  </w:r>
                </w:p>
              </w:tc>
              <w:tc>
                <w:tcPr>
                  <w:tcW w:w="689" w:type="dxa"/>
                  <w:vMerge w:val="continue"/>
                  <w:noWrap/>
                  <w:vAlign w:val="center"/>
                </w:tcPr>
                <w:p>
                  <w:pPr>
                    <w:spacing w:line="240" w:lineRule="auto"/>
                    <w:ind w:firstLine="0" w:firstLineChars="0"/>
                    <w:jc w:val="center"/>
                    <w:rPr>
                      <w:bCs/>
                      <w:color w:val="auto"/>
                      <w:kern w:val="0"/>
                      <w:sz w:val="21"/>
                      <w:szCs w:val="21"/>
                      <w:highlight w:val="none"/>
                    </w:rPr>
                  </w:pPr>
                </w:p>
              </w:tc>
              <w:tc>
                <w:tcPr>
                  <w:tcW w:w="777"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30m</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0.3</w:t>
                  </w:r>
                </w:p>
              </w:tc>
              <w:tc>
                <w:tcPr>
                  <w:tcW w:w="1125"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53</w:t>
                  </w:r>
                </w:p>
              </w:tc>
              <w:tc>
                <w:tcPr>
                  <w:tcW w:w="999"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0.375</w:t>
                  </w:r>
                </w:p>
              </w:tc>
              <w:tc>
                <w:tcPr>
                  <w:tcW w:w="1223"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合计</w:t>
                  </w:r>
                </w:p>
              </w:tc>
              <w:tc>
                <w:tcPr>
                  <w:tcW w:w="900"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9</w:t>
                  </w:r>
                </w:p>
              </w:tc>
              <w:tc>
                <w:tcPr>
                  <w:tcW w:w="86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11.94</w:t>
                  </w:r>
                </w:p>
              </w:tc>
              <w:tc>
                <w:tcPr>
                  <w:tcW w:w="689"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9</w:t>
                  </w:r>
                  <w:r>
                    <w:rPr>
                      <w:bCs/>
                      <w:color w:val="auto"/>
                      <w:kern w:val="0"/>
                      <w:sz w:val="21"/>
                      <w:szCs w:val="21"/>
                      <w:highlight w:val="none"/>
                    </w:rPr>
                    <w:t>台</w:t>
                  </w:r>
                </w:p>
              </w:tc>
              <w:tc>
                <w:tcPr>
                  <w:tcW w:w="777" w:type="dxa"/>
                  <w:noWrap/>
                  <w:vAlign w:val="center"/>
                </w:tcPr>
                <w:p>
                  <w:pPr>
                    <w:spacing w:line="240" w:lineRule="auto"/>
                    <w:ind w:firstLine="0" w:firstLineChars="0"/>
                    <w:jc w:val="center"/>
                    <w:rPr>
                      <w:bCs/>
                      <w:color w:val="auto"/>
                      <w:kern w:val="0"/>
                      <w:sz w:val="21"/>
                      <w:szCs w:val="21"/>
                      <w:highlight w:val="none"/>
                    </w:rPr>
                  </w:pPr>
                  <w:r>
                    <w:rPr>
                      <w:bCs/>
                      <w:color w:val="auto"/>
                      <w:kern w:val="0"/>
                      <w:sz w:val="21"/>
                      <w:szCs w:val="21"/>
                      <w:highlight w:val="none"/>
                    </w:rPr>
                    <w:t>/</w:t>
                  </w:r>
                </w:p>
              </w:tc>
              <w:tc>
                <w:tcPr>
                  <w:tcW w:w="1012"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0.598</w:t>
                  </w:r>
                </w:p>
              </w:tc>
              <w:tc>
                <w:tcPr>
                  <w:tcW w:w="1125"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w:t>
                  </w:r>
                </w:p>
              </w:tc>
              <w:tc>
                <w:tcPr>
                  <w:tcW w:w="999" w:type="dxa"/>
                  <w:noWrap/>
                  <w:vAlign w:val="center"/>
                </w:tcPr>
                <w:p>
                  <w:pPr>
                    <w:widowControl/>
                    <w:spacing w:line="240" w:lineRule="auto"/>
                    <w:ind w:firstLine="0" w:firstLineChars="0"/>
                    <w:jc w:val="center"/>
                    <w:textAlignment w:val="center"/>
                    <w:rPr>
                      <w:bCs/>
                      <w:color w:val="auto"/>
                      <w:kern w:val="0"/>
                      <w:sz w:val="21"/>
                      <w:szCs w:val="21"/>
                      <w:highlight w:val="none"/>
                    </w:rPr>
                  </w:pPr>
                  <w:r>
                    <w:rPr>
                      <w:bCs/>
                      <w:color w:val="auto"/>
                      <w:kern w:val="0"/>
                      <w:sz w:val="21"/>
                      <w:szCs w:val="21"/>
                      <w:highlight w:val="none"/>
                    </w:rPr>
                    <w:t>/</w:t>
                  </w:r>
                </w:p>
              </w:tc>
              <w:tc>
                <w:tcPr>
                  <w:tcW w:w="1223" w:type="dxa"/>
                  <w:noWrap/>
                  <w:vAlign w:val="center"/>
                </w:tcPr>
                <w:p>
                  <w:pPr>
                    <w:spacing w:line="240" w:lineRule="auto"/>
                    <w:ind w:firstLine="0" w:firstLineChars="0"/>
                    <w:jc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20000</w:t>
                  </w:r>
                </w:p>
              </w:tc>
            </w:tr>
          </w:tbl>
          <w:p>
            <w:pPr>
              <w:pStyle w:val="2"/>
              <w:spacing w:line="500" w:lineRule="exact"/>
              <w:ind w:firstLine="480"/>
              <w:rPr>
                <w:color w:val="auto"/>
                <w:sz w:val="24"/>
                <w:szCs w:val="24"/>
                <w:highlight w:val="none"/>
              </w:rPr>
            </w:pPr>
            <w:r>
              <w:rPr>
                <w:rFonts w:hint="eastAsia"/>
                <w:color w:val="auto"/>
                <w:sz w:val="24"/>
                <w:szCs w:val="22"/>
                <w:highlight w:val="none"/>
              </w:rPr>
              <w:t>（4）混合搅</w:t>
            </w:r>
            <w:r>
              <w:rPr>
                <w:rFonts w:hint="eastAsia"/>
                <w:color w:val="auto"/>
                <w:sz w:val="24"/>
                <w:szCs w:val="24"/>
                <w:highlight w:val="none"/>
              </w:rPr>
              <w:t>拌粉尘</w:t>
            </w:r>
          </w:p>
          <w:p>
            <w:pPr>
              <w:pStyle w:val="2"/>
              <w:spacing w:line="500" w:lineRule="exact"/>
              <w:ind w:firstLine="480"/>
              <w:rPr>
                <w:color w:val="auto"/>
                <w:sz w:val="24"/>
                <w:szCs w:val="24"/>
                <w:highlight w:val="none"/>
              </w:rPr>
            </w:pPr>
            <w:r>
              <w:rPr>
                <w:rFonts w:hint="eastAsia"/>
                <w:color w:val="auto"/>
                <w:sz w:val="24"/>
                <w:szCs w:val="24"/>
                <w:highlight w:val="none"/>
              </w:rPr>
              <w:t>本项目混合罐搅拌过程中会产生一定量的搅拌粉尘，混合罐为全密闭设置，仅通过顶部呼吸口进行气体交换，搅拌过程均在密闭储罐内进行，故搅拌粉尘的收集效率为95%，</w:t>
            </w:r>
            <w:r>
              <w:rPr>
                <w:color w:val="auto"/>
                <w:sz w:val="24"/>
                <w:szCs w:val="24"/>
                <w:highlight w:val="none"/>
              </w:rPr>
              <w:t>根据《第二次全国污染源普查产排污核算系数手册（试用版）》</w:t>
            </w:r>
            <w:r>
              <w:rPr>
                <w:rFonts w:hint="eastAsia"/>
                <w:color w:val="auto"/>
                <w:sz w:val="24"/>
                <w:szCs w:val="24"/>
                <w:highlight w:val="none"/>
              </w:rPr>
              <w:t>其他建筑材料制造</w:t>
            </w:r>
            <w:r>
              <w:rPr>
                <w:color w:val="auto"/>
                <w:sz w:val="24"/>
                <w:szCs w:val="24"/>
                <w:highlight w:val="none"/>
              </w:rPr>
              <w:t>行业中的</w:t>
            </w:r>
            <w:r>
              <w:rPr>
                <w:rFonts w:hint="eastAsia"/>
                <w:color w:val="auto"/>
                <w:sz w:val="24"/>
                <w:szCs w:val="24"/>
                <w:highlight w:val="none"/>
              </w:rPr>
              <w:t>物料搅拌</w:t>
            </w:r>
            <w:r>
              <w:rPr>
                <w:color w:val="auto"/>
                <w:sz w:val="24"/>
                <w:szCs w:val="24"/>
                <w:highlight w:val="none"/>
              </w:rPr>
              <w:t>产污系数，即</w:t>
            </w:r>
            <w:r>
              <w:rPr>
                <w:rFonts w:hint="eastAsia"/>
                <w:color w:val="auto"/>
                <w:sz w:val="24"/>
                <w:szCs w:val="24"/>
                <w:highlight w:val="none"/>
              </w:rPr>
              <w:t>0.166</w:t>
            </w:r>
            <w:r>
              <w:rPr>
                <w:color w:val="auto"/>
                <w:sz w:val="24"/>
                <w:szCs w:val="24"/>
                <w:highlight w:val="none"/>
              </w:rPr>
              <w:t>kg/</w:t>
            </w:r>
            <w:r>
              <w:rPr>
                <w:rFonts w:hint="eastAsia"/>
                <w:color w:val="auto"/>
                <w:sz w:val="24"/>
                <w:szCs w:val="24"/>
                <w:highlight w:val="none"/>
              </w:rPr>
              <w:t>吨</w:t>
            </w:r>
            <w:r>
              <w:rPr>
                <w:color w:val="auto"/>
                <w:sz w:val="24"/>
                <w:szCs w:val="24"/>
                <w:highlight w:val="none"/>
              </w:rPr>
              <w:t>·产品，</w:t>
            </w:r>
            <w:r>
              <w:rPr>
                <w:rFonts w:hint="eastAsia"/>
                <w:color w:val="auto"/>
                <w:sz w:val="24"/>
                <w:szCs w:val="24"/>
                <w:highlight w:val="none"/>
              </w:rPr>
              <w:t>本项目成品为50000t/a，则混合搅拌粉尘产生量为8.3t/a，通过在储罐顶部安装脉冲式布袋除尘器对混合搅拌粉尘进行处理后外排，</w:t>
            </w:r>
            <w:r>
              <w:rPr>
                <w:color w:val="auto"/>
                <w:sz w:val="24"/>
                <w:szCs w:val="24"/>
                <w:highlight w:val="none"/>
              </w:rPr>
              <w:t>处理后粉尘经</w:t>
            </w:r>
            <w:r>
              <w:rPr>
                <w:rFonts w:hint="eastAsia"/>
                <w:color w:val="auto"/>
                <w:sz w:val="24"/>
                <w:szCs w:val="24"/>
                <w:highlight w:val="none"/>
              </w:rPr>
              <w:t>混合罐顶部</w:t>
            </w:r>
            <w:r>
              <w:rPr>
                <w:color w:val="auto"/>
                <w:sz w:val="24"/>
                <w:szCs w:val="24"/>
                <w:highlight w:val="none"/>
              </w:rPr>
              <w:t>回收，</w:t>
            </w:r>
            <w:r>
              <w:rPr>
                <w:rFonts w:hint="eastAsia"/>
                <w:color w:val="auto"/>
                <w:sz w:val="24"/>
                <w:szCs w:val="24"/>
                <w:highlight w:val="none"/>
              </w:rPr>
              <w:t>尾气通过30米高的排气筒P11外排</w:t>
            </w:r>
            <w:r>
              <w:rPr>
                <w:color w:val="auto"/>
                <w:sz w:val="24"/>
                <w:szCs w:val="24"/>
                <w:highlight w:val="none"/>
              </w:rPr>
              <w:t>。</w:t>
            </w:r>
            <w:r>
              <w:rPr>
                <w:rFonts w:hint="eastAsia"/>
                <w:color w:val="auto"/>
                <w:sz w:val="24"/>
                <w:szCs w:val="24"/>
                <w:highlight w:val="none"/>
              </w:rPr>
              <w:t>混合罐</w:t>
            </w:r>
            <w:r>
              <w:rPr>
                <w:color w:val="auto"/>
                <w:sz w:val="24"/>
                <w:szCs w:val="24"/>
                <w:highlight w:val="none"/>
              </w:rPr>
              <w:t>风机总设计风量为</w:t>
            </w:r>
            <w:r>
              <w:rPr>
                <w:rFonts w:hint="eastAsia"/>
                <w:color w:val="auto"/>
                <w:sz w:val="24"/>
                <w:szCs w:val="24"/>
                <w:highlight w:val="none"/>
              </w:rPr>
              <w:t>10</w:t>
            </w:r>
            <w:r>
              <w:rPr>
                <w:color w:val="auto"/>
                <w:sz w:val="24"/>
                <w:szCs w:val="24"/>
                <w:highlight w:val="none"/>
              </w:rPr>
              <w:t>000m</w:t>
            </w:r>
            <w:r>
              <w:rPr>
                <w:color w:val="auto"/>
                <w:sz w:val="24"/>
                <w:szCs w:val="24"/>
                <w:highlight w:val="none"/>
                <w:vertAlign w:val="superscript"/>
              </w:rPr>
              <w:t>3</w:t>
            </w:r>
            <w:r>
              <w:rPr>
                <w:color w:val="auto"/>
                <w:sz w:val="24"/>
                <w:szCs w:val="24"/>
                <w:highlight w:val="none"/>
              </w:rPr>
              <w:t>/h，</w:t>
            </w:r>
            <w:r>
              <w:rPr>
                <w:rFonts w:hint="eastAsia"/>
                <w:color w:val="auto"/>
                <w:sz w:val="24"/>
                <w:szCs w:val="24"/>
                <w:highlight w:val="none"/>
              </w:rPr>
              <w:t>其脉冲式布袋除尘器对粉尘的处理效率约为98%，则搅拌粉尘的排放量约为0.158t/a</w:t>
            </w:r>
            <w:r>
              <w:rPr>
                <w:color w:val="auto"/>
                <w:sz w:val="24"/>
                <w:szCs w:val="24"/>
                <w:highlight w:val="none"/>
              </w:rPr>
              <w:t>。</w:t>
            </w:r>
            <w:r>
              <w:rPr>
                <w:rFonts w:hint="eastAsia"/>
                <w:color w:val="auto"/>
                <w:sz w:val="24"/>
                <w:szCs w:val="24"/>
                <w:highlight w:val="none"/>
              </w:rPr>
              <w:t>排放速率为0.001kg/h，排放浓度为8.8mg/m</w:t>
            </w:r>
            <w:r>
              <w:rPr>
                <w:rFonts w:hint="eastAsia"/>
                <w:color w:val="auto"/>
                <w:sz w:val="24"/>
                <w:szCs w:val="24"/>
                <w:highlight w:val="none"/>
                <w:vertAlign w:val="superscript"/>
              </w:rPr>
              <w:t>3</w:t>
            </w:r>
            <w:r>
              <w:rPr>
                <w:rFonts w:hint="eastAsia"/>
                <w:color w:val="auto"/>
                <w:sz w:val="24"/>
                <w:szCs w:val="24"/>
                <w:highlight w:val="none"/>
              </w:rPr>
              <w:t>，未能收集的粉尘通过大部分沉降在设备周围，及时通过吸尘器将沉降粉尘收集，仅有极少数粉尘逸出车间，以10%计算，则最终逸出车间的排放量为0.042t/a。</w:t>
            </w:r>
          </w:p>
          <w:p>
            <w:pPr>
              <w:pStyle w:val="2"/>
              <w:spacing w:line="500" w:lineRule="exact"/>
              <w:ind w:firstLine="480"/>
              <w:rPr>
                <w:color w:val="auto"/>
                <w:sz w:val="24"/>
                <w:szCs w:val="24"/>
                <w:highlight w:val="none"/>
              </w:rPr>
            </w:pPr>
            <w:r>
              <w:rPr>
                <w:rFonts w:hint="eastAsia"/>
                <w:color w:val="auto"/>
                <w:sz w:val="24"/>
                <w:szCs w:val="22"/>
                <w:highlight w:val="none"/>
              </w:rPr>
              <w:t>（5）添加剂搅</w:t>
            </w:r>
            <w:r>
              <w:rPr>
                <w:rFonts w:hint="eastAsia"/>
                <w:color w:val="auto"/>
                <w:sz w:val="24"/>
                <w:szCs w:val="24"/>
                <w:highlight w:val="none"/>
              </w:rPr>
              <w:t>拌粉尘</w:t>
            </w:r>
          </w:p>
          <w:p>
            <w:pPr>
              <w:ind w:firstLine="480"/>
              <w:rPr>
                <w:color w:val="auto"/>
                <w:highlight w:val="none"/>
              </w:rPr>
            </w:pPr>
            <w:r>
              <w:rPr>
                <w:rFonts w:hint="eastAsia"/>
                <w:color w:val="auto"/>
                <w:szCs w:val="24"/>
                <w:highlight w:val="none"/>
              </w:rPr>
              <w:t>本项目各类添加剂在搅拌混合过程中会产生一定量的搅拌粉尘，添加剂搅拌仓为全密闭设置，仅通过顶部呼吸口进行气体交换，搅拌过程均在密闭储罐内进行，故搅拌粉尘的收集效率为95%，</w:t>
            </w:r>
            <w:r>
              <w:rPr>
                <w:color w:val="auto"/>
                <w:szCs w:val="24"/>
                <w:highlight w:val="none"/>
              </w:rPr>
              <w:t>根据《第二次全国污染源普查产排污核算系数手册（试用版）》</w:t>
            </w:r>
            <w:r>
              <w:rPr>
                <w:rFonts w:hint="eastAsia"/>
                <w:color w:val="auto"/>
                <w:szCs w:val="24"/>
                <w:highlight w:val="none"/>
              </w:rPr>
              <w:t>其他建筑材料制造</w:t>
            </w:r>
            <w:r>
              <w:rPr>
                <w:color w:val="auto"/>
                <w:szCs w:val="24"/>
                <w:highlight w:val="none"/>
              </w:rPr>
              <w:t>行业中的</w:t>
            </w:r>
            <w:r>
              <w:rPr>
                <w:rFonts w:hint="eastAsia"/>
                <w:color w:val="auto"/>
                <w:szCs w:val="24"/>
                <w:highlight w:val="none"/>
              </w:rPr>
              <w:t>物料搅拌</w:t>
            </w:r>
            <w:r>
              <w:rPr>
                <w:color w:val="auto"/>
                <w:szCs w:val="24"/>
                <w:highlight w:val="none"/>
              </w:rPr>
              <w:t>产污系数，即</w:t>
            </w:r>
            <w:r>
              <w:rPr>
                <w:rFonts w:hint="eastAsia"/>
                <w:color w:val="auto"/>
                <w:szCs w:val="24"/>
                <w:highlight w:val="none"/>
              </w:rPr>
              <w:t>0.166</w:t>
            </w:r>
            <w:r>
              <w:rPr>
                <w:color w:val="auto"/>
                <w:szCs w:val="24"/>
                <w:highlight w:val="none"/>
              </w:rPr>
              <w:t>kg/</w:t>
            </w:r>
            <w:r>
              <w:rPr>
                <w:rFonts w:hint="eastAsia"/>
                <w:color w:val="auto"/>
                <w:szCs w:val="24"/>
                <w:highlight w:val="none"/>
              </w:rPr>
              <w:t>吨</w:t>
            </w:r>
            <w:r>
              <w:rPr>
                <w:color w:val="auto"/>
                <w:szCs w:val="24"/>
                <w:highlight w:val="none"/>
              </w:rPr>
              <w:t>·产品，</w:t>
            </w:r>
            <w:r>
              <w:rPr>
                <w:rFonts w:hint="eastAsia"/>
                <w:color w:val="auto"/>
                <w:szCs w:val="24"/>
                <w:highlight w:val="none"/>
              </w:rPr>
              <w:t>本项目搅拌后添加剂为500t/a，则添加剂搅拌粉尘产生量为0.083t/a，通过在罐顶安装脉冲式布袋除尘器对添加剂搅拌粉尘进行处理后外排，</w:t>
            </w:r>
            <w:r>
              <w:rPr>
                <w:color w:val="auto"/>
                <w:szCs w:val="24"/>
                <w:highlight w:val="none"/>
              </w:rPr>
              <w:t>处理后粉尘经</w:t>
            </w:r>
            <w:r>
              <w:rPr>
                <w:rFonts w:hint="eastAsia"/>
                <w:color w:val="auto"/>
                <w:szCs w:val="24"/>
                <w:highlight w:val="none"/>
              </w:rPr>
              <w:t>储罐顶部</w:t>
            </w:r>
            <w:r>
              <w:rPr>
                <w:color w:val="auto"/>
                <w:szCs w:val="24"/>
                <w:highlight w:val="none"/>
              </w:rPr>
              <w:t>回收，</w:t>
            </w:r>
            <w:r>
              <w:rPr>
                <w:rFonts w:hint="eastAsia"/>
                <w:color w:val="auto"/>
                <w:szCs w:val="24"/>
                <w:highlight w:val="none"/>
              </w:rPr>
              <w:t>尾气通过30米高的排气筒P12外排</w:t>
            </w:r>
            <w:r>
              <w:rPr>
                <w:color w:val="auto"/>
                <w:szCs w:val="24"/>
                <w:highlight w:val="none"/>
              </w:rPr>
              <w:t>。</w:t>
            </w:r>
            <w:r>
              <w:rPr>
                <w:rFonts w:hint="eastAsia"/>
                <w:color w:val="auto"/>
                <w:szCs w:val="24"/>
                <w:highlight w:val="none"/>
              </w:rPr>
              <w:t>添加剂搅拌仓</w:t>
            </w:r>
            <w:r>
              <w:rPr>
                <w:color w:val="auto"/>
                <w:szCs w:val="24"/>
                <w:highlight w:val="none"/>
              </w:rPr>
              <w:t>风机设计风量为</w:t>
            </w:r>
            <w:r>
              <w:rPr>
                <w:rFonts w:hint="eastAsia"/>
                <w:color w:val="auto"/>
                <w:szCs w:val="24"/>
                <w:highlight w:val="none"/>
              </w:rPr>
              <w:t>10</w:t>
            </w:r>
            <w:r>
              <w:rPr>
                <w:color w:val="auto"/>
                <w:szCs w:val="24"/>
                <w:highlight w:val="none"/>
              </w:rPr>
              <w:t>00m</w:t>
            </w:r>
            <w:r>
              <w:rPr>
                <w:color w:val="auto"/>
                <w:szCs w:val="24"/>
                <w:highlight w:val="none"/>
                <w:vertAlign w:val="superscript"/>
              </w:rPr>
              <w:t>3</w:t>
            </w:r>
            <w:r>
              <w:rPr>
                <w:color w:val="auto"/>
                <w:szCs w:val="24"/>
                <w:highlight w:val="none"/>
              </w:rPr>
              <w:t>/h，</w:t>
            </w:r>
            <w:r>
              <w:rPr>
                <w:rFonts w:hint="eastAsia"/>
                <w:color w:val="auto"/>
                <w:szCs w:val="24"/>
                <w:highlight w:val="none"/>
              </w:rPr>
              <w:t>其脉冲式布袋除尘器对粉尘的处理效率约为9</w:t>
            </w:r>
            <w:r>
              <w:rPr>
                <w:rFonts w:hint="eastAsia"/>
                <w:color w:val="auto"/>
                <w:szCs w:val="24"/>
                <w:highlight w:val="none"/>
                <w:lang w:val="en-US" w:eastAsia="zh-CN"/>
              </w:rPr>
              <w:t>5</w:t>
            </w:r>
            <w:r>
              <w:rPr>
                <w:rFonts w:hint="eastAsia"/>
                <w:color w:val="auto"/>
                <w:szCs w:val="24"/>
                <w:highlight w:val="none"/>
              </w:rPr>
              <w:t>%，则搅拌粉尘的排放量约为0.00</w:t>
            </w:r>
            <w:r>
              <w:rPr>
                <w:rFonts w:hint="eastAsia"/>
                <w:color w:val="auto"/>
                <w:szCs w:val="24"/>
                <w:highlight w:val="none"/>
                <w:lang w:val="en-US" w:eastAsia="zh-CN"/>
              </w:rPr>
              <w:t>4</w:t>
            </w:r>
            <w:r>
              <w:rPr>
                <w:rFonts w:hint="eastAsia"/>
                <w:color w:val="auto"/>
                <w:szCs w:val="24"/>
                <w:highlight w:val="none"/>
              </w:rPr>
              <w:t>t/a</w:t>
            </w:r>
            <w:r>
              <w:rPr>
                <w:color w:val="auto"/>
                <w:szCs w:val="24"/>
                <w:highlight w:val="none"/>
              </w:rPr>
              <w:t>。</w:t>
            </w:r>
            <w:r>
              <w:rPr>
                <w:rFonts w:hint="eastAsia"/>
                <w:color w:val="auto"/>
                <w:szCs w:val="24"/>
                <w:highlight w:val="none"/>
              </w:rPr>
              <w:t>排放速率为0.00</w:t>
            </w:r>
            <w:r>
              <w:rPr>
                <w:rFonts w:hint="eastAsia"/>
                <w:color w:val="auto"/>
                <w:szCs w:val="24"/>
                <w:highlight w:val="none"/>
                <w:lang w:val="en-US" w:eastAsia="zh-CN"/>
              </w:rPr>
              <w:t>8</w:t>
            </w:r>
            <w:r>
              <w:rPr>
                <w:rFonts w:hint="eastAsia"/>
                <w:color w:val="auto"/>
                <w:szCs w:val="24"/>
                <w:highlight w:val="none"/>
              </w:rPr>
              <w:t>kg/h，排放浓度为</w:t>
            </w:r>
            <w:r>
              <w:rPr>
                <w:rFonts w:hint="eastAsia"/>
                <w:color w:val="auto"/>
                <w:szCs w:val="24"/>
                <w:highlight w:val="none"/>
                <w:lang w:val="en-US" w:eastAsia="zh-CN"/>
              </w:rPr>
              <w:t>8</w:t>
            </w:r>
            <w:r>
              <w:rPr>
                <w:rFonts w:hint="eastAsia"/>
                <w:color w:val="auto"/>
                <w:szCs w:val="24"/>
                <w:highlight w:val="none"/>
              </w:rPr>
              <w:t>mg/m</w:t>
            </w:r>
            <w:r>
              <w:rPr>
                <w:rFonts w:hint="eastAsia"/>
                <w:color w:val="auto"/>
                <w:szCs w:val="24"/>
                <w:highlight w:val="none"/>
                <w:vertAlign w:val="superscript"/>
              </w:rPr>
              <w:t>3</w:t>
            </w:r>
            <w:r>
              <w:rPr>
                <w:rFonts w:hint="eastAsia"/>
                <w:color w:val="auto"/>
                <w:szCs w:val="24"/>
                <w:highlight w:val="none"/>
              </w:rPr>
              <w:t>，未能收集的粉尘通过大部分沉降在设备周围，及时通过吸尘器将沉降粉尘收集，仅有极少数粉尘逸出车间，以10%计算，则最终逸出车间的无组织排放量为0.00</w:t>
            </w:r>
            <w:r>
              <w:rPr>
                <w:rFonts w:hint="eastAsia"/>
                <w:color w:val="auto"/>
                <w:szCs w:val="24"/>
                <w:highlight w:val="none"/>
                <w:lang w:val="en-US" w:eastAsia="zh-CN"/>
              </w:rPr>
              <w:t>1</w:t>
            </w:r>
            <w:r>
              <w:rPr>
                <w:rFonts w:hint="eastAsia"/>
                <w:color w:val="auto"/>
                <w:szCs w:val="24"/>
                <w:highlight w:val="none"/>
              </w:rPr>
              <w:t>t/a。</w:t>
            </w:r>
          </w:p>
          <w:p>
            <w:pPr>
              <w:pStyle w:val="17"/>
              <w:spacing w:line="500" w:lineRule="exact"/>
              <w:ind w:firstLine="480"/>
              <w:rPr>
                <w:color w:val="auto"/>
                <w:highlight w:val="none"/>
              </w:rPr>
            </w:pPr>
            <w:r>
              <w:rPr>
                <w:rFonts w:hint="eastAsia"/>
                <w:color w:val="auto"/>
                <w:highlight w:val="none"/>
              </w:rPr>
              <w:t>（6）包装粉尘</w:t>
            </w:r>
          </w:p>
          <w:p>
            <w:pPr>
              <w:autoSpaceDE w:val="0"/>
              <w:snapToGrid w:val="0"/>
              <w:spacing w:line="500" w:lineRule="exact"/>
              <w:ind w:firstLine="480"/>
              <w:rPr>
                <w:rFonts w:ascii="宋体" w:hAnsi="宋体"/>
                <w:color w:val="auto"/>
                <w:szCs w:val="24"/>
                <w:highlight w:val="none"/>
              </w:rPr>
            </w:pPr>
            <w:r>
              <w:rPr>
                <w:rFonts w:hint="eastAsia" w:ascii="宋体" w:hAnsi="宋体" w:cs="宋体"/>
                <w:color w:val="auto"/>
                <w:szCs w:val="24"/>
                <w:highlight w:val="none"/>
              </w:rPr>
              <w:t>本项目包装过程管道与包装袋之间密闭连接输送，除接缝处会有部分粉尘逸出，通过在接缝口处设置侧吸风罩对逸出的粉尘进行收集，灌装完成后，通过传送带输送至自动码垛机，自动码垛机在码垛过程中会有部分粉尘逸出，分装时间以</w:t>
            </w:r>
            <w:r>
              <w:rPr>
                <w:color w:val="auto"/>
                <w:szCs w:val="24"/>
                <w:highlight w:val="none"/>
              </w:rPr>
              <w:t>2400h/a</w:t>
            </w:r>
            <w:r>
              <w:rPr>
                <w:rFonts w:hint="eastAsia" w:ascii="宋体" w:hAnsi="宋体" w:cs="宋体"/>
                <w:color w:val="auto"/>
                <w:szCs w:val="24"/>
                <w:highlight w:val="none"/>
              </w:rPr>
              <w:t>计。包装过程的粉尘通过在设备顶部设置吸风罩对其进行收集，并对设备进行半包围设置，包装的粉尘经集中收集后通过布袋除尘装置进行处置，参照美国国家环保局《逸散性工业粉尘控制技术》中水泥装袋的产污系数</w:t>
            </w:r>
            <w:r>
              <w:rPr>
                <w:rFonts w:hint="eastAsia"/>
                <w:color w:val="auto"/>
                <w:szCs w:val="24"/>
                <w:highlight w:val="none"/>
              </w:rPr>
              <w:t>0.005</w:t>
            </w:r>
            <w:r>
              <w:rPr>
                <w:color w:val="auto"/>
                <w:szCs w:val="24"/>
                <w:highlight w:val="none"/>
              </w:rPr>
              <w:t>kg/t·</w:t>
            </w:r>
            <w:r>
              <w:rPr>
                <w:rFonts w:hint="eastAsia" w:ascii="宋体" w:hAnsi="宋体" w:cs="宋体"/>
                <w:color w:val="auto"/>
                <w:szCs w:val="24"/>
                <w:highlight w:val="none"/>
              </w:rPr>
              <w:t>（装袋），则包装粉尘产生量为</w:t>
            </w:r>
            <w:r>
              <w:rPr>
                <w:rFonts w:hint="eastAsia"/>
                <w:color w:val="auto"/>
                <w:szCs w:val="24"/>
                <w:highlight w:val="none"/>
              </w:rPr>
              <w:t>0.25</w:t>
            </w:r>
            <w:r>
              <w:rPr>
                <w:color w:val="auto"/>
                <w:szCs w:val="24"/>
                <w:highlight w:val="none"/>
              </w:rPr>
              <w:t>t/a</w:t>
            </w:r>
            <w:r>
              <w:rPr>
                <w:rFonts w:hint="eastAsia" w:ascii="宋体" w:hAnsi="宋体" w:cs="宋体"/>
                <w:color w:val="auto"/>
                <w:szCs w:val="24"/>
                <w:highlight w:val="none"/>
              </w:rPr>
              <w:t>。包装粉尘的收集效率为</w:t>
            </w:r>
            <w:r>
              <w:rPr>
                <w:rFonts w:hint="eastAsia"/>
                <w:color w:val="auto"/>
                <w:szCs w:val="24"/>
                <w:highlight w:val="none"/>
              </w:rPr>
              <w:t>95</w:t>
            </w:r>
            <w:r>
              <w:rPr>
                <w:color w:val="auto"/>
                <w:szCs w:val="24"/>
                <w:highlight w:val="none"/>
              </w:rPr>
              <w:t>%</w:t>
            </w:r>
            <w:r>
              <w:rPr>
                <w:rFonts w:hint="eastAsia" w:ascii="宋体" w:hAnsi="宋体" w:cs="宋体"/>
                <w:color w:val="auto"/>
                <w:szCs w:val="24"/>
                <w:highlight w:val="none"/>
              </w:rPr>
              <w:t>，风机风量为</w:t>
            </w:r>
            <w:r>
              <w:rPr>
                <w:rFonts w:hint="eastAsia"/>
                <w:color w:val="auto"/>
                <w:szCs w:val="24"/>
                <w:highlight w:val="none"/>
              </w:rPr>
              <w:t>3000m</w:t>
            </w:r>
            <w:r>
              <w:rPr>
                <w:rFonts w:hint="eastAsia"/>
                <w:color w:val="auto"/>
                <w:szCs w:val="24"/>
                <w:highlight w:val="none"/>
                <w:vertAlign w:val="superscript"/>
              </w:rPr>
              <w:t>3</w:t>
            </w:r>
            <w:r>
              <w:rPr>
                <w:rFonts w:hint="eastAsia"/>
                <w:color w:val="auto"/>
                <w:szCs w:val="24"/>
                <w:highlight w:val="none"/>
              </w:rPr>
              <w:t>/h</w:t>
            </w:r>
            <w:r>
              <w:rPr>
                <w:rFonts w:hint="eastAsia" w:ascii="宋体" w:hAnsi="宋体" w:cs="宋体"/>
                <w:color w:val="auto"/>
                <w:szCs w:val="24"/>
                <w:highlight w:val="none"/>
              </w:rPr>
              <w:t>，通过布袋除尘装置处理，包装粉尘经布袋除尘设施净化处理后外排，处理后粉尘通过一根</w:t>
            </w:r>
            <w:r>
              <w:rPr>
                <w:rFonts w:hint="eastAsia"/>
                <w:color w:val="auto"/>
                <w:szCs w:val="24"/>
                <w:highlight w:val="none"/>
              </w:rPr>
              <w:t>30</w:t>
            </w:r>
            <w:r>
              <w:rPr>
                <w:color w:val="auto"/>
                <w:szCs w:val="24"/>
                <w:highlight w:val="none"/>
              </w:rPr>
              <w:t>m</w:t>
            </w:r>
            <w:r>
              <w:rPr>
                <w:rFonts w:hint="eastAsia" w:ascii="宋体" w:hAnsi="宋体" w:cs="宋体"/>
                <w:color w:val="auto"/>
                <w:szCs w:val="24"/>
                <w:highlight w:val="none"/>
              </w:rPr>
              <w:t>高的排气筒（编号为</w:t>
            </w:r>
            <w:r>
              <w:rPr>
                <w:rFonts w:hint="eastAsia"/>
                <w:color w:val="auto"/>
                <w:szCs w:val="24"/>
                <w:highlight w:val="none"/>
              </w:rPr>
              <w:t>P13</w:t>
            </w:r>
            <w:r>
              <w:rPr>
                <w:rFonts w:hint="eastAsia" w:ascii="宋体" w:hAnsi="宋体" w:cs="宋体"/>
                <w:color w:val="auto"/>
                <w:szCs w:val="24"/>
                <w:highlight w:val="none"/>
              </w:rPr>
              <w:t>排气筒）排放。布袋除尘装置对颗粒物的处理效率为</w:t>
            </w:r>
            <w:r>
              <w:rPr>
                <w:rFonts w:hint="eastAsia"/>
                <w:color w:val="auto"/>
                <w:szCs w:val="24"/>
                <w:highlight w:val="none"/>
              </w:rPr>
              <w:t>98%</w:t>
            </w:r>
            <w:r>
              <w:rPr>
                <w:rFonts w:hint="eastAsia" w:ascii="宋体" w:hAnsi="宋体" w:cs="宋体"/>
                <w:color w:val="auto"/>
                <w:szCs w:val="24"/>
                <w:highlight w:val="none"/>
              </w:rPr>
              <w:t>，则有组织排放量为</w:t>
            </w:r>
            <w:r>
              <w:rPr>
                <w:rFonts w:hint="eastAsia"/>
                <w:color w:val="auto"/>
                <w:szCs w:val="24"/>
                <w:highlight w:val="none"/>
              </w:rPr>
              <w:t>0.005t/a</w:t>
            </w:r>
            <w:r>
              <w:rPr>
                <w:rFonts w:hint="eastAsia" w:ascii="宋体" w:hAnsi="宋体" w:cs="宋体"/>
                <w:color w:val="auto"/>
                <w:szCs w:val="24"/>
                <w:highlight w:val="none"/>
              </w:rPr>
              <w:t>，有组织排放速率为</w:t>
            </w:r>
            <w:r>
              <w:rPr>
                <w:rFonts w:hint="eastAsia"/>
                <w:color w:val="auto"/>
                <w:szCs w:val="24"/>
                <w:highlight w:val="none"/>
              </w:rPr>
              <w:t>0.016kg/h</w:t>
            </w:r>
            <w:r>
              <w:rPr>
                <w:rFonts w:hint="eastAsia" w:ascii="宋体" w:hAnsi="宋体" w:cs="宋体"/>
                <w:color w:val="auto"/>
                <w:szCs w:val="24"/>
                <w:highlight w:val="none"/>
              </w:rPr>
              <w:t>，排放浓度为</w:t>
            </w:r>
            <w:r>
              <w:rPr>
                <w:rFonts w:hint="eastAsia"/>
                <w:color w:val="auto"/>
                <w:szCs w:val="24"/>
                <w:highlight w:val="none"/>
              </w:rPr>
              <w:t>5.3mg/m</w:t>
            </w:r>
            <w:r>
              <w:rPr>
                <w:rFonts w:hint="eastAsia"/>
                <w:color w:val="auto"/>
                <w:szCs w:val="24"/>
                <w:highlight w:val="none"/>
                <w:vertAlign w:val="superscript"/>
              </w:rPr>
              <w:t>3</w:t>
            </w:r>
            <w:r>
              <w:rPr>
                <w:rFonts w:hint="eastAsia" w:ascii="宋体" w:hAnsi="宋体" w:cs="宋体"/>
                <w:color w:val="auto"/>
                <w:szCs w:val="24"/>
                <w:highlight w:val="none"/>
              </w:rPr>
              <w:t>。仅有少量粉尘在进出包装机时逸出，通过加强车间密闭，大部分粉尘沉降在设备周围，员工通过吸尘器将周围粉尘统一收集，未能收集的粉尘从车间缝隙处逸出，预计约有</w:t>
            </w:r>
            <w:r>
              <w:rPr>
                <w:color w:val="auto"/>
                <w:szCs w:val="24"/>
                <w:highlight w:val="none"/>
              </w:rPr>
              <w:t>10%</w:t>
            </w:r>
            <w:r>
              <w:rPr>
                <w:rFonts w:hint="eastAsia" w:ascii="宋体" w:hAnsi="宋体" w:cs="宋体"/>
                <w:color w:val="auto"/>
                <w:szCs w:val="24"/>
                <w:highlight w:val="none"/>
              </w:rPr>
              <w:t>通过无组织排放逸出，则无组织排放量约为</w:t>
            </w:r>
            <w:r>
              <w:rPr>
                <w:rFonts w:hint="eastAsia"/>
                <w:color w:val="auto"/>
                <w:szCs w:val="24"/>
                <w:highlight w:val="none"/>
              </w:rPr>
              <w:t>0.001t/a</w:t>
            </w:r>
            <w:r>
              <w:rPr>
                <w:rFonts w:hint="eastAsia" w:ascii="宋体" w:hAnsi="宋体" w:cs="宋体"/>
                <w:color w:val="auto"/>
                <w:szCs w:val="24"/>
                <w:highlight w:val="none"/>
              </w:rPr>
              <w:t>。</w:t>
            </w:r>
          </w:p>
          <w:p>
            <w:pPr>
              <w:spacing w:line="500" w:lineRule="exact"/>
              <w:ind w:firstLine="480"/>
              <w:jc w:val="left"/>
              <w:rPr>
                <w:rFonts w:hint="eastAsia" w:eastAsia="宋体"/>
                <w:color w:val="auto"/>
                <w:szCs w:val="24"/>
                <w:highlight w:val="none"/>
                <w:lang w:eastAsia="zh-CN"/>
              </w:rPr>
            </w:pPr>
            <w:r>
              <w:rPr>
                <w:rFonts w:hint="eastAsia" w:ascii="宋体" w:hAnsi="宋体"/>
                <w:color w:val="auto"/>
                <w:szCs w:val="24"/>
                <w:highlight w:val="none"/>
              </w:rPr>
              <w:t>项目废气污染源源强核算结果及相关参数见下列一览表。</w:t>
            </w:r>
          </w:p>
        </w:tc>
      </w:tr>
    </w:tbl>
    <w:p>
      <w:pPr>
        <w:pStyle w:val="2"/>
        <w:rPr>
          <w:color w:val="auto"/>
          <w:highlight w:val="none"/>
        </w:rPr>
        <w:sectPr>
          <w:pgSz w:w="11906" w:h="16838"/>
          <w:pgMar w:top="1559" w:right="1559" w:bottom="1559" w:left="1559" w:header="851" w:footer="992" w:gutter="0"/>
          <w:cols w:space="720" w:num="1"/>
          <w:docGrid w:type="lines" w:linePitch="312" w:charSpace="0"/>
        </w:sectPr>
      </w:pPr>
    </w:p>
    <w:bookmarkEnd w:id="4"/>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000" w:type="pct"/>
            <w:shd w:val="clear" w:color="auto" w:fill="auto"/>
            <w:noWrap/>
          </w:tcPr>
          <w:p>
            <w:pPr>
              <w:spacing w:line="460" w:lineRule="exact"/>
              <w:ind w:firstLine="211" w:firstLineChars="10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 xml:space="preserve">4-4  </w:t>
            </w:r>
            <w:r>
              <w:rPr>
                <w:b/>
                <w:color w:val="auto"/>
                <w:sz w:val="21"/>
                <w:szCs w:val="21"/>
                <w:highlight w:val="none"/>
              </w:rPr>
              <w:t>项目大气污染物排放情况一览表</w:t>
            </w:r>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850"/>
              <w:gridCol w:w="852"/>
              <w:gridCol w:w="942"/>
              <w:gridCol w:w="756"/>
              <w:gridCol w:w="1265"/>
              <w:gridCol w:w="884"/>
              <w:gridCol w:w="666"/>
              <w:gridCol w:w="750"/>
              <w:gridCol w:w="750"/>
              <w:gridCol w:w="788"/>
              <w:gridCol w:w="1052"/>
              <w:gridCol w:w="923"/>
              <w:gridCol w:w="577"/>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产污环节</w:t>
                  </w:r>
                </w:p>
              </w:tc>
              <w:tc>
                <w:tcPr>
                  <w:tcW w:w="850"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污染物种类</w:t>
                  </w:r>
                </w:p>
              </w:tc>
              <w:tc>
                <w:tcPr>
                  <w:tcW w:w="1794"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污染物产生情况</w:t>
                  </w:r>
                </w:p>
              </w:tc>
              <w:tc>
                <w:tcPr>
                  <w:tcW w:w="75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排放形式</w:t>
                  </w:r>
                </w:p>
              </w:tc>
              <w:tc>
                <w:tcPr>
                  <w:tcW w:w="4315" w:type="dxa"/>
                  <w:gridSpan w:val="5"/>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主要污染治理设施</w:t>
                  </w:r>
                </w:p>
              </w:tc>
              <w:tc>
                <w:tcPr>
                  <w:tcW w:w="2763" w:type="dxa"/>
                  <w:gridSpan w:val="3"/>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污染物排放情况</w:t>
                  </w:r>
                </w:p>
              </w:tc>
              <w:tc>
                <w:tcPr>
                  <w:tcW w:w="57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排污口编号</w:t>
                  </w:r>
                </w:p>
              </w:tc>
              <w:tc>
                <w:tcPr>
                  <w:tcW w:w="1702"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产生浓度（</w:t>
                  </w:r>
                  <w:r>
                    <w:rPr>
                      <w:bCs/>
                      <w:color w:val="auto"/>
                      <w:sz w:val="21"/>
                      <w:szCs w:val="21"/>
                      <w:highlight w:val="none"/>
                    </w:rPr>
                    <w:t>mg/m</w:t>
                  </w:r>
                  <w:r>
                    <w:rPr>
                      <w:bCs/>
                      <w:color w:val="auto"/>
                      <w:sz w:val="21"/>
                      <w:szCs w:val="21"/>
                      <w:highlight w:val="none"/>
                      <w:vertAlign w:val="superscript"/>
                    </w:rPr>
                    <w:t>3</w:t>
                  </w:r>
                  <w:r>
                    <w:rPr>
                      <w:rFonts w:hint="eastAsia"/>
                      <w:bCs/>
                      <w:snapToGrid w:val="0"/>
                      <w:color w:val="auto"/>
                      <w:sz w:val="21"/>
                      <w:szCs w:val="21"/>
                      <w:highlight w:val="none"/>
                    </w:rPr>
                    <w:t>）</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产生量（</w:t>
                  </w:r>
                  <w:r>
                    <w:rPr>
                      <w:rFonts w:hint="eastAsia"/>
                      <w:bCs/>
                      <w:color w:val="auto"/>
                      <w:sz w:val="21"/>
                      <w:szCs w:val="21"/>
                      <w:highlight w:val="none"/>
                    </w:rPr>
                    <w:t>t</w:t>
                  </w:r>
                  <w:r>
                    <w:rPr>
                      <w:bCs/>
                      <w:color w:val="auto"/>
                      <w:sz w:val="21"/>
                      <w:szCs w:val="21"/>
                      <w:highlight w:val="none"/>
                    </w:rPr>
                    <w:t>/a</w:t>
                  </w:r>
                  <w:r>
                    <w:rPr>
                      <w:rFonts w:hint="eastAsia"/>
                      <w:bCs/>
                      <w:snapToGrid w:val="0"/>
                      <w:color w:val="auto"/>
                      <w:sz w:val="21"/>
                      <w:szCs w:val="21"/>
                      <w:highlight w:val="none"/>
                    </w:rPr>
                    <w:t>）</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治理措施</w:t>
                  </w:r>
                </w:p>
              </w:tc>
              <w:tc>
                <w:tcPr>
                  <w:tcW w:w="884"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处理能力</w:t>
                  </w:r>
                  <w:r>
                    <w:rPr>
                      <w:bCs/>
                      <w:color w:val="auto"/>
                      <w:sz w:val="21"/>
                      <w:szCs w:val="21"/>
                      <w:highlight w:val="none"/>
                    </w:rPr>
                    <w:t>（m</w:t>
                  </w:r>
                  <w:r>
                    <w:rPr>
                      <w:bCs/>
                      <w:color w:val="auto"/>
                      <w:sz w:val="21"/>
                      <w:szCs w:val="21"/>
                      <w:highlight w:val="none"/>
                      <w:vertAlign w:val="superscript"/>
                    </w:rPr>
                    <w:t>3</w:t>
                  </w:r>
                  <w:r>
                    <w:rPr>
                      <w:bCs/>
                      <w:color w:val="auto"/>
                      <w:sz w:val="21"/>
                      <w:szCs w:val="21"/>
                      <w:highlight w:val="none"/>
                    </w:rPr>
                    <w:t>/</w:t>
                  </w:r>
                  <w:r>
                    <w:rPr>
                      <w:rFonts w:hint="eastAsia"/>
                      <w:bCs/>
                      <w:color w:val="auto"/>
                      <w:sz w:val="21"/>
                      <w:szCs w:val="21"/>
                      <w:highlight w:val="none"/>
                    </w:rPr>
                    <w:t>h</w:t>
                  </w:r>
                  <w:r>
                    <w:rPr>
                      <w:bCs/>
                      <w:color w:val="auto"/>
                      <w:sz w:val="21"/>
                      <w:szCs w:val="21"/>
                      <w:highlight w:val="none"/>
                    </w:rPr>
                    <w:t>）</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收集效率（%）</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去除效率（%）</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是否为可行技术</w:t>
                  </w:r>
                </w:p>
              </w:tc>
              <w:tc>
                <w:tcPr>
                  <w:tcW w:w="78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排放浓度（</w:t>
                  </w:r>
                  <w:r>
                    <w:rPr>
                      <w:bCs/>
                      <w:color w:val="auto"/>
                      <w:sz w:val="21"/>
                      <w:szCs w:val="21"/>
                      <w:highlight w:val="none"/>
                    </w:rPr>
                    <w:t>mg/m</w:t>
                  </w:r>
                  <w:r>
                    <w:rPr>
                      <w:bCs/>
                      <w:color w:val="auto"/>
                      <w:sz w:val="21"/>
                      <w:szCs w:val="21"/>
                      <w:highlight w:val="none"/>
                      <w:vertAlign w:val="superscript"/>
                    </w:rPr>
                    <w:t>3</w:t>
                  </w:r>
                  <w:r>
                    <w:rPr>
                      <w:rFonts w:hint="eastAsia"/>
                      <w:bCs/>
                      <w:snapToGrid w:val="0"/>
                      <w:color w:val="auto"/>
                      <w:sz w:val="21"/>
                      <w:szCs w:val="21"/>
                      <w:highlight w:val="none"/>
                    </w:rPr>
                    <w:t>）</w:t>
                  </w:r>
                </w:p>
              </w:tc>
              <w:tc>
                <w:tcPr>
                  <w:tcW w:w="105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排放速率（</w:t>
                  </w:r>
                  <w:r>
                    <w:rPr>
                      <w:bCs/>
                      <w:color w:val="auto"/>
                      <w:sz w:val="21"/>
                      <w:szCs w:val="21"/>
                      <w:highlight w:val="none"/>
                    </w:rPr>
                    <w:t>kg/</w:t>
                  </w:r>
                  <w:r>
                    <w:rPr>
                      <w:rFonts w:hint="eastAsia"/>
                      <w:bCs/>
                      <w:color w:val="auto"/>
                      <w:sz w:val="21"/>
                      <w:szCs w:val="21"/>
                      <w:highlight w:val="none"/>
                    </w:rPr>
                    <w:t>h</w:t>
                  </w:r>
                  <w:r>
                    <w:rPr>
                      <w:rFonts w:hint="eastAsia"/>
                      <w:bCs/>
                      <w:snapToGrid w:val="0"/>
                      <w:color w:val="auto"/>
                      <w:sz w:val="21"/>
                      <w:szCs w:val="21"/>
                      <w:highlight w:val="none"/>
                    </w:rPr>
                    <w:t>）</w:t>
                  </w:r>
                </w:p>
              </w:tc>
              <w:tc>
                <w:tcPr>
                  <w:tcW w:w="923"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排放量（t</w:t>
                  </w:r>
                  <w:r>
                    <w:rPr>
                      <w:bCs/>
                      <w:color w:val="auto"/>
                      <w:sz w:val="21"/>
                      <w:szCs w:val="21"/>
                      <w:highlight w:val="none"/>
                    </w:rPr>
                    <w:t>/a</w:t>
                  </w:r>
                  <w:r>
                    <w:rPr>
                      <w:rFonts w:hint="eastAsia"/>
                      <w:bCs/>
                      <w:snapToGrid w:val="0"/>
                      <w:color w:val="auto"/>
                      <w:sz w:val="21"/>
                      <w:szCs w:val="21"/>
                      <w:highlight w:val="none"/>
                    </w:rPr>
                    <w:t>）</w:t>
                  </w:r>
                </w:p>
              </w:tc>
              <w:tc>
                <w:tcPr>
                  <w:tcW w:w="577" w:type="dxa"/>
                  <w:vMerge w:val="continue"/>
                  <w:noWrap/>
                  <w:vAlign w:val="center"/>
                </w:tcPr>
                <w:p>
                  <w:pPr>
                    <w:spacing w:line="240" w:lineRule="auto"/>
                    <w:ind w:firstLine="0" w:firstLineChars="0"/>
                    <w:jc w:val="center"/>
                    <w:rPr>
                      <w:bCs/>
                      <w:snapToGrid w:val="0"/>
                      <w:color w:val="auto"/>
                      <w:sz w:val="21"/>
                      <w:szCs w:val="21"/>
                      <w:highlight w:val="none"/>
                    </w:rPr>
                  </w:pP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浓度限值（</w:t>
                  </w:r>
                  <w:r>
                    <w:rPr>
                      <w:bCs/>
                      <w:color w:val="auto"/>
                      <w:sz w:val="21"/>
                      <w:szCs w:val="21"/>
                      <w:highlight w:val="none"/>
                    </w:rPr>
                    <w:t>mg/m</w:t>
                  </w:r>
                  <w:r>
                    <w:rPr>
                      <w:bCs/>
                      <w:color w:val="auto"/>
                      <w:sz w:val="21"/>
                      <w:szCs w:val="21"/>
                      <w:highlight w:val="none"/>
                      <w:vertAlign w:val="superscript"/>
                    </w:rPr>
                    <w:t>3</w:t>
                  </w:r>
                  <w:r>
                    <w:rPr>
                      <w:rFonts w:hint="eastAsia"/>
                      <w:bCs/>
                      <w:snapToGrid w:val="0"/>
                      <w:color w:val="auto"/>
                      <w:sz w:val="21"/>
                      <w:szCs w:val="21"/>
                      <w:highlight w:val="none"/>
                    </w:rPr>
                    <w:t>）</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速率限值（</w:t>
                  </w:r>
                  <w:r>
                    <w:rPr>
                      <w:bCs/>
                      <w:color w:val="auto"/>
                      <w:sz w:val="21"/>
                      <w:szCs w:val="21"/>
                      <w:highlight w:val="none"/>
                    </w:rPr>
                    <w:t>kg/</w:t>
                  </w:r>
                  <w:r>
                    <w:rPr>
                      <w:rFonts w:hint="eastAsia"/>
                      <w:bCs/>
                      <w:color w:val="auto"/>
                      <w:sz w:val="21"/>
                      <w:szCs w:val="21"/>
                      <w:highlight w:val="none"/>
                    </w:rPr>
                    <w:t>h</w:t>
                  </w: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车辆运输</w:t>
                  </w:r>
                </w:p>
              </w:tc>
              <w:tc>
                <w:tcPr>
                  <w:tcW w:w="8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85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少量</w:t>
                  </w:r>
                </w:p>
              </w:tc>
              <w:tc>
                <w:tcPr>
                  <w:tcW w:w="75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无组织</w:t>
                  </w:r>
                </w:p>
              </w:tc>
              <w:tc>
                <w:tcPr>
                  <w:tcW w:w="12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限速、洒水等</w:t>
                  </w:r>
                </w:p>
              </w:tc>
              <w:tc>
                <w:tcPr>
                  <w:tcW w:w="884"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05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23"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微量</w:t>
                  </w:r>
                </w:p>
              </w:tc>
              <w:tc>
                <w:tcPr>
                  <w:tcW w:w="57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装卸</w:t>
                  </w:r>
                </w:p>
              </w:tc>
              <w:tc>
                <w:tcPr>
                  <w:tcW w:w="8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645</w:t>
                  </w:r>
                </w:p>
              </w:tc>
              <w:tc>
                <w:tcPr>
                  <w:tcW w:w="942" w:type="dxa"/>
                  <w:noWrap/>
                  <w:vAlign w:val="center"/>
                </w:tcPr>
                <w:p>
                  <w:pPr>
                    <w:widowControl/>
                    <w:spacing w:line="240" w:lineRule="auto"/>
                    <w:ind w:firstLine="0" w:firstLineChars="0"/>
                    <w:jc w:val="center"/>
                    <w:textAlignment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0.775</w:t>
                  </w:r>
                </w:p>
              </w:tc>
              <w:tc>
                <w:tcPr>
                  <w:tcW w:w="75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2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884"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lang w:val="en-US" w:eastAsia="zh-CN"/>
                    </w:rPr>
                    <w:t>1</w:t>
                  </w:r>
                  <w:r>
                    <w:rPr>
                      <w:rFonts w:hint="eastAsia"/>
                      <w:bCs/>
                      <w:snapToGrid w:val="0"/>
                      <w:color w:val="auto"/>
                      <w:sz w:val="21"/>
                      <w:szCs w:val="21"/>
                      <w:highlight w:val="none"/>
                    </w:rPr>
                    <w:t>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80</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98</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10</w:t>
                  </w:r>
                </w:p>
              </w:tc>
              <w:tc>
                <w:tcPr>
                  <w:tcW w:w="1052" w:type="dxa"/>
                  <w:noWrap/>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0.01</w:t>
                  </w:r>
                </w:p>
              </w:tc>
              <w:tc>
                <w:tcPr>
                  <w:tcW w:w="923" w:type="dxa"/>
                  <w:noWrap/>
                  <w:vAlign w:val="center"/>
                </w:tcPr>
                <w:p>
                  <w:pPr>
                    <w:widowControl/>
                    <w:spacing w:line="240" w:lineRule="auto"/>
                    <w:ind w:firstLine="0" w:firstLineChars="0"/>
                    <w:jc w:val="center"/>
                    <w:textAlignment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0.012</w:t>
                  </w:r>
                </w:p>
              </w:tc>
              <w:tc>
                <w:tcPr>
                  <w:tcW w:w="57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P1</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物料输送</w:t>
                  </w:r>
                </w:p>
              </w:tc>
              <w:tc>
                <w:tcPr>
                  <w:tcW w:w="850"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241</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0.87</w:t>
                  </w:r>
                </w:p>
              </w:tc>
              <w:tc>
                <w:tcPr>
                  <w:tcW w:w="75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265"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脉冲式布袋除尘9台</w:t>
                  </w: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27.5</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0.055</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0.044</w:t>
                  </w:r>
                </w:p>
              </w:tc>
              <w:tc>
                <w:tcPr>
                  <w:tcW w:w="57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P2</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241</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0.87</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27.5</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0.055</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0.044</w:t>
                  </w:r>
                </w:p>
              </w:tc>
              <w:tc>
                <w:tcPr>
                  <w:tcW w:w="57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P3</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775</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1.86</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3000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38.7</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0.116</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0.093</w:t>
                  </w:r>
                </w:p>
              </w:tc>
              <w:tc>
                <w:tcPr>
                  <w:tcW w:w="57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P4</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775</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1.86</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3000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38.7</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0.116</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0.093</w:t>
                  </w:r>
                </w:p>
              </w:tc>
              <w:tc>
                <w:tcPr>
                  <w:tcW w:w="57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P5</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150</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0.06</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500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8</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0.004</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0.00</w:t>
                  </w:r>
                  <w:r>
                    <w:rPr>
                      <w:rFonts w:hint="eastAsia"/>
                      <w:bCs/>
                      <w:color w:val="auto"/>
                      <w:kern w:val="0"/>
                      <w:sz w:val="21"/>
                      <w:szCs w:val="21"/>
                      <w:highlight w:val="none"/>
                      <w:lang w:val="en-US" w:eastAsia="zh-CN"/>
                    </w:rPr>
                    <w:t>3</w:t>
                  </w:r>
                </w:p>
              </w:tc>
              <w:tc>
                <w:tcPr>
                  <w:tcW w:w="577" w:type="dxa"/>
                  <w:noWrap/>
                  <w:vAlign w:val="center"/>
                </w:tcPr>
                <w:p>
                  <w:pPr>
                    <w:spacing w:line="240" w:lineRule="auto"/>
                    <w:ind w:firstLine="0" w:firstLineChars="0"/>
                    <w:jc w:val="center"/>
                    <w:rPr>
                      <w:rFonts w:hint="eastAsia" w:eastAsia="宋体"/>
                      <w:bCs/>
                      <w:snapToGrid w:val="0"/>
                      <w:color w:val="auto"/>
                      <w:sz w:val="21"/>
                      <w:szCs w:val="21"/>
                      <w:highlight w:val="none"/>
                      <w:lang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6</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225</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0.18</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11</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0.011</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0.009</w:t>
                  </w:r>
                </w:p>
              </w:tc>
              <w:tc>
                <w:tcPr>
                  <w:tcW w:w="577" w:type="dxa"/>
                  <w:noWrap/>
                  <w:vAlign w:val="center"/>
                </w:tcPr>
                <w:p>
                  <w:pPr>
                    <w:spacing w:line="240" w:lineRule="auto"/>
                    <w:ind w:firstLine="0" w:firstLineChars="0"/>
                    <w:jc w:val="center"/>
                    <w:rPr>
                      <w:rFonts w:hint="eastAsia" w:eastAsia="宋体"/>
                      <w:bCs/>
                      <w:snapToGrid w:val="0"/>
                      <w:color w:val="auto"/>
                      <w:sz w:val="21"/>
                      <w:szCs w:val="21"/>
                      <w:highlight w:val="none"/>
                      <w:lang w:val="en-US"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7</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225</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0.18</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11</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0.011</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0.009</w:t>
                  </w:r>
                </w:p>
              </w:tc>
              <w:tc>
                <w:tcPr>
                  <w:tcW w:w="577" w:type="dxa"/>
                  <w:noWrap/>
                  <w:vAlign w:val="center"/>
                </w:tcPr>
                <w:p>
                  <w:pPr>
                    <w:spacing w:line="240" w:lineRule="auto"/>
                    <w:ind w:firstLine="0" w:firstLineChars="0"/>
                    <w:jc w:val="center"/>
                    <w:rPr>
                      <w:rFonts w:hint="eastAsia" w:eastAsia="宋体"/>
                      <w:bCs/>
                      <w:snapToGrid w:val="0"/>
                      <w:color w:val="auto"/>
                      <w:sz w:val="21"/>
                      <w:szCs w:val="21"/>
                      <w:highlight w:val="none"/>
                      <w:lang w:val="en-US"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8</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150</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0.06</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500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8</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0.004</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0.003</w:t>
                  </w:r>
                </w:p>
              </w:tc>
              <w:tc>
                <w:tcPr>
                  <w:tcW w:w="577" w:type="dxa"/>
                  <w:noWrap/>
                  <w:vAlign w:val="center"/>
                </w:tcPr>
                <w:p>
                  <w:pPr>
                    <w:spacing w:line="240" w:lineRule="auto"/>
                    <w:ind w:firstLine="0" w:firstLineChars="0"/>
                    <w:jc w:val="center"/>
                    <w:rPr>
                      <w:rFonts w:hint="eastAsia" w:eastAsia="宋体"/>
                      <w:bCs/>
                      <w:snapToGrid w:val="0"/>
                      <w:color w:val="auto"/>
                      <w:sz w:val="21"/>
                      <w:szCs w:val="21"/>
                      <w:highlight w:val="none"/>
                      <w:lang w:val="en-US"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9</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noWrap/>
                  <w:vAlign w:val="center"/>
                </w:tcPr>
                <w:p>
                  <w:pPr>
                    <w:spacing w:line="240" w:lineRule="auto"/>
                    <w:ind w:firstLine="0" w:firstLineChars="0"/>
                    <w:jc w:val="center"/>
                    <w:rPr>
                      <w:bCs/>
                      <w:snapToGrid w:val="0"/>
                      <w:color w:val="auto"/>
                      <w:sz w:val="21"/>
                      <w:szCs w:val="21"/>
                      <w:highlight w:val="none"/>
                    </w:rPr>
                  </w:pPr>
                </w:p>
              </w:tc>
              <w:tc>
                <w:tcPr>
                  <w:tcW w:w="850" w:type="dxa"/>
                  <w:vMerge w:val="continue"/>
                  <w:noWrap/>
                  <w:vAlign w:val="center"/>
                </w:tcPr>
                <w:p>
                  <w:pPr>
                    <w:spacing w:line="240" w:lineRule="auto"/>
                    <w:ind w:firstLine="0" w:firstLineChars="0"/>
                    <w:jc w:val="center"/>
                    <w:rPr>
                      <w:bCs/>
                      <w:snapToGrid w:val="0"/>
                      <w:color w:val="auto"/>
                      <w:sz w:val="21"/>
                      <w:szCs w:val="21"/>
                      <w:highlight w:val="none"/>
                    </w:rPr>
                  </w:pP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1071</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6</w:t>
                  </w:r>
                </w:p>
              </w:tc>
              <w:tc>
                <w:tcPr>
                  <w:tcW w:w="756" w:type="dxa"/>
                  <w:vMerge w:val="continue"/>
                  <w:noWrap/>
                  <w:vAlign w:val="center"/>
                </w:tcPr>
                <w:p>
                  <w:pPr>
                    <w:spacing w:line="240" w:lineRule="auto"/>
                    <w:ind w:firstLine="0" w:firstLineChars="0"/>
                    <w:jc w:val="center"/>
                    <w:rPr>
                      <w:bCs/>
                      <w:snapToGrid w:val="0"/>
                      <w:color w:val="auto"/>
                      <w:sz w:val="21"/>
                      <w:szCs w:val="21"/>
                      <w:highlight w:val="none"/>
                    </w:rPr>
                  </w:pPr>
                </w:p>
              </w:tc>
              <w:tc>
                <w:tcPr>
                  <w:tcW w:w="1265" w:type="dxa"/>
                  <w:vMerge w:val="continue"/>
                  <w:noWrap/>
                  <w:vAlign w:val="center"/>
                </w:tcPr>
                <w:p>
                  <w:pPr>
                    <w:spacing w:line="240" w:lineRule="auto"/>
                    <w:ind w:firstLine="0" w:firstLineChars="0"/>
                    <w:jc w:val="center"/>
                    <w:rPr>
                      <w:bCs/>
                      <w:snapToGrid w:val="0"/>
                      <w:color w:val="auto"/>
                      <w:sz w:val="21"/>
                      <w:szCs w:val="21"/>
                      <w:highlight w:val="none"/>
                    </w:rPr>
                  </w:pPr>
                </w:p>
              </w:tc>
              <w:tc>
                <w:tcPr>
                  <w:tcW w:w="884"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7000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napToGrid w:val="0"/>
                      <w:color w:val="auto"/>
                      <w:sz w:val="21"/>
                      <w:szCs w:val="21"/>
                      <w:highlight w:val="none"/>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53</w:t>
                  </w:r>
                </w:p>
              </w:tc>
              <w:tc>
                <w:tcPr>
                  <w:tcW w:w="1052"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0.375</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lang w:val="en-US" w:eastAsia="zh-CN"/>
                    </w:rPr>
                    <w:t>0.3</w:t>
                  </w:r>
                </w:p>
              </w:tc>
              <w:tc>
                <w:tcPr>
                  <w:tcW w:w="577"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10</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混合搅拌</w:t>
                  </w:r>
                </w:p>
              </w:tc>
              <w:tc>
                <w:tcPr>
                  <w:tcW w:w="8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85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461</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8.3</w:t>
                  </w:r>
                </w:p>
              </w:tc>
              <w:tc>
                <w:tcPr>
                  <w:tcW w:w="75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2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884"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98</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8.8</w:t>
                  </w:r>
                </w:p>
              </w:tc>
              <w:tc>
                <w:tcPr>
                  <w:tcW w:w="1052" w:type="dxa"/>
                  <w:noWrap/>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0.001</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0.158</w:t>
                  </w:r>
                </w:p>
              </w:tc>
              <w:tc>
                <w:tcPr>
                  <w:tcW w:w="577"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11</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添加剂搅拌</w:t>
                  </w:r>
                </w:p>
              </w:tc>
              <w:tc>
                <w:tcPr>
                  <w:tcW w:w="8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852"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103</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0.083</w:t>
                  </w:r>
                </w:p>
              </w:tc>
              <w:tc>
                <w:tcPr>
                  <w:tcW w:w="75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2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884"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95</w:t>
                  </w:r>
                </w:p>
              </w:tc>
              <w:tc>
                <w:tcPr>
                  <w:tcW w:w="750"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spacing w:line="240" w:lineRule="auto"/>
                    <w:ind w:firstLine="0" w:firstLineChars="0"/>
                    <w:jc w:val="center"/>
                    <w:rPr>
                      <w:rFonts w:hint="eastAsia"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8</w:t>
                  </w:r>
                </w:p>
              </w:tc>
              <w:tc>
                <w:tcPr>
                  <w:tcW w:w="1052" w:type="dxa"/>
                  <w:noWrap/>
                  <w:vAlign w:val="center"/>
                </w:tcPr>
                <w:p>
                  <w:pPr>
                    <w:widowControl/>
                    <w:spacing w:line="240" w:lineRule="auto"/>
                    <w:ind w:firstLine="0" w:firstLineChars="0"/>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0.008</w:t>
                  </w:r>
                </w:p>
              </w:tc>
              <w:tc>
                <w:tcPr>
                  <w:tcW w:w="923"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0.004</w:t>
                  </w:r>
                </w:p>
              </w:tc>
              <w:tc>
                <w:tcPr>
                  <w:tcW w:w="577"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12</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包装</w:t>
                  </w:r>
                </w:p>
              </w:tc>
              <w:tc>
                <w:tcPr>
                  <w:tcW w:w="8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85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277</w:t>
                  </w:r>
                </w:p>
              </w:tc>
              <w:tc>
                <w:tcPr>
                  <w:tcW w:w="942"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0.25</w:t>
                  </w:r>
                </w:p>
              </w:tc>
              <w:tc>
                <w:tcPr>
                  <w:tcW w:w="75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2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布袋除尘</w:t>
                  </w:r>
                </w:p>
              </w:tc>
              <w:tc>
                <w:tcPr>
                  <w:tcW w:w="884"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3000</w:t>
                  </w:r>
                </w:p>
              </w:tc>
              <w:tc>
                <w:tcPr>
                  <w:tcW w:w="66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95</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98</w:t>
                  </w:r>
                </w:p>
              </w:tc>
              <w:tc>
                <w:tcPr>
                  <w:tcW w:w="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78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5.3</w:t>
                  </w:r>
                </w:p>
              </w:tc>
              <w:tc>
                <w:tcPr>
                  <w:tcW w:w="1052" w:type="dxa"/>
                  <w:noWrap/>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0.016</w:t>
                  </w:r>
                </w:p>
              </w:tc>
              <w:tc>
                <w:tcPr>
                  <w:tcW w:w="923"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0.005</w:t>
                  </w:r>
                </w:p>
              </w:tc>
              <w:tc>
                <w:tcPr>
                  <w:tcW w:w="577"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rPr>
                    <w:t>P</w:t>
                  </w:r>
                  <w:r>
                    <w:rPr>
                      <w:rFonts w:hint="eastAsia"/>
                      <w:bCs/>
                      <w:snapToGrid w:val="0"/>
                      <w:color w:val="auto"/>
                      <w:sz w:val="21"/>
                      <w:szCs w:val="21"/>
                      <w:highlight w:val="none"/>
                      <w:lang w:val="en-US" w:eastAsia="zh-CN"/>
                    </w:rPr>
                    <w:t>13</w:t>
                  </w:r>
                </w:p>
              </w:tc>
              <w:tc>
                <w:tcPr>
                  <w:tcW w:w="851" w:type="dxa"/>
                  <w:noWrap/>
                  <w:vAlign w:val="center"/>
                </w:tcPr>
                <w:p>
                  <w:pPr>
                    <w:pStyle w:val="46"/>
                    <w:spacing w:line="240" w:lineRule="auto"/>
                    <w:ind w:firstLine="0" w:firstLineChars="0"/>
                    <w:rPr>
                      <w:color w:val="auto"/>
                      <w:highlight w:val="none"/>
                    </w:rPr>
                  </w:pPr>
                  <w:r>
                    <w:rPr>
                      <w:rFonts w:hint="eastAsia"/>
                      <w:color w:val="auto"/>
                      <w:highlight w:val="none"/>
                    </w:rPr>
                    <w:t>120</w:t>
                  </w:r>
                </w:p>
              </w:tc>
              <w:tc>
                <w:tcPr>
                  <w:tcW w:w="851"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23</w:t>
                  </w:r>
                </w:p>
              </w:tc>
            </w:tr>
          </w:tbl>
          <w:p>
            <w:pPr>
              <w:spacing w:line="500" w:lineRule="exact"/>
              <w:ind w:firstLine="480"/>
              <w:rPr>
                <w:bCs/>
                <w:snapToGrid w:val="0"/>
                <w:color w:val="auto"/>
                <w:szCs w:val="24"/>
                <w:highlight w:val="none"/>
              </w:rPr>
            </w:pPr>
            <w:r>
              <w:rPr>
                <w:rFonts w:hint="eastAsia"/>
                <w:bCs/>
                <w:snapToGrid w:val="0"/>
                <w:color w:val="auto"/>
                <w:szCs w:val="24"/>
                <w:highlight w:val="none"/>
              </w:rPr>
              <w:t>2、排气口设置情况及监测计划</w:t>
            </w:r>
          </w:p>
          <w:p>
            <w:pPr>
              <w:spacing w:line="500" w:lineRule="exact"/>
              <w:ind w:firstLine="480"/>
              <w:jc w:val="left"/>
              <w:rPr>
                <w:rFonts w:ascii="宋体" w:hAnsi="宋体"/>
                <w:color w:val="auto"/>
                <w:sz w:val="20"/>
                <w:szCs w:val="24"/>
                <w:highlight w:val="none"/>
              </w:rPr>
            </w:pPr>
            <w:r>
              <w:rPr>
                <w:color w:val="auto"/>
                <w:szCs w:val="24"/>
                <w:highlight w:val="none"/>
              </w:rPr>
              <w:t>根据导则及《排污单位自行监测技术指南</w:t>
            </w:r>
            <w:r>
              <w:rPr>
                <w:rFonts w:hint="eastAsia"/>
                <w:color w:val="auto"/>
                <w:szCs w:val="24"/>
                <w:highlight w:val="none"/>
              </w:rPr>
              <w:t xml:space="preserve"> </w:t>
            </w:r>
            <w:r>
              <w:rPr>
                <w:color w:val="auto"/>
                <w:szCs w:val="24"/>
                <w:highlight w:val="none"/>
              </w:rPr>
              <w:t>总则》（HJ819-2017）要求</w:t>
            </w:r>
            <w:r>
              <w:rPr>
                <w:rFonts w:hint="eastAsia" w:ascii="宋体" w:hAnsi="宋体"/>
                <w:color w:val="auto"/>
                <w:szCs w:val="24"/>
                <w:highlight w:val="none"/>
              </w:rPr>
              <w:t>，制定本项目大气监测计划如下：</w:t>
            </w:r>
          </w:p>
          <w:p>
            <w:pPr>
              <w:spacing w:line="460" w:lineRule="exact"/>
              <w:ind w:firstLine="0" w:firstLineChars="0"/>
              <w:jc w:val="center"/>
              <w:rPr>
                <w:color w:val="auto"/>
                <w:sz w:val="21"/>
                <w:szCs w:val="16"/>
                <w:highlight w:val="none"/>
              </w:rPr>
            </w:pPr>
            <w:r>
              <w:rPr>
                <w:b/>
                <w:color w:val="auto"/>
                <w:sz w:val="21"/>
                <w:szCs w:val="21"/>
                <w:highlight w:val="none"/>
              </w:rPr>
              <w:t>表</w:t>
            </w:r>
            <w:r>
              <w:rPr>
                <w:rFonts w:hint="eastAsia"/>
                <w:b/>
                <w:color w:val="auto"/>
                <w:sz w:val="21"/>
                <w:szCs w:val="21"/>
                <w:highlight w:val="none"/>
              </w:rPr>
              <w:t xml:space="preserve">4-5  </w:t>
            </w:r>
            <w:r>
              <w:rPr>
                <w:b/>
                <w:color w:val="auto"/>
                <w:sz w:val="21"/>
                <w:szCs w:val="21"/>
                <w:highlight w:val="none"/>
              </w:rPr>
              <w:t>项目排气口设置及大气污染物监测计划</w:t>
            </w:r>
          </w:p>
          <w:tbl>
            <w:tblPr>
              <w:tblStyle w:val="31"/>
              <w:tblW w:w="13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84"/>
              <w:gridCol w:w="919"/>
              <w:gridCol w:w="799"/>
              <w:gridCol w:w="886"/>
              <w:gridCol w:w="942"/>
              <w:gridCol w:w="1656"/>
              <w:gridCol w:w="922"/>
              <w:gridCol w:w="1063"/>
              <w:gridCol w:w="968"/>
              <w:gridCol w:w="1282"/>
              <w:gridCol w:w="114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noWrap/>
                  <w:vAlign w:val="center"/>
                </w:tcPr>
                <w:p>
                  <w:pPr>
                    <w:spacing w:line="240" w:lineRule="auto"/>
                    <w:ind w:firstLine="0" w:firstLineChars="0"/>
                    <w:jc w:val="center"/>
                    <w:rPr>
                      <w:bCs/>
                      <w:snapToGrid w:val="0"/>
                      <w:color w:val="auto"/>
                      <w:sz w:val="21"/>
                      <w:szCs w:val="21"/>
                      <w:highlight w:val="none"/>
                    </w:rPr>
                  </w:pPr>
                  <w:r>
                    <w:rPr>
                      <w:bCs/>
                      <w:snapToGrid w:val="0"/>
                      <w:color w:val="auto"/>
                      <w:sz w:val="21"/>
                      <w:szCs w:val="21"/>
                      <w:highlight w:val="none"/>
                    </w:rPr>
                    <w:t>污染源类别</w:t>
                  </w:r>
                </w:p>
              </w:tc>
              <w:tc>
                <w:tcPr>
                  <w:tcW w:w="1703" w:type="dxa"/>
                  <w:gridSpan w:val="2"/>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排污口编号及名称</w:t>
                  </w:r>
                </w:p>
              </w:tc>
              <w:tc>
                <w:tcPr>
                  <w:tcW w:w="5205" w:type="dxa"/>
                  <w:gridSpan w:val="5"/>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排放口基本情况</w:t>
                  </w:r>
                </w:p>
              </w:tc>
              <w:tc>
                <w:tcPr>
                  <w:tcW w:w="2031"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排放标准</w:t>
                  </w:r>
                </w:p>
              </w:tc>
              <w:tc>
                <w:tcPr>
                  <w:tcW w:w="3489" w:type="dxa"/>
                  <w:gridSpan w:val="3"/>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1703" w:type="dxa"/>
                  <w:gridSpan w:val="2"/>
                  <w:vMerge w:val="continue"/>
                  <w:noWrap/>
                  <w:vAlign w:val="center"/>
                </w:tcPr>
                <w:p>
                  <w:pPr>
                    <w:spacing w:line="240" w:lineRule="auto"/>
                    <w:ind w:firstLine="0" w:firstLineChars="0"/>
                    <w:jc w:val="center"/>
                    <w:rPr>
                      <w:bCs/>
                      <w:snapToGrid w:val="0"/>
                      <w:color w:val="auto"/>
                      <w:sz w:val="21"/>
                      <w:szCs w:val="21"/>
                      <w:highlight w:val="none"/>
                    </w:rPr>
                  </w:pP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高度/m</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内径/m</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温度/℃</w:t>
                  </w:r>
                </w:p>
              </w:tc>
              <w:tc>
                <w:tcPr>
                  <w:tcW w:w="165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坐标</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类型</w:t>
                  </w:r>
                </w:p>
              </w:tc>
              <w:tc>
                <w:tcPr>
                  <w:tcW w:w="1063"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浓度限值（mg/m</w:t>
                  </w:r>
                  <w:r>
                    <w:rPr>
                      <w:rFonts w:hint="eastAsia"/>
                      <w:bCs/>
                      <w:snapToGrid w:val="0"/>
                      <w:color w:val="auto"/>
                      <w:sz w:val="21"/>
                      <w:szCs w:val="21"/>
                      <w:highlight w:val="none"/>
                      <w:vertAlign w:val="superscript"/>
                    </w:rPr>
                    <w:t>3</w:t>
                  </w:r>
                  <w:r>
                    <w:rPr>
                      <w:rFonts w:hint="eastAsia"/>
                      <w:bCs/>
                      <w:snapToGrid w:val="0"/>
                      <w:color w:val="auto"/>
                      <w:sz w:val="21"/>
                      <w:szCs w:val="21"/>
                      <w:highlight w:val="none"/>
                    </w:rPr>
                    <w:t>）</w:t>
                  </w:r>
                </w:p>
              </w:tc>
              <w:tc>
                <w:tcPr>
                  <w:tcW w:w="9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速率限值（kg/h）</w:t>
                  </w:r>
                </w:p>
              </w:tc>
              <w:tc>
                <w:tcPr>
                  <w:tcW w:w="128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监测点位</w:t>
                  </w:r>
                </w:p>
              </w:tc>
              <w:tc>
                <w:tcPr>
                  <w:tcW w:w="11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监测因子</w:t>
                  </w: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2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703"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投料粉尘DA001</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pStyle w:val="37"/>
                    <w:rPr>
                      <w:rFonts w:hint="default"/>
                      <w:color w:val="auto"/>
                      <w:sz w:val="21"/>
                      <w:szCs w:val="21"/>
                      <w:highlight w:val="none"/>
                    </w:rPr>
                  </w:pPr>
                  <w:r>
                    <w:rPr>
                      <w:rFonts w:hint="default" w:ascii="Times New Roman" w:hAnsi="Times New Roman"/>
                      <w:color w:val="auto"/>
                      <w:sz w:val="21"/>
                      <w:szCs w:val="21"/>
                      <w:highlight w:val="none"/>
                    </w:rPr>
                    <w:t>120°</w:t>
                  </w:r>
                  <w:r>
                    <w:rPr>
                      <w:rFonts w:ascii="Times New Roman" w:hAnsi="Times New Roman"/>
                      <w:color w:val="auto"/>
                      <w:sz w:val="21"/>
                      <w:szCs w:val="21"/>
                      <w:highlight w:val="none"/>
                    </w:rPr>
                    <w:t>06</w:t>
                  </w:r>
                  <w:r>
                    <w:rPr>
                      <w:rFonts w:hint="default" w:ascii="Times New Roman" w:hAnsi="Times New Roman"/>
                      <w:color w:val="auto"/>
                      <w:sz w:val="21"/>
                      <w:szCs w:val="21"/>
                      <w:highlight w:val="none"/>
                    </w:rPr>
                    <w:t>′</w:t>
                  </w:r>
                  <w:r>
                    <w:rPr>
                      <w:rFonts w:ascii="Times New Roman" w:hAnsi="Times New Roman"/>
                      <w:color w:val="auto"/>
                      <w:sz w:val="21"/>
                      <w:szCs w:val="21"/>
                      <w:highlight w:val="none"/>
                    </w:rPr>
                    <w:t>22.38</w:t>
                  </w:r>
                  <w:r>
                    <w:rPr>
                      <w:rFonts w:hint="default" w:ascii="Times New Roman" w:hAnsi="Times New Roman"/>
                      <w:color w:val="auto"/>
                      <w:sz w:val="21"/>
                      <w:szCs w:val="21"/>
                      <w:highlight w:val="none"/>
                    </w:rPr>
                    <w:t>″N</w:t>
                  </w:r>
                  <w:r>
                    <w:rPr>
                      <w:rFonts w:ascii="Times New Roman" w:hAnsi="Times New Roman"/>
                      <w:color w:val="auto"/>
                      <w:sz w:val="21"/>
                      <w:szCs w:val="21"/>
                      <w:highlight w:val="none"/>
                    </w:rPr>
                    <w:t>30</w:t>
                  </w:r>
                  <w:r>
                    <w:rPr>
                      <w:rFonts w:hint="default" w:ascii="Times New Roman" w:hAnsi="Times New Roman"/>
                      <w:color w:val="auto"/>
                      <w:sz w:val="21"/>
                      <w:szCs w:val="21"/>
                      <w:highlight w:val="none"/>
                    </w:rPr>
                    <w:t>°3</w:t>
                  </w:r>
                  <w:r>
                    <w:rPr>
                      <w:rFonts w:ascii="Times New Roman" w:hAnsi="Times New Roman"/>
                      <w:color w:val="auto"/>
                      <w:sz w:val="21"/>
                      <w:szCs w:val="21"/>
                      <w:highlight w:val="none"/>
                    </w:rPr>
                    <w:t>2</w:t>
                  </w:r>
                  <w:r>
                    <w:rPr>
                      <w:rFonts w:hint="default" w:ascii="Times New Roman" w:hAnsi="Times New Roman"/>
                      <w:color w:val="auto"/>
                      <w:sz w:val="21"/>
                      <w:szCs w:val="21"/>
                      <w:highlight w:val="none"/>
                    </w:rPr>
                    <w:t>′</w:t>
                  </w:r>
                  <w:r>
                    <w:rPr>
                      <w:rFonts w:ascii="Times New Roman" w:hAnsi="Times New Roman"/>
                      <w:color w:val="auto"/>
                      <w:sz w:val="21"/>
                      <w:szCs w:val="21"/>
                      <w:highlight w:val="none"/>
                    </w:rPr>
                    <w:t>18.69</w:t>
                  </w:r>
                  <w:r>
                    <w:rPr>
                      <w:rFonts w:hint="default" w:ascii="Times New Roman" w:hAnsi="Times New Roman"/>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120</w:t>
                  </w:r>
                </w:p>
              </w:tc>
              <w:tc>
                <w:tcPr>
                  <w:tcW w:w="9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8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装卸粉尘排放口</w:t>
                  </w:r>
                </w:p>
              </w:tc>
              <w:tc>
                <w:tcPr>
                  <w:tcW w:w="11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784" w:type="dxa"/>
                  <w:vMerge w:val="restar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进料粉尘</w:t>
                  </w: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DA002</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22.24</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18.62</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restart"/>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120</w:t>
                  </w:r>
                </w:p>
              </w:tc>
              <w:tc>
                <w:tcPr>
                  <w:tcW w:w="968"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82"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进料粉尘排放口</w:t>
                  </w:r>
                </w:p>
              </w:tc>
              <w:tc>
                <w:tcPr>
                  <w:tcW w:w="1142"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color w:val="auto"/>
                      <w:sz w:val="21"/>
                      <w:szCs w:val="21"/>
                      <w:highlight w:val="none"/>
                    </w:rPr>
                  </w:pPr>
                </w:p>
              </w:tc>
              <w:tc>
                <w:tcPr>
                  <w:tcW w:w="784" w:type="dxa"/>
                  <w:vMerge w:val="continue"/>
                  <w:noWrap/>
                  <w:vAlign w:val="center"/>
                </w:tcPr>
                <w:p>
                  <w:pPr>
                    <w:spacing w:line="240" w:lineRule="auto"/>
                    <w:ind w:firstLine="0" w:firstLineChars="0"/>
                    <w:jc w:val="center"/>
                    <w:rPr>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DA003</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21.93</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18.53</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784" w:type="dxa"/>
                  <w:vMerge w:val="continue"/>
                  <w:noWrap/>
                  <w:vAlign w:val="center"/>
                </w:tcPr>
                <w:p>
                  <w:pPr>
                    <w:spacing w:line="240" w:lineRule="auto"/>
                    <w:ind w:firstLine="0" w:firstLineChars="0"/>
                    <w:jc w:val="center"/>
                    <w:rPr>
                      <w:bCs/>
                      <w:snapToGrid w:val="0"/>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DA004</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21.83</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18.66</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784" w:type="dxa"/>
                  <w:vMerge w:val="continue"/>
                  <w:noWrap/>
                  <w:vAlign w:val="center"/>
                </w:tcPr>
                <w:p>
                  <w:pPr>
                    <w:spacing w:line="240" w:lineRule="auto"/>
                    <w:ind w:firstLine="0" w:firstLineChars="0"/>
                    <w:jc w:val="center"/>
                    <w:rPr>
                      <w:bCs/>
                      <w:snapToGrid w:val="0"/>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DA005</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22.09</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18.77</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784" w:type="dxa"/>
                  <w:vMerge w:val="continue"/>
                  <w:noWrap/>
                  <w:vAlign w:val="center"/>
                </w:tcPr>
                <w:p>
                  <w:pPr>
                    <w:spacing w:line="240" w:lineRule="auto"/>
                    <w:ind w:firstLine="0" w:firstLineChars="0"/>
                    <w:jc w:val="center"/>
                    <w:rPr>
                      <w:bCs/>
                      <w:snapToGrid w:val="0"/>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DA006</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22.30</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18.84</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784" w:type="dxa"/>
                  <w:vMerge w:val="continue"/>
                  <w:noWrap/>
                  <w:vAlign w:val="center"/>
                </w:tcPr>
                <w:p>
                  <w:pPr>
                    <w:spacing w:line="240" w:lineRule="auto"/>
                    <w:ind w:firstLine="0" w:firstLineChars="0"/>
                    <w:jc w:val="center"/>
                    <w:rPr>
                      <w:bCs/>
                      <w:snapToGrid w:val="0"/>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DA007</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22.26</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19.03</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784" w:type="dxa"/>
                  <w:vMerge w:val="continue"/>
                  <w:noWrap/>
                  <w:vAlign w:val="center"/>
                </w:tcPr>
                <w:p>
                  <w:pPr>
                    <w:spacing w:line="240" w:lineRule="auto"/>
                    <w:ind w:firstLine="0" w:firstLineChars="0"/>
                    <w:jc w:val="center"/>
                    <w:rPr>
                      <w:bCs/>
                      <w:snapToGrid w:val="0"/>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DA008</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22.15</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19.21</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784" w:type="dxa"/>
                  <w:vMerge w:val="continue"/>
                  <w:noWrap/>
                  <w:vAlign w:val="center"/>
                </w:tcPr>
                <w:p>
                  <w:pPr>
                    <w:spacing w:line="240" w:lineRule="auto"/>
                    <w:ind w:firstLine="0" w:firstLineChars="0"/>
                    <w:jc w:val="center"/>
                    <w:rPr>
                      <w:bCs/>
                      <w:snapToGrid w:val="0"/>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DA009</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21.93</w:t>
                  </w:r>
                  <w:r>
                    <w:rPr>
                      <w:color w:val="auto"/>
                      <w:sz w:val="21"/>
                      <w:szCs w:val="21"/>
                      <w:highlight w:val="none"/>
                    </w:rPr>
                    <w:t>″N</w:t>
                  </w:r>
                  <w:r>
                    <w:rPr>
                      <w:rFonts w:hint="eastAsia"/>
                      <w:color w:val="auto"/>
                      <w:sz w:val="21"/>
                      <w:szCs w:val="21"/>
                      <w:highlight w:val="none"/>
                    </w:rPr>
                    <w:t>30</w:t>
                  </w:r>
                  <w:r>
                    <w:rPr>
                      <w:color w:val="auto"/>
                      <w:sz w:val="21"/>
                      <w:szCs w:val="21"/>
                      <w:highlight w:val="none"/>
                    </w:rPr>
                    <w:t>°</w:t>
                  </w:r>
                  <w:r>
                    <w:rPr>
                      <w:rFonts w:hint="eastAsia"/>
                      <w:color w:val="auto"/>
                      <w:sz w:val="21"/>
                      <w:szCs w:val="21"/>
                      <w:highlight w:val="none"/>
                    </w:rPr>
                    <w:t>32</w:t>
                  </w:r>
                  <w:r>
                    <w:rPr>
                      <w:color w:val="auto"/>
                      <w:sz w:val="21"/>
                      <w:szCs w:val="21"/>
                      <w:highlight w:val="none"/>
                    </w:rPr>
                    <w:t>′</w:t>
                  </w:r>
                  <w:r>
                    <w:rPr>
                      <w:rFonts w:hint="eastAsia"/>
                      <w:color w:val="auto"/>
                      <w:sz w:val="21"/>
                      <w:szCs w:val="21"/>
                      <w:highlight w:val="none"/>
                    </w:rPr>
                    <w:t>19.15</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29" w:type="dxa"/>
                  <w:vMerge w:val="continue"/>
                  <w:noWrap/>
                  <w:vAlign w:val="center"/>
                </w:tcPr>
                <w:p>
                  <w:pPr>
                    <w:spacing w:line="240" w:lineRule="auto"/>
                    <w:ind w:firstLine="0" w:firstLineChars="0"/>
                    <w:jc w:val="center"/>
                    <w:rPr>
                      <w:bCs/>
                      <w:snapToGrid w:val="0"/>
                      <w:color w:val="auto"/>
                      <w:sz w:val="21"/>
                      <w:szCs w:val="21"/>
                      <w:highlight w:val="none"/>
                    </w:rPr>
                  </w:pPr>
                </w:p>
              </w:tc>
              <w:tc>
                <w:tcPr>
                  <w:tcW w:w="784" w:type="dxa"/>
                  <w:vMerge w:val="continue"/>
                  <w:noWrap/>
                  <w:vAlign w:val="center"/>
                </w:tcPr>
                <w:p>
                  <w:pPr>
                    <w:spacing w:line="240" w:lineRule="auto"/>
                    <w:ind w:firstLine="0" w:firstLineChars="0"/>
                    <w:jc w:val="center"/>
                    <w:rPr>
                      <w:bCs/>
                      <w:snapToGrid w:val="0"/>
                      <w:color w:val="auto"/>
                      <w:sz w:val="21"/>
                      <w:szCs w:val="21"/>
                      <w:highlight w:val="none"/>
                    </w:rPr>
                  </w:pPr>
                </w:p>
              </w:tc>
              <w:tc>
                <w:tcPr>
                  <w:tcW w:w="91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DA010</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21.73</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19.11</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vMerge w:val="continue"/>
                  <w:noWrap/>
                  <w:vAlign w:val="center"/>
                </w:tcPr>
                <w:p>
                  <w:pPr>
                    <w:spacing w:line="240" w:lineRule="auto"/>
                    <w:ind w:firstLine="0" w:firstLineChars="0"/>
                    <w:jc w:val="center"/>
                    <w:rPr>
                      <w:bCs/>
                      <w:snapToGrid w:val="0"/>
                      <w:color w:val="auto"/>
                      <w:sz w:val="21"/>
                      <w:szCs w:val="21"/>
                      <w:highlight w:val="none"/>
                    </w:rPr>
                  </w:pPr>
                </w:p>
              </w:tc>
              <w:tc>
                <w:tcPr>
                  <w:tcW w:w="968" w:type="dxa"/>
                  <w:vMerge w:val="continue"/>
                  <w:noWrap/>
                  <w:vAlign w:val="center"/>
                </w:tcPr>
                <w:p>
                  <w:pPr>
                    <w:spacing w:line="240" w:lineRule="auto"/>
                    <w:ind w:firstLine="0" w:firstLineChars="0"/>
                    <w:jc w:val="center"/>
                    <w:rPr>
                      <w:bCs/>
                      <w:snapToGrid w:val="0"/>
                      <w:color w:val="auto"/>
                      <w:sz w:val="21"/>
                      <w:szCs w:val="21"/>
                      <w:highlight w:val="none"/>
                    </w:rPr>
                  </w:pPr>
                </w:p>
              </w:tc>
              <w:tc>
                <w:tcPr>
                  <w:tcW w:w="1282" w:type="dxa"/>
                  <w:vMerge w:val="continue"/>
                  <w:noWrap/>
                  <w:vAlign w:val="center"/>
                </w:tcPr>
                <w:p>
                  <w:pPr>
                    <w:spacing w:line="240" w:lineRule="auto"/>
                    <w:ind w:firstLine="0" w:firstLineChars="0"/>
                    <w:jc w:val="center"/>
                    <w:rPr>
                      <w:bCs/>
                      <w:snapToGrid w:val="0"/>
                      <w:color w:val="auto"/>
                      <w:sz w:val="21"/>
                      <w:szCs w:val="21"/>
                      <w:highlight w:val="none"/>
                    </w:rPr>
                  </w:pPr>
                </w:p>
              </w:tc>
              <w:tc>
                <w:tcPr>
                  <w:tcW w:w="1142" w:type="dxa"/>
                  <w:vMerge w:val="continue"/>
                  <w:noWrap/>
                  <w:vAlign w:val="center"/>
                </w:tcPr>
                <w:p>
                  <w:pPr>
                    <w:spacing w:line="240" w:lineRule="auto"/>
                    <w:ind w:firstLine="0" w:firstLineChars="0"/>
                    <w:jc w:val="center"/>
                    <w:rPr>
                      <w:bCs/>
                      <w:snapToGrid w:val="0"/>
                      <w:color w:val="auto"/>
                      <w:sz w:val="21"/>
                      <w:szCs w:val="21"/>
                      <w:highlight w:val="none"/>
                    </w:rPr>
                  </w:pP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703"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混合搅拌粉尘DA011</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0.4</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21.73</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19.46</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120</w:t>
                  </w:r>
                </w:p>
              </w:tc>
              <w:tc>
                <w:tcPr>
                  <w:tcW w:w="9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8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混合搅拌粉尘排放口</w:t>
                  </w:r>
                </w:p>
              </w:tc>
              <w:tc>
                <w:tcPr>
                  <w:tcW w:w="11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703" w:type="dxa"/>
                  <w:gridSpan w:val="2"/>
                  <w:noWrap/>
                  <w:vAlign w:val="center"/>
                </w:tcPr>
                <w:p>
                  <w:pPr>
                    <w:spacing w:line="240" w:lineRule="auto"/>
                    <w:ind w:firstLine="0" w:firstLineChars="0"/>
                    <w:jc w:val="center"/>
                    <w:rPr>
                      <w:color w:val="auto"/>
                      <w:sz w:val="21"/>
                      <w:szCs w:val="21"/>
                      <w:highlight w:val="none"/>
                    </w:rPr>
                  </w:pPr>
                  <w:r>
                    <w:rPr>
                      <w:color w:val="auto"/>
                      <w:sz w:val="21"/>
                      <w:szCs w:val="21"/>
                      <w:highlight w:val="none"/>
                    </w:rPr>
                    <w:t>添加剂搅拌粉尘</w:t>
                  </w:r>
                </w:p>
                <w:p>
                  <w:pPr>
                    <w:pStyle w:val="4"/>
                    <w:spacing w:line="240" w:lineRule="auto"/>
                    <w:ind w:firstLine="420"/>
                    <w:outlineLvl w:val="1"/>
                    <w:rPr>
                      <w:color w:val="auto"/>
                      <w:highlight w:val="none"/>
                      <w:lang w:val="en-US"/>
                    </w:rPr>
                  </w:pPr>
                  <w:r>
                    <w:rPr>
                      <w:rFonts w:ascii="Times New Roman" w:hAnsi="Times New Roman" w:cs="Times New Roman"/>
                      <w:b w:val="0"/>
                      <w:bCs w:val="0"/>
                      <w:snapToGrid w:val="0"/>
                      <w:color w:val="auto"/>
                      <w:sz w:val="21"/>
                      <w:szCs w:val="21"/>
                      <w:highlight w:val="none"/>
                      <w:lang w:val="en-US"/>
                    </w:rPr>
                    <w:t>DA012</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bCs/>
                      <w:snapToGrid w:val="0"/>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21.59</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19.32</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120</w:t>
                  </w:r>
                </w:p>
              </w:tc>
              <w:tc>
                <w:tcPr>
                  <w:tcW w:w="9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8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添加剂搅拌粉尘排放口</w:t>
                  </w:r>
                </w:p>
              </w:tc>
              <w:tc>
                <w:tcPr>
                  <w:tcW w:w="11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1703"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包装粉尘DA013</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0.3</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20</w:t>
                  </w:r>
                </w:p>
              </w:tc>
              <w:tc>
                <w:tcPr>
                  <w:tcW w:w="1656"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120°</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21.66</w:t>
                  </w:r>
                  <w:r>
                    <w:rPr>
                      <w:color w:val="auto"/>
                      <w:sz w:val="21"/>
                      <w:szCs w:val="21"/>
                      <w:highlight w:val="none"/>
                    </w:rPr>
                    <w:t>″N</w:t>
                  </w:r>
                  <w:r>
                    <w:rPr>
                      <w:rFonts w:hint="eastAsia"/>
                      <w:color w:val="auto"/>
                      <w:sz w:val="21"/>
                      <w:szCs w:val="21"/>
                      <w:highlight w:val="none"/>
                    </w:rPr>
                    <w:t>30</w:t>
                  </w:r>
                  <w:r>
                    <w:rPr>
                      <w:color w:val="auto"/>
                      <w:sz w:val="21"/>
                      <w:szCs w:val="21"/>
                      <w:highlight w:val="none"/>
                    </w:rPr>
                    <w:t>°3</w:t>
                  </w:r>
                  <w:r>
                    <w:rPr>
                      <w:rFonts w:hint="eastAsia"/>
                      <w:color w:val="auto"/>
                      <w:sz w:val="21"/>
                      <w:szCs w:val="21"/>
                      <w:highlight w:val="none"/>
                    </w:rPr>
                    <w:t>2</w:t>
                  </w:r>
                  <w:r>
                    <w:rPr>
                      <w:color w:val="auto"/>
                      <w:sz w:val="21"/>
                      <w:szCs w:val="21"/>
                      <w:highlight w:val="none"/>
                    </w:rPr>
                    <w:t>′</w:t>
                  </w:r>
                  <w:r>
                    <w:rPr>
                      <w:rFonts w:hint="eastAsia"/>
                      <w:color w:val="auto"/>
                      <w:sz w:val="21"/>
                      <w:szCs w:val="21"/>
                      <w:highlight w:val="none"/>
                    </w:rPr>
                    <w:t>19.64</w:t>
                  </w:r>
                  <w:r>
                    <w:rPr>
                      <w:color w:val="auto"/>
                      <w:sz w:val="21"/>
                      <w:szCs w:val="21"/>
                      <w:highlight w:val="none"/>
                    </w:rPr>
                    <w:t>″E</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w:t>
                  </w:r>
                </w:p>
              </w:tc>
              <w:tc>
                <w:tcPr>
                  <w:tcW w:w="1063"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120</w:t>
                  </w:r>
                </w:p>
              </w:tc>
              <w:tc>
                <w:tcPr>
                  <w:tcW w:w="9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8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包装粉尘排放口</w:t>
                  </w:r>
                </w:p>
              </w:tc>
              <w:tc>
                <w:tcPr>
                  <w:tcW w:w="11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无组织</w:t>
                  </w:r>
                </w:p>
              </w:tc>
              <w:tc>
                <w:tcPr>
                  <w:tcW w:w="1703"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厂界</w:t>
                  </w:r>
                </w:p>
              </w:tc>
              <w:tc>
                <w:tcPr>
                  <w:tcW w:w="799"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8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656"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92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063" w:type="dxa"/>
                  <w:noWrap/>
                  <w:vAlign w:val="center"/>
                </w:tcPr>
                <w:p>
                  <w:pPr>
                    <w:spacing w:line="240" w:lineRule="auto"/>
                    <w:ind w:firstLine="0" w:firstLineChars="0"/>
                    <w:jc w:val="center"/>
                    <w:rPr>
                      <w:rFonts w:hint="eastAsia"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w:t>
                  </w:r>
                </w:p>
              </w:tc>
              <w:tc>
                <w:tcPr>
                  <w:tcW w:w="9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8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厂界</w:t>
                  </w:r>
                </w:p>
              </w:tc>
              <w:tc>
                <w:tcPr>
                  <w:tcW w:w="11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106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1次/年</w:t>
                  </w:r>
                </w:p>
              </w:tc>
            </w:tr>
          </w:tbl>
          <w:p>
            <w:pPr>
              <w:spacing w:line="500" w:lineRule="exact"/>
              <w:ind w:firstLine="480"/>
              <w:rPr>
                <w:bCs/>
                <w:snapToGrid w:val="0"/>
                <w:color w:val="auto"/>
                <w:szCs w:val="24"/>
                <w:highlight w:val="none"/>
              </w:rPr>
            </w:pPr>
            <w:r>
              <w:rPr>
                <w:rFonts w:hint="eastAsia"/>
                <w:bCs/>
                <w:snapToGrid w:val="0"/>
                <w:color w:val="auto"/>
                <w:szCs w:val="24"/>
                <w:highlight w:val="none"/>
              </w:rPr>
              <w:t>3、非正常工况</w:t>
            </w:r>
          </w:p>
          <w:p>
            <w:pPr>
              <w:widowControl/>
              <w:spacing w:line="500" w:lineRule="exact"/>
              <w:ind w:firstLine="480"/>
              <w:jc w:val="left"/>
              <w:rPr>
                <w:rFonts w:ascii="宋体" w:hAnsi="宋体" w:cs="宋体"/>
                <w:color w:val="auto"/>
                <w:kern w:val="0"/>
                <w:szCs w:val="24"/>
                <w:highlight w:val="none"/>
              </w:rPr>
            </w:pPr>
            <w:r>
              <w:rPr>
                <w:rFonts w:hint="eastAsia" w:ascii="宋体" w:hAnsi="宋体" w:cs="宋体"/>
                <w:color w:val="auto"/>
                <w:kern w:val="0"/>
                <w:szCs w:val="24"/>
                <w:highlight w:val="none"/>
              </w:rPr>
              <w:t>非正常排放是指生产过程中开停车（工、炉）、设备检修、工艺设备运转异常等非正常工况下的污染物排放，以及污染物排放控制措施达不到应有效率等情况下的排放。项目废气非正常工况排放主要为废气处理设施故障时，处理效率为</w:t>
            </w:r>
            <w:r>
              <w:rPr>
                <w:color w:val="auto"/>
                <w:kern w:val="0"/>
                <w:szCs w:val="24"/>
                <w:highlight w:val="none"/>
              </w:rPr>
              <w:t>0</w:t>
            </w:r>
            <w:r>
              <w:rPr>
                <w:rFonts w:hint="eastAsia" w:ascii="宋体" w:hAnsi="宋体" w:cs="宋体"/>
                <w:color w:val="auto"/>
                <w:kern w:val="0"/>
                <w:szCs w:val="24"/>
                <w:highlight w:val="none"/>
              </w:rPr>
              <w:t>的状态进行估算，但废气收集系统可以正常运行，废气通过排气筒排放等情况，废气处理设施出现故障不能正常运行时，应立即停产进行维修，避免对周围环境造成污染。废气非正常工况源强情况见表</w:t>
            </w:r>
            <w:r>
              <w:rPr>
                <w:color w:val="auto"/>
                <w:kern w:val="0"/>
                <w:szCs w:val="24"/>
                <w:highlight w:val="none"/>
              </w:rPr>
              <w:t>4-</w:t>
            </w:r>
            <w:r>
              <w:rPr>
                <w:rFonts w:hint="eastAsia"/>
                <w:color w:val="auto"/>
                <w:kern w:val="0"/>
                <w:szCs w:val="24"/>
                <w:highlight w:val="none"/>
              </w:rPr>
              <w:t>6</w:t>
            </w:r>
            <w:r>
              <w:rPr>
                <w:rFonts w:hint="eastAsia" w:ascii="宋体" w:hAnsi="宋体" w:cs="宋体"/>
                <w:color w:val="auto"/>
                <w:kern w:val="0"/>
                <w:szCs w:val="24"/>
                <w:highlight w:val="none"/>
              </w:rPr>
              <w:t>。</w:t>
            </w:r>
          </w:p>
          <w:p>
            <w:pPr>
              <w:pStyle w:val="37"/>
              <w:spacing w:line="460" w:lineRule="exact"/>
              <w:rPr>
                <w:rFonts w:hint="default" w:ascii="Times New Roman" w:hAnsi="Times New Roman"/>
                <w:b/>
                <w:bCs/>
                <w:color w:val="auto"/>
                <w:sz w:val="21"/>
                <w:szCs w:val="21"/>
                <w:highlight w:val="none"/>
              </w:rPr>
            </w:pPr>
            <w:r>
              <w:rPr>
                <w:rFonts w:hint="default" w:ascii="Times New Roman" w:hAnsi="Times New Roman"/>
                <w:b/>
                <w:bCs/>
                <w:color w:val="auto"/>
                <w:sz w:val="21"/>
                <w:szCs w:val="21"/>
                <w:highlight w:val="none"/>
              </w:rPr>
              <w:t>表4-</w:t>
            </w:r>
            <w:r>
              <w:rPr>
                <w:rFonts w:ascii="Times New Roman" w:hAnsi="Times New Roman"/>
                <w:b/>
                <w:bCs/>
                <w:color w:val="auto"/>
                <w:sz w:val="21"/>
                <w:szCs w:val="21"/>
                <w:highlight w:val="none"/>
              </w:rPr>
              <w:t>6</w:t>
            </w:r>
            <w:r>
              <w:rPr>
                <w:rFonts w:hint="default" w:ascii="Times New Roman" w:hAnsi="Times New Roman"/>
                <w:b/>
                <w:bCs/>
                <w:color w:val="auto"/>
                <w:sz w:val="21"/>
                <w:szCs w:val="21"/>
                <w:highlight w:val="none"/>
              </w:rPr>
              <w:t xml:space="preserve">  废气非正常工况排放量核算表</w:t>
            </w:r>
          </w:p>
          <w:tbl>
            <w:tblPr>
              <w:tblStyle w:val="31"/>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320"/>
              <w:gridCol w:w="2196"/>
              <w:gridCol w:w="1380"/>
              <w:gridCol w:w="1876"/>
              <w:gridCol w:w="1700"/>
              <w:gridCol w:w="1325"/>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序号</w:t>
                  </w:r>
                </w:p>
              </w:tc>
              <w:tc>
                <w:tcPr>
                  <w:tcW w:w="13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污染源</w:t>
                  </w:r>
                </w:p>
              </w:tc>
              <w:tc>
                <w:tcPr>
                  <w:tcW w:w="21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非正常排放原因</w:t>
                  </w: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污染物</w:t>
                  </w:r>
                </w:p>
              </w:tc>
              <w:tc>
                <w:tcPr>
                  <w:tcW w:w="187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非正常排放浓度（mg/m</w:t>
                  </w:r>
                  <w:r>
                    <w:rPr>
                      <w:rFonts w:hint="eastAsia"/>
                      <w:color w:val="auto"/>
                      <w:sz w:val="21"/>
                      <w:szCs w:val="21"/>
                      <w:highlight w:val="none"/>
                      <w:vertAlign w:val="superscript"/>
                    </w:rPr>
                    <w:t>3</w:t>
                  </w:r>
                  <w:r>
                    <w:rPr>
                      <w:rFonts w:hint="eastAsia"/>
                      <w:color w:val="auto"/>
                      <w:sz w:val="21"/>
                      <w:szCs w:val="21"/>
                      <w:highlight w:val="none"/>
                    </w:rPr>
                    <w:t>）</w:t>
                  </w:r>
                </w:p>
              </w:tc>
              <w:tc>
                <w:tcPr>
                  <w:tcW w:w="17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非正常排放速率（kg/h）</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单次持续时间/h</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年发生频次/次</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3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车辆扬尘</w:t>
                  </w:r>
                </w:p>
              </w:tc>
              <w:tc>
                <w:tcPr>
                  <w:tcW w:w="2196" w:type="dxa"/>
                  <w:vMerge w:val="restart"/>
                  <w:vAlign w:val="center"/>
                </w:tcPr>
                <w:p>
                  <w:pPr>
                    <w:widowControl/>
                    <w:spacing w:line="240" w:lineRule="auto"/>
                    <w:ind w:firstLine="0" w:firstLineChars="0"/>
                    <w:rPr>
                      <w:color w:val="auto"/>
                      <w:sz w:val="21"/>
                      <w:szCs w:val="21"/>
                      <w:highlight w:val="none"/>
                    </w:rPr>
                  </w:pPr>
                  <w:r>
                    <w:rPr>
                      <w:rFonts w:hint="eastAsia" w:ascii="宋体" w:hAnsi="宋体" w:cs="宋体"/>
                      <w:color w:val="auto"/>
                      <w:kern w:val="0"/>
                      <w:sz w:val="21"/>
                      <w:szCs w:val="21"/>
                      <w:highlight w:val="none"/>
                    </w:rPr>
                    <w:t>废气处理设施故障，处理效率为</w:t>
                  </w:r>
                  <w:r>
                    <w:rPr>
                      <w:rFonts w:hint="eastAsia"/>
                      <w:color w:val="auto"/>
                      <w:kern w:val="0"/>
                      <w:sz w:val="21"/>
                      <w:szCs w:val="21"/>
                      <w:highlight w:val="none"/>
                    </w:rPr>
                    <w:t>0</w:t>
                  </w: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7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restart"/>
                  <w:vAlign w:val="center"/>
                </w:tcPr>
                <w:p>
                  <w:pPr>
                    <w:widowControl/>
                    <w:spacing w:line="240" w:lineRule="auto"/>
                    <w:ind w:firstLine="0" w:firstLineChars="0"/>
                    <w:jc w:val="left"/>
                    <w:rPr>
                      <w:color w:val="auto"/>
                      <w:sz w:val="21"/>
                      <w:szCs w:val="21"/>
                      <w:highlight w:val="none"/>
                    </w:rPr>
                  </w:pPr>
                  <w:r>
                    <w:rPr>
                      <w:rFonts w:hint="eastAsia" w:ascii="宋体" w:hAnsi="宋体" w:cs="宋体"/>
                      <w:color w:val="auto"/>
                      <w:kern w:val="0"/>
                      <w:sz w:val="21"/>
                      <w:szCs w:val="21"/>
                      <w:highlight w:val="none"/>
                    </w:rPr>
                    <w:t>立即停止生产，关闭排放阀，即使更换活性炭，及时疏散人群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3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装卸粉尘</w:t>
                  </w: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516</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rPr>
                    <w:t>0.5</w:t>
                  </w:r>
                  <w:r>
                    <w:rPr>
                      <w:rFonts w:hint="eastAsia"/>
                      <w:color w:val="auto"/>
                      <w:sz w:val="21"/>
                      <w:szCs w:val="21"/>
                      <w:highlight w:val="none"/>
                      <w:lang w:val="en-US" w:eastAsia="zh-CN"/>
                    </w:rPr>
                    <w:t>17</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1320"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进料粉尘</w:t>
                  </w: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543</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1.087</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543</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1.087</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775</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2.325</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775</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2.325</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150</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0.075</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225</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0.225</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225</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0.225</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11</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150</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0.075</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1320" w:type="dxa"/>
                  <w:vMerge w:val="continue"/>
                  <w:vAlign w:val="center"/>
                </w:tcPr>
                <w:p>
                  <w:pPr>
                    <w:spacing w:line="240" w:lineRule="auto"/>
                    <w:ind w:firstLine="0" w:firstLineChars="0"/>
                    <w:jc w:val="center"/>
                    <w:rPr>
                      <w:color w:val="auto"/>
                      <w:sz w:val="21"/>
                      <w:szCs w:val="21"/>
                      <w:highlight w:val="none"/>
                    </w:rPr>
                  </w:pP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1071</w:t>
                  </w:r>
                </w:p>
              </w:tc>
              <w:tc>
                <w:tcPr>
                  <w:tcW w:w="1700"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7.5</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13</w:t>
                  </w:r>
                </w:p>
              </w:tc>
              <w:tc>
                <w:tcPr>
                  <w:tcW w:w="13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混合搅拌粉尘</w:t>
                  </w: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461</w:t>
                  </w:r>
                </w:p>
              </w:tc>
              <w:tc>
                <w:tcPr>
                  <w:tcW w:w="17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4.61</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13</w:t>
                  </w:r>
                </w:p>
              </w:tc>
              <w:tc>
                <w:tcPr>
                  <w:tcW w:w="13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添加剂搅拌粉尘</w:t>
                  </w: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34</w:t>
                  </w:r>
                </w:p>
              </w:tc>
              <w:tc>
                <w:tcPr>
                  <w:tcW w:w="17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0.034</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w:t>
                  </w:r>
                </w:p>
              </w:tc>
              <w:tc>
                <w:tcPr>
                  <w:tcW w:w="13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包装粉尘</w:t>
                  </w:r>
                </w:p>
              </w:tc>
              <w:tc>
                <w:tcPr>
                  <w:tcW w:w="2196" w:type="dxa"/>
                  <w:vMerge w:val="continue"/>
                  <w:vAlign w:val="center"/>
                </w:tcPr>
                <w:p>
                  <w:pPr>
                    <w:spacing w:line="240" w:lineRule="auto"/>
                    <w:ind w:firstLine="0" w:firstLineChars="0"/>
                    <w:jc w:val="center"/>
                    <w:rPr>
                      <w:color w:val="auto"/>
                      <w:sz w:val="21"/>
                      <w:szCs w:val="21"/>
                      <w:highlight w:val="none"/>
                    </w:rPr>
                  </w:pPr>
                </w:p>
              </w:tc>
              <w:tc>
                <w:tcPr>
                  <w:tcW w:w="13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7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264</w:t>
                  </w:r>
                </w:p>
              </w:tc>
              <w:tc>
                <w:tcPr>
                  <w:tcW w:w="17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0.792</w:t>
                  </w:r>
                </w:p>
              </w:tc>
              <w:tc>
                <w:tcPr>
                  <w:tcW w:w="13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513" w:type="dxa"/>
                  <w:vMerge w:val="continue"/>
                  <w:vAlign w:val="center"/>
                </w:tcPr>
                <w:p>
                  <w:pPr>
                    <w:spacing w:line="240" w:lineRule="auto"/>
                    <w:ind w:firstLine="0" w:firstLineChars="0"/>
                    <w:jc w:val="center"/>
                    <w:rPr>
                      <w:color w:val="auto"/>
                      <w:sz w:val="21"/>
                      <w:szCs w:val="21"/>
                      <w:highlight w:val="none"/>
                    </w:rPr>
                  </w:pPr>
                </w:p>
              </w:tc>
            </w:tr>
          </w:tbl>
          <w:p>
            <w:pPr>
              <w:spacing w:line="500" w:lineRule="exact"/>
              <w:ind w:firstLine="480"/>
              <w:rPr>
                <w:bCs/>
                <w:snapToGrid w:val="0"/>
                <w:color w:val="auto"/>
                <w:szCs w:val="24"/>
                <w:highlight w:val="none"/>
              </w:rPr>
            </w:pPr>
            <w:r>
              <w:rPr>
                <w:rFonts w:hint="eastAsia"/>
                <w:bCs/>
                <w:snapToGrid w:val="0"/>
                <w:color w:val="auto"/>
                <w:szCs w:val="24"/>
                <w:highlight w:val="none"/>
              </w:rPr>
              <w:t>4、污染源强核算表格</w:t>
            </w:r>
          </w:p>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4-7</w:t>
            </w:r>
            <w:r>
              <w:rPr>
                <w:b/>
                <w:color w:val="auto"/>
                <w:sz w:val="21"/>
                <w:szCs w:val="21"/>
                <w:highlight w:val="none"/>
              </w:rPr>
              <w:t xml:space="preserve">  大气污染物</w:t>
            </w:r>
            <w:r>
              <w:rPr>
                <w:rFonts w:hint="eastAsia"/>
                <w:b/>
                <w:color w:val="auto"/>
                <w:sz w:val="21"/>
                <w:szCs w:val="21"/>
                <w:highlight w:val="none"/>
              </w:rPr>
              <w:t>污染源强核算表</w:t>
            </w:r>
          </w:p>
          <w:tbl>
            <w:tblPr>
              <w:tblStyle w:val="31"/>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906"/>
              <w:gridCol w:w="907"/>
              <w:gridCol w:w="907"/>
              <w:gridCol w:w="896"/>
              <w:gridCol w:w="862"/>
              <w:gridCol w:w="1026"/>
              <w:gridCol w:w="1098"/>
              <w:gridCol w:w="655"/>
              <w:gridCol w:w="907"/>
              <w:gridCol w:w="907"/>
              <w:gridCol w:w="813"/>
              <w:gridCol w:w="1068"/>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工序/生产线</w:t>
                  </w:r>
                </w:p>
              </w:tc>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装置</w:t>
                  </w:r>
                </w:p>
              </w:tc>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污染源</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w:t>
                  </w:r>
                </w:p>
              </w:tc>
              <w:tc>
                <w:tcPr>
                  <w:tcW w:w="3691" w:type="dxa"/>
                  <w:gridSpan w:val="4"/>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污染物产生</w:t>
                  </w:r>
                </w:p>
              </w:tc>
              <w:tc>
                <w:tcPr>
                  <w:tcW w:w="1753"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治理措施</w:t>
                  </w:r>
                </w:p>
              </w:tc>
              <w:tc>
                <w:tcPr>
                  <w:tcW w:w="3695" w:type="dxa"/>
                  <w:gridSpan w:val="4"/>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污染物排放</w:t>
                  </w:r>
                </w:p>
              </w:tc>
              <w:tc>
                <w:tcPr>
                  <w:tcW w:w="842"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核算方法</w:t>
                  </w: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废气产生量</w:t>
                  </w:r>
                  <w:r>
                    <w:rPr>
                      <w:bCs/>
                      <w:color w:val="auto"/>
                      <w:sz w:val="21"/>
                      <w:szCs w:val="21"/>
                      <w:highlight w:val="none"/>
                    </w:rPr>
                    <w:t>m</w:t>
                  </w:r>
                  <w:r>
                    <w:rPr>
                      <w:bCs/>
                      <w:color w:val="auto"/>
                      <w:sz w:val="21"/>
                      <w:szCs w:val="21"/>
                      <w:highlight w:val="none"/>
                      <w:vertAlign w:val="superscript"/>
                    </w:rPr>
                    <w:t>3</w:t>
                  </w:r>
                  <w:r>
                    <w:rPr>
                      <w:bCs/>
                      <w:color w:val="auto"/>
                      <w:sz w:val="21"/>
                      <w:szCs w:val="21"/>
                      <w:highlight w:val="none"/>
                    </w:rPr>
                    <w:t>/</w:t>
                  </w:r>
                  <w:r>
                    <w:rPr>
                      <w:rFonts w:hint="eastAsia"/>
                      <w:bCs/>
                      <w:color w:val="auto"/>
                      <w:sz w:val="21"/>
                      <w:szCs w:val="21"/>
                      <w:highlight w:val="none"/>
                    </w:rPr>
                    <w:t>h</w:t>
                  </w:r>
                </w:p>
              </w:tc>
              <w:tc>
                <w:tcPr>
                  <w:tcW w:w="862" w:type="dxa"/>
                  <w:noWrap/>
                  <w:vAlign w:val="center"/>
                </w:tcPr>
                <w:p>
                  <w:pPr>
                    <w:spacing w:line="240" w:lineRule="auto"/>
                    <w:ind w:firstLine="0" w:firstLineChars="0"/>
                    <w:jc w:val="center"/>
                    <w:rPr>
                      <w:rFonts w:hint="eastAsia"/>
                      <w:bCs/>
                      <w:snapToGrid w:val="0"/>
                      <w:color w:val="auto"/>
                      <w:sz w:val="21"/>
                      <w:szCs w:val="21"/>
                      <w:highlight w:val="none"/>
                    </w:rPr>
                  </w:pPr>
                  <w:r>
                    <w:rPr>
                      <w:rFonts w:hint="eastAsia"/>
                      <w:bCs/>
                      <w:snapToGrid w:val="0"/>
                      <w:color w:val="auto"/>
                      <w:sz w:val="21"/>
                      <w:szCs w:val="21"/>
                      <w:highlight w:val="none"/>
                    </w:rPr>
                    <w:t>产生</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浓度</w:t>
                  </w:r>
                  <w:r>
                    <w:rPr>
                      <w:bCs/>
                      <w:color w:val="auto"/>
                      <w:sz w:val="21"/>
                      <w:szCs w:val="21"/>
                      <w:highlight w:val="none"/>
                    </w:rPr>
                    <w:t>mg/m</w:t>
                  </w:r>
                  <w:r>
                    <w:rPr>
                      <w:bCs/>
                      <w:color w:val="auto"/>
                      <w:sz w:val="21"/>
                      <w:szCs w:val="21"/>
                      <w:highlight w:val="none"/>
                      <w:vertAlign w:val="superscript"/>
                    </w:rPr>
                    <w:t>3</w:t>
                  </w:r>
                </w:p>
              </w:tc>
              <w:tc>
                <w:tcPr>
                  <w:tcW w:w="102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产生量</w:t>
                  </w:r>
                  <w:r>
                    <w:rPr>
                      <w:rFonts w:hint="eastAsia"/>
                      <w:bCs/>
                      <w:color w:val="auto"/>
                      <w:sz w:val="21"/>
                      <w:szCs w:val="21"/>
                      <w:highlight w:val="none"/>
                    </w:rPr>
                    <w:t>t/a</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工艺</w:t>
                  </w:r>
                </w:p>
              </w:tc>
              <w:tc>
                <w:tcPr>
                  <w:tcW w:w="65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效率%</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核算方法</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color w:val="auto"/>
                      <w:sz w:val="21"/>
                      <w:szCs w:val="21"/>
                      <w:highlight w:val="none"/>
                    </w:rPr>
                    <w:t>排放速率kg</w:t>
                  </w:r>
                  <w:r>
                    <w:rPr>
                      <w:bCs/>
                      <w:color w:val="auto"/>
                      <w:sz w:val="21"/>
                      <w:szCs w:val="21"/>
                      <w:highlight w:val="none"/>
                    </w:rPr>
                    <w:t>/</w:t>
                  </w:r>
                  <w:r>
                    <w:rPr>
                      <w:rFonts w:hint="eastAsia"/>
                      <w:bCs/>
                      <w:color w:val="auto"/>
                      <w:sz w:val="21"/>
                      <w:szCs w:val="21"/>
                      <w:highlight w:val="none"/>
                    </w:rPr>
                    <w:t>h</w:t>
                  </w:r>
                </w:p>
              </w:tc>
              <w:tc>
                <w:tcPr>
                  <w:tcW w:w="813"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排放浓度</w:t>
                  </w:r>
                  <w:r>
                    <w:rPr>
                      <w:bCs/>
                      <w:color w:val="auto"/>
                      <w:sz w:val="21"/>
                      <w:szCs w:val="21"/>
                      <w:highlight w:val="none"/>
                    </w:rPr>
                    <w:t>mg/m</w:t>
                  </w:r>
                  <w:r>
                    <w:rPr>
                      <w:bCs/>
                      <w:color w:val="auto"/>
                      <w:sz w:val="21"/>
                      <w:szCs w:val="21"/>
                      <w:highlight w:val="none"/>
                      <w:vertAlign w:val="superscript"/>
                    </w:rPr>
                    <w:t>3</w:t>
                  </w:r>
                </w:p>
              </w:tc>
              <w:tc>
                <w:tcPr>
                  <w:tcW w:w="10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排放量</w:t>
                  </w:r>
                  <w:r>
                    <w:rPr>
                      <w:rFonts w:hint="eastAsia"/>
                      <w:bCs/>
                      <w:color w:val="auto"/>
                      <w:sz w:val="21"/>
                      <w:szCs w:val="21"/>
                      <w:highlight w:val="none"/>
                    </w:rPr>
                    <w:t>t/a</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车辆运输</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车辆</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产污系数法</w:t>
                  </w: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02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少量</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限速、洒水</w:t>
                  </w:r>
                </w:p>
              </w:tc>
              <w:tc>
                <w:tcPr>
                  <w:tcW w:w="655"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类比法</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13"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06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微量</w:t>
                  </w:r>
                </w:p>
              </w:tc>
              <w:tc>
                <w:tcPr>
                  <w:tcW w:w="8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装卸</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料斗</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产污系数法</w:t>
                  </w: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287</w:t>
                  </w:r>
                </w:p>
              </w:tc>
              <w:tc>
                <w:tcPr>
                  <w:tcW w:w="1026" w:type="dxa"/>
                  <w:noWrap/>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0.788</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spacing w:line="240" w:lineRule="auto"/>
                    <w:ind w:firstLine="0" w:firstLineChars="0"/>
                    <w:jc w:val="center"/>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rPr>
                    <w:t>98</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类比法</w:t>
                  </w:r>
                </w:p>
              </w:tc>
              <w:tc>
                <w:tcPr>
                  <w:tcW w:w="907" w:type="dxa"/>
                  <w:noWrap/>
                  <w:vAlign w:val="center"/>
                </w:tcPr>
                <w:p>
                  <w:pPr>
                    <w:widowControl/>
                    <w:spacing w:line="240" w:lineRule="auto"/>
                    <w:ind w:firstLine="0" w:firstLineChars="0"/>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0.01</w:t>
                  </w:r>
                </w:p>
              </w:tc>
              <w:tc>
                <w:tcPr>
                  <w:tcW w:w="813" w:type="dxa"/>
                  <w:noWrap/>
                  <w:vAlign w:val="center"/>
                </w:tcPr>
                <w:p>
                  <w:pPr>
                    <w:spacing w:line="240" w:lineRule="auto"/>
                    <w:ind w:firstLine="0" w:firstLineChars="0"/>
                    <w:jc w:val="center"/>
                    <w:rPr>
                      <w:rFonts w:hint="default" w:eastAsia="宋体"/>
                      <w:bCs/>
                      <w:snapToGrid w:val="0"/>
                      <w:color w:val="auto"/>
                      <w:sz w:val="21"/>
                      <w:szCs w:val="21"/>
                      <w:highlight w:val="none"/>
                      <w:lang w:val="en-US" w:eastAsia="zh-CN"/>
                    </w:rPr>
                  </w:pPr>
                  <w:r>
                    <w:rPr>
                      <w:rFonts w:hint="eastAsia"/>
                      <w:bCs/>
                      <w:snapToGrid w:val="0"/>
                      <w:color w:val="auto"/>
                      <w:sz w:val="21"/>
                      <w:szCs w:val="21"/>
                      <w:highlight w:val="none"/>
                      <w:lang w:val="en-US" w:eastAsia="zh-CN"/>
                    </w:rPr>
                    <w:t>10</w:t>
                  </w:r>
                </w:p>
              </w:tc>
              <w:tc>
                <w:tcPr>
                  <w:tcW w:w="1068" w:type="dxa"/>
                  <w:noWrap/>
                  <w:vAlign w:val="center"/>
                </w:tcPr>
                <w:p>
                  <w:pPr>
                    <w:widowControl/>
                    <w:spacing w:line="240" w:lineRule="auto"/>
                    <w:ind w:firstLine="0" w:firstLineChars="0"/>
                    <w:jc w:val="center"/>
                    <w:textAlignment w:val="center"/>
                    <w:rPr>
                      <w:rFonts w:hint="eastAsia" w:eastAsia="宋体"/>
                      <w:bCs/>
                      <w:snapToGrid w:val="0"/>
                      <w:color w:val="auto"/>
                      <w:sz w:val="21"/>
                      <w:szCs w:val="21"/>
                      <w:highlight w:val="none"/>
                      <w:lang w:eastAsia="zh-CN"/>
                    </w:rPr>
                  </w:pPr>
                  <w:r>
                    <w:rPr>
                      <w:rFonts w:hint="eastAsia"/>
                      <w:bCs/>
                      <w:snapToGrid w:val="0"/>
                      <w:color w:val="auto"/>
                      <w:sz w:val="21"/>
                      <w:szCs w:val="21"/>
                      <w:highlight w:val="none"/>
                    </w:rPr>
                    <w:t>0.01</w:t>
                  </w:r>
                  <w:r>
                    <w:rPr>
                      <w:rFonts w:hint="eastAsia"/>
                      <w:bCs/>
                      <w:snapToGrid w:val="0"/>
                      <w:color w:val="auto"/>
                      <w:sz w:val="21"/>
                      <w:szCs w:val="21"/>
                      <w:highlight w:val="none"/>
                      <w:lang w:val="en-US" w:eastAsia="zh-CN"/>
                    </w:rPr>
                    <w:t>2</w:t>
                  </w:r>
                </w:p>
              </w:tc>
              <w:tc>
                <w:tcPr>
                  <w:tcW w:w="8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物料输送</w:t>
                  </w:r>
                </w:p>
              </w:tc>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储罐</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产污系数法</w:t>
                  </w: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483</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0.87</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spacing w:line="240" w:lineRule="auto"/>
                    <w:ind w:firstLine="0" w:firstLineChars="0"/>
                    <w:jc w:val="center"/>
                    <w:rPr>
                      <w:rFonts w:hint="default"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类比法</w:t>
                  </w: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0.055</w:t>
                  </w:r>
                </w:p>
              </w:tc>
              <w:tc>
                <w:tcPr>
                  <w:tcW w:w="813"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27.5</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0.044</w:t>
                  </w:r>
                </w:p>
              </w:tc>
              <w:tc>
                <w:tcPr>
                  <w:tcW w:w="842"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483</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0.87</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0.055</w:t>
                  </w:r>
                </w:p>
              </w:tc>
              <w:tc>
                <w:tcPr>
                  <w:tcW w:w="813"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27.5</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0.044</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344</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1.86</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0.116</w:t>
                  </w:r>
                </w:p>
              </w:tc>
              <w:tc>
                <w:tcPr>
                  <w:tcW w:w="813"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38.7</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0.093</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344</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1.86</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0.116</w:t>
                  </w:r>
                </w:p>
              </w:tc>
              <w:tc>
                <w:tcPr>
                  <w:tcW w:w="813"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38.7</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0.093</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33</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0.06</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0.004</w:t>
                  </w:r>
                </w:p>
              </w:tc>
              <w:tc>
                <w:tcPr>
                  <w:tcW w:w="813" w:type="dxa"/>
                  <w:noWrap/>
                  <w:vAlign w:val="center"/>
                </w:tcPr>
                <w:p>
                  <w:pPr>
                    <w:widowControl/>
                    <w:spacing w:line="240" w:lineRule="auto"/>
                    <w:ind w:firstLine="0" w:firstLineChars="0"/>
                    <w:jc w:val="center"/>
                    <w:textAlignment w:val="center"/>
                    <w:rPr>
                      <w:rFonts w:hint="eastAsia"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8</w:t>
                  </w:r>
                </w:p>
              </w:tc>
              <w:tc>
                <w:tcPr>
                  <w:tcW w:w="1068" w:type="dxa"/>
                  <w:noWrap/>
                  <w:vAlign w:val="center"/>
                </w:tcPr>
                <w:p>
                  <w:pPr>
                    <w:widowControl/>
                    <w:spacing w:line="240" w:lineRule="auto"/>
                    <w:ind w:firstLine="0" w:firstLineChars="0"/>
                    <w:jc w:val="center"/>
                    <w:textAlignment w:val="center"/>
                    <w:rPr>
                      <w:rFonts w:hint="eastAsia"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rPr>
                    <w:t>0.00</w:t>
                  </w:r>
                  <w:r>
                    <w:rPr>
                      <w:rFonts w:hint="eastAsia"/>
                      <w:bCs/>
                      <w:color w:val="auto"/>
                      <w:kern w:val="0"/>
                      <w:sz w:val="21"/>
                      <w:szCs w:val="21"/>
                      <w:highlight w:val="none"/>
                      <w:lang w:val="en-US" w:eastAsia="zh-CN"/>
                    </w:rPr>
                    <w:t>3</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0.18</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0.011</w:t>
                  </w:r>
                </w:p>
              </w:tc>
              <w:tc>
                <w:tcPr>
                  <w:tcW w:w="813"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11</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0.009</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0.18</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0.011</w:t>
                  </w:r>
                </w:p>
              </w:tc>
              <w:tc>
                <w:tcPr>
                  <w:tcW w:w="813"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11</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0.009</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33</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0.06</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0.004</w:t>
                  </w:r>
                </w:p>
              </w:tc>
              <w:tc>
                <w:tcPr>
                  <w:tcW w:w="813" w:type="dxa"/>
                  <w:noWrap/>
                  <w:vAlign w:val="center"/>
                </w:tcPr>
                <w:p>
                  <w:pPr>
                    <w:widowControl/>
                    <w:spacing w:line="240" w:lineRule="auto"/>
                    <w:ind w:firstLine="0" w:firstLineChars="0"/>
                    <w:jc w:val="center"/>
                    <w:textAlignment w:val="center"/>
                    <w:rPr>
                      <w:rFonts w:hint="eastAsia"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8</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0.003</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476</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6</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0.375</w:t>
                  </w:r>
                </w:p>
              </w:tc>
              <w:tc>
                <w:tcPr>
                  <w:tcW w:w="813"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53</w:t>
                  </w:r>
                </w:p>
              </w:tc>
              <w:tc>
                <w:tcPr>
                  <w:tcW w:w="1068" w:type="dxa"/>
                  <w:noWrap/>
                  <w:vAlign w:val="center"/>
                </w:tcPr>
                <w:p>
                  <w:pPr>
                    <w:widowControl/>
                    <w:spacing w:line="240" w:lineRule="auto"/>
                    <w:ind w:firstLine="0" w:firstLineChars="0"/>
                    <w:jc w:val="center"/>
                    <w:textAlignment w:val="center"/>
                    <w:rPr>
                      <w:rFonts w:hint="default" w:ascii="Times New Roman" w:hAnsi="Times New Roman" w:eastAsia="宋体" w:cs="Times New Roman"/>
                      <w:bCs/>
                      <w:color w:val="auto"/>
                      <w:kern w:val="0"/>
                      <w:sz w:val="21"/>
                      <w:szCs w:val="21"/>
                      <w:highlight w:val="none"/>
                      <w:lang w:val="en-US" w:eastAsia="zh-CN" w:bidi="ar-SA"/>
                    </w:rPr>
                  </w:pPr>
                  <w:r>
                    <w:rPr>
                      <w:rFonts w:hint="eastAsia"/>
                      <w:bCs/>
                      <w:color w:val="auto"/>
                      <w:kern w:val="0"/>
                      <w:sz w:val="21"/>
                      <w:szCs w:val="21"/>
                      <w:highlight w:val="none"/>
                      <w:lang w:val="en-US" w:eastAsia="zh-CN"/>
                    </w:rPr>
                    <w:t>0.3</w:t>
                  </w:r>
                </w:p>
              </w:tc>
              <w:tc>
                <w:tcPr>
                  <w:tcW w:w="842" w:type="dxa"/>
                  <w:vMerge w:val="continue"/>
                  <w:noWrap/>
                  <w:vAlign w:val="center"/>
                </w:tcPr>
                <w:p>
                  <w:pPr>
                    <w:spacing w:line="240" w:lineRule="auto"/>
                    <w:ind w:firstLine="0" w:firstLineChars="0"/>
                    <w:jc w:val="center"/>
                    <w:rPr>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混合搅拌</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混合机</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产污系数法</w:t>
                  </w: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461</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8.3</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spacing w:line="240" w:lineRule="auto"/>
                    <w:ind w:firstLine="0" w:firstLineChars="0"/>
                    <w:jc w:val="center"/>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rPr>
                    <w:t>98</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类比法</w:t>
                  </w:r>
                </w:p>
              </w:tc>
              <w:tc>
                <w:tcPr>
                  <w:tcW w:w="907" w:type="dxa"/>
                  <w:noWrap/>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0.001</w:t>
                  </w:r>
                </w:p>
              </w:tc>
              <w:tc>
                <w:tcPr>
                  <w:tcW w:w="813"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8.8</w:t>
                  </w:r>
                </w:p>
              </w:tc>
              <w:tc>
                <w:tcPr>
                  <w:tcW w:w="106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0.158</w:t>
                  </w:r>
                </w:p>
              </w:tc>
              <w:tc>
                <w:tcPr>
                  <w:tcW w:w="8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添加剂搅拌</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小型搅拌机</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产污系数法</w:t>
                  </w: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34.6</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0.083</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脉冲式布袋除尘</w:t>
                  </w:r>
                </w:p>
              </w:tc>
              <w:tc>
                <w:tcPr>
                  <w:tcW w:w="655" w:type="dxa"/>
                  <w:noWrap/>
                  <w:vAlign w:val="center"/>
                </w:tcPr>
                <w:p>
                  <w:pPr>
                    <w:spacing w:line="240" w:lineRule="auto"/>
                    <w:ind w:firstLine="0" w:firstLineChars="0"/>
                    <w:jc w:val="center"/>
                    <w:rPr>
                      <w:rFonts w:hint="default"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lang w:val="en-US" w:eastAsia="zh-CN"/>
                    </w:rPr>
                    <w:t>95</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类比法</w:t>
                  </w:r>
                </w:p>
              </w:tc>
              <w:tc>
                <w:tcPr>
                  <w:tcW w:w="907" w:type="dxa"/>
                  <w:noWrap/>
                  <w:vAlign w:val="center"/>
                </w:tcPr>
                <w:p>
                  <w:pPr>
                    <w:widowControl/>
                    <w:spacing w:line="240" w:lineRule="auto"/>
                    <w:ind w:firstLine="0" w:firstLineChars="0"/>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0.008</w:t>
                  </w:r>
                </w:p>
              </w:tc>
              <w:tc>
                <w:tcPr>
                  <w:tcW w:w="813" w:type="dxa"/>
                  <w:noWrap/>
                  <w:vAlign w:val="center"/>
                </w:tcPr>
                <w:p>
                  <w:pPr>
                    <w:spacing w:line="240" w:lineRule="auto"/>
                    <w:ind w:firstLine="0" w:firstLineChars="0"/>
                    <w:jc w:val="center"/>
                    <w:rPr>
                      <w:rFonts w:hint="eastAsia" w:eastAsia="宋体"/>
                      <w:bCs/>
                      <w:snapToGrid w:val="0"/>
                      <w:color w:val="auto"/>
                      <w:sz w:val="21"/>
                      <w:szCs w:val="21"/>
                      <w:highlight w:val="none"/>
                      <w:lang w:eastAsia="zh-CN"/>
                    </w:rPr>
                  </w:pPr>
                  <w:r>
                    <w:rPr>
                      <w:rFonts w:hint="eastAsia"/>
                      <w:bCs/>
                      <w:snapToGrid w:val="0"/>
                      <w:color w:val="auto"/>
                      <w:sz w:val="21"/>
                      <w:szCs w:val="21"/>
                      <w:highlight w:val="none"/>
                      <w:lang w:val="en-US" w:eastAsia="zh-CN"/>
                    </w:rPr>
                    <w:t>8</w:t>
                  </w:r>
                </w:p>
              </w:tc>
              <w:tc>
                <w:tcPr>
                  <w:tcW w:w="1068" w:type="dxa"/>
                  <w:noWrap/>
                  <w:vAlign w:val="center"/>
                </w:tcPr>
                <w:p>
                  <w:pPr>
                    <w:widowControl/>
                    <w:spacing w:line="240" w:lineRule="auto"/>
                    <w:ind w:firstLine="0" w:firstLineChars="0"/>
                    <w:jc w:val="center"/>
                    <w:textAlignment w:val="center"/>
                    <w:rPr>
                      <w:rFonts w:hint="default" w:eastAsia="宋体"/>
                      <w:bCs/>
                      <w:color w:val="auto"/>
                      <w:kern w:val="0"/>
                      <w:sz w:val="21"/>
                      <w:szCs w:val="21"/>
                      <w:highlight w:val="none"/>
                      <w:lang w:val="en-US" w:eastAsia="zh-CN"/>
                    </w:rPr>
                  </w:pPr>
                  <w:r>
                    <w:rPr>
                      <w:rFonts w:hint="eastAsia"/>
                      <w:bCs/>
                      <w:color w:val="auto"/>
                      <w:kern w:val="0"/>
                      <w:sz w:val="21"/>
                      <w:szCs w:val="21"/>
                      <w:highlight w:val="none"/>
                      <w:lang w:val="en-US" w:eastAsia="zh-CN"/>
                    </w:rPr>
                    <w:t>0.004</w:t>
                  </w:r>
                </w:p>
              </w:tc>
              <w:tc>
                <w:tcPr>
                  <w:tcW w:w="8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包装</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包装机</w:t>
                  </w:r>
                </w:p>
              </w:tc>
              <w:tc>
                <w:tcPr>
                  <w:tcW w:w="90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有组织排放</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颗粒物</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产污系数法</w:t>
                  </w:r>
                </w:p>
              </w:tc>
              <w:tc>
                <w:tcPr>
                  <w:tcW w:w="896"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3000</w:t>
                  </w:r>
                </w:p>
              </w:tc>
              <w:tc>
                <w:tcPr>
                  <w:tcW w:w="86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277</w:t>
                  </w:r>
                </w:p>
              </w:tc>
              <w:tc>
                <w:tcPr>
                  <w:tcW w:w="1026" w:type="dxa"/>
                  <w:noWrap/>
                  <w:vAlign w:val="center"/>
                </w:tcPr>
                <w:p>
                  <w:pPr>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0.25</w:t>
                  </w:r>
                </w:p>
              </w:tc>
              <w:tc>
                <w:tcPr>
                  <w:tcW w:w="109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布袋除尘</w:t>
                  </w:r>
                </w:p>
              </w:tc>
              <w:tc>
                <w:tcPr>
                  <w:tcW w:w="655" w:type="dxa"/>
                  <w:noWrap/>
                  <w:vAlign w:val="center"/>
                </w:tcPr>
                <w:p>
                  <w:pPr>
                    <w:spacing w:line="240" w:lineRule="auto"/>
                    <w:ind w:firstLine="0" w:firstLineChars="0"/>
                    <w:jc w:val="center"/>
                    <w:rPr>
                      <w:rFonts w:ascii="Times New Roman" w:hAnsi="Times New Roman" w:eastAsia="宋体" w:cs="Times New Roman"/>
                      <w:bCs/>
                      <w:snapToGrid w:val="0"/>
                      <w:color w:val="auto"/>
                      <w:kern w:val="2"/>
                      <w:sz w:val="21"/>
                      <w:szCs w:val="21"/>
                      <w:highlight w:val="none"/>
                      <w:lang w:val="en-US" w:eastAsia="zh-CN" w:bidi="ar-SA"/>
                    </w:rPr>
                  </w:pPr>
                  <w:r>
                    <w:rPr>
                      <w:rFonts w:hint="eastAsia"/>
                      <w:bCs/>
                      <w:snapToGrid w:val="0"/>
                      <w:color w:val="auto"/>
                      <w:sz w:val="21"/>
                      <w:szCs w:val="21"/>
                      <w:highlight w:val="none"/>
                    </w:rPr>
                    <w:t>98</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类比法</w:t>
                  </w:r>
                </w:p>
              </w:tc>
              <w:tc>
                <w:tcPr>
                  <w:tcW w:w="907" w:type="dxa"/>
                  <w:noWrap/>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0.016</w:t>
                  </w:r>
                </w:p>
              </w:tc>
              <w:tc>
                <w:tcPr>
                  <w:tcW w:w="813"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5.3</w:t>
                  </w:r>
                </w:p>
              </w:tc>
              <w:tc>
                <w:tcPr>
                  <w:tcW w:w="106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0.005</w:t>
                  </w:r>
                </w:p>
              </w:tc>
              <w:tc>
                <w:tcPr>
                  <w:tcW w:w="84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w:t>
                  </w:r>
                </w:p>
              </w:tc>
            </w:tr>
          </w:tbl>
          <w:p>
            <w:pPr>
              <w:spacing w:line="500" w:lineRule="exact"/>
              <w:ind w:firstLine="480"/>
              <w:jc w:val="left"/>
              <w:rPr>
                <w:color w:val="auto"/>
                <w:szCs w:val="24"/>
                <w:highlight w:val="none"/>
              </w:rPr>
            </w:pPr>
            <w:r>
              <w:rPr>
                <w:rFonts w:hint="eastAsia"/>
                <w:color w:val="auto"/>
                <w:szCs w:val="24"/>
                <w:highlight w:val="none"/>
              </w:rPr>
              <w:t>5、废气治理设施可行性分析</w:t>
            </w:r>
          </w:p>
          <w:p>
            <w:pPr>
              <w:spacing w:line="500" w:lineRule="exact"/>
              <w:ind w:firstLine="480"/>
              <w:rPr>
                <w:bCs/>
                <w:snapToGrid w:val="0"/>
                <w:color w:val="auto"/>
                <w:szCs w:val="24"/>
                <w:highlight w:val="none"/>
              </w:rPr>
            </w:pPr>
            <w:r>
              <w:rPr>
                <w:rFonts w:hint="eastAsia"/>
                <w:color w:val="auto"/>
                <w:szCs w:val="22"/>
                <w:highlight w:val="none"/>
              </w:rPr>
              <w:t>本项目装卸粉尘、物料输送粉尘、混合仓搅拌粉尘和添加剂搅拌粉尘通过脉冲式布袋除尘进行处理，包装粉尘通过布袋除尘进行处理，参照《</w:t>
            </w:r>
            <w:r>
              <w:rPr>
                <w:rFonts w:hint="eastAsia"/>
                <w:bCs/>
                <w:snapToGrid w:val="0"/>
                <w:color w:val="auto"/>
                <w:szCs w:val="24"/>
                <w:highlight w:val="none"/>
              </w:rPr>
              <w:t>排污许可证申请和核发技术规范  总则》（HJ942-2018）</w:t>
            </w:r>
            <w:r>
              <w:rPr>
                <w:rFonts w:hint="eastAsia"/>
                <w:color w:val="auto"/>
                <w:szCs w:val="22"/>
                <w:highlight w:val="none"/>
              </w:rPr>
              <w:t>中附录B中的可行性技术参考表，本项目废气治理设施属于附录B中的可行性技术。</w:t>
            </w:r>
          </w:p>
          <w:p>
            <w:pPr>
              <w:spacing w:line="500" w:lineRule="exact"/>
              <w:ind w:firstLine="480"/>
              <w:rPr>
                <w:bCs/>
                <w:snapToGrid w:val="0"/>
                <w:color w:val="auto"/>
                <w:szCs w:val="24"/>
                <w:highlight w:val="none"/>
              </w:rPr>
            </w:pPr>
            <w:r>
              <w:rPr>
                <w:rFonts w:hint="eastAsia"/>
                <w:bCs/>
                <w:snapToGrid w:val="0"/>
                <w:color w:val="auto"/>
                <w:szCs w:val="24"/>
                <w:highlight w:val="none"/>
              </w:rPr>
              <w:t>6、大气环境影响分析结论</w:t>
            </w:r>
          </w:p>
          <w:p>
            <w:pPr>
              <w:spacing w:line="500" w:lineRule="exact"/>
              <w:ind w:firstLine="480"/>
              <w:rPr>
                <w:color w:val="auto"/>
                <w:kern w:val="0"/>
                <w:szCs w:val="24"/>
                <w:highlight w:val="none"/>
              </w:rPr>
            </w:pPr>
            <w:r>
              <w:rPr>
                <w:rFonts w:hint="eastAsia"/>
                <w:bCs/>
                <w:snapToGrid w:val="0"/>
                <w:color w:val="auto"/>
                <w:szCs w:val="24"/>
                <w:highlight w:val="none"/>
              </w:rPr>
              <w:t>本项目废气</w:t>
            </w:r>
            <w:r>
              <w:rPr>
                <w:rFonts w:hint="eastAsia"/>
                <w:color w:val="auto"/>
                <w:szCs w:val="24"/>
                <w:highlight w:val="none"/>
              </w:rPr>
              <w:t>主要为车辆扬尘、进料粉尘、搅拌粉尘和包装粉尘，其主要污染因子为颗粒物。根据污染源强核算可知，车辆扬尘的颗粒物的无组织排放浓度能够达到《大气污染物综合排放标准》（GB16297-1996）中“新污染源，无组织排放限值”的要求，进料粉尘、搅拌粉尘和包装粉尘的主要污染因子颗粒物的有组织排放浓度能够达到《大气污染综合排放标准》（GB16297-1996）中“新污染源，二级标准”的限值要求，其颗粒物的厂界无组织排放浓度能够达到《大气污染物综合排放标准》（GB16297-1996）中“新污染源，无组织排放限值”的要求，在采取相应处理设施后，产生的废气能够达标排放，对周围环境大气的影响较小。</w:t>
            </w:r>
          </w:p>
          <w:p>
            <w:pPr>
              <w:spacing w:line="500" w:lineRule="exact"/>
              <w:ind w:firstLine="0" w:firstLineChars="0"/>
              <w:rPr>
                <w:b/>
                <w:bCs/>
                <w:color w:val="auto"/>
                <w:kern w:val="0"/>
                <w:szCs w:val="24"/>
                <w:highlight w:val="none"/>
              </w:rPr>
            </w:pPr>
            <w:r>
              <w:rPr>
                <w:rFonts w:hint="eastAsia"/>
                <w:b/>
                <w:bCs/>
                <w:color w:val="auto"/>
                <w:kern w:val="0"/>
                <w:szCs w:val="24"/>
                <w:highlight w:val="none"/>
              </w:rPr>
              <w:t>4.2.2废水</w:t>
            </w:r>
          </w:p>
          <w:p>
            <w:pPr>
              <w:spacing w:line="500" w:lineRule="exact"/>
              <w:ind w:firstLine="480"/>
              <w:rPr>
                <w:bCs/>
                <w:snapToGrid w:val="0"/>
                <w:color w:val="auto"/>
                <w:szCs w:val="24"/>
                <w:highlight w:val="none"/>
              </w:rPr>
            </w:pPr>
            <w:r>
              <w:rPr>
                <w:rFonts w:hint="eastAsia"/>
                <w:bCs/>
                <w:snapToGrid w:val="0"/>
                <w:color w:val="auto"/>
                <w:szCs w:val="24"/>
                <w:highlight w:val="none"/>
              </w:rPr>
              <w:t>本项目仅产生生活污水。</w:t>
            </w:r>
          </w:p>
          <w:p>
            <w:pPr>
              <w:spacing w:line="500" w:lineRule="exact"/>
              <w:ind w:firstLine="480"/>
              <w:rPr>
                <w:color w:val="auto"/>
                <w:szCs w:val="24"/>
                <w:highlight w:val="none"/>
              </w:rPr>
            </w:pPr>
            <w:r>
              <w:rPr>
                <w:color w:val="auto"/>
                <w:szCs w:val="24"/>
                <w:highlight w:val="none"/>
              </w:rPr>
              <w:t>本项目定员职工</w:t>
            </w:r>
            <w:r>
              <w:rPr>
                <w:rFonts w:hint="eastAsia"/>
                <w:color w:val="auto"/>
                <w:szCs w:val="24"/>
                <w:highlight w:val="none"/>
              </w:rPr>
              <w:t>10</w:t>
            </w:r>
            <w:r>
              <w:rPr>
                <w:color w:val="auto"/>
                <w:szCs w:val="24"/>
                <w:highlight w:val="none"/>
              </w:rPr>
              <w:t>人，厂区</w:t>
            </w:r>
            <w:r>
              <w:rPr>
                <w:rFonts w:hint="eastAsia"/>
                <w:color w:val="auto"/>
                <w:szCs w:val="24"/>
                <w:highlight w:val="none"/>
              </w:rPr>
              <w:t>内不</w:t>
            </w:r>
            <w:r>
              <w:rPr>
                <w:color w:val="auto"/>
                <w:szCs w:val="24"/>
                <w:highlight w:val="none"/>
              </w:rPr>
              <w:t>设</w:t>
            </w:r>
            <w:r>
              <w:rPr>
                <w:rFonts w:hint="eastAsia"/>
                <w:color w:val="auto"/>
                <w:szCs w:val="24"/>
                <w:highlight w:val="none"/>
              </w:rPr>
              <w:t>置</w:t>
            </w:r>
            <w:r>
              <w:rPr>
                <w:color w:val="auto"/>
                <w:szCs w:val="24"/>
                <w:highlight w:val="none"/>
              </w:rPr>
              <w:t>食堂</w:t>
            </w:r>
            <w:r>
              <w:rPr>
                <w:rFonts w:hint="eastAsia"/>
                <w:color w:val="auto"/>
                <w:szCs w:val="24"/>
                <w:highlight w:val="none"/>
              </w:rPr>
              <w:t>、住宿</w:t>
            </w:r>
            <w:r>
              <w:rPr>
                <w:color w:val="auto"/>
                <w:szCs w:val="24"/>
                <w:highlight w:val="none"/>
              </w:rPr>
              <w:t>，每人每天用水量以</w:t>
            </w:r>
            <w:r>
              <w:rPr>
                <w:rFonts w:hint="eastAsia"/>
                <w:color w:val="auto"/>
                <w:szCs w:val="24"/>
                <w:highlight w:val="none"/>
              </w:rPr>
              <w:t>50</w:t>
            </w:r>
            <w:r>
              <w:rPr>
                <w:color w:val="auto"/>
                <w:szCs w:val="24"/>
                <w:highlight w:val="none"/>
              </w:rPr>
              <w:t>L计，年</w:t>
            </w:r>
            <w:r>
              <w:rPr>
                <w:rFonts w:hint="eastAsia"/>
                <w:color w:val="auto"/>
                <w:szCs w:val="24"/>
                <w:highlight w:val="none"/>
              </w:rPr>
              <w:t>生产300</w:t>
            </w:r>
            <w:r>
              <w:rPr>
                <w:color w:val="auto"/>
                <w:szCs w:val="24"/>
                <w:highlight w:val="none"/>
              </w:rPr>
              <w:t>天，则年用水量为</w:t>
            </w:r>
            <w:r>
              <w:rPr>
                <w:rFonts w:hint="eastAsia"/>
                <w:color w:val="auto"/>
                <w:szCs w:val="24"/>
                <w:highlight w:val="none"/>
              </w:rPr>
              <w:t>150</w:t>
            </w:r>
            <w:r>
              <w:rPr>
                <w:color w:val="auto"/>
                <w:szCs w:val="24"/>
                <w:highlight w:val="none"/>
              </w:rPr>
              <w:t>t，排污系数取0.8，则生活污水产生量为</w:t>
            </w:r>
            <w:r>
              <w:rPr>
                <w:rFonts w:hint="eastAsia"/>
                <w:color w:val="auto"/>
                <w:szCs w:val="24"/>
                <w:highlight w:val="none"/>
              </w:rPr>
              <w:t>120t</w:t>
            </w:r>
            <w:r>
              <w:rPr>
                <w:color w:val="auto"/>
                <w:szCs w:val="24"/>
                <w:highlight w:val="none"/>
              </w:rPr>
              <w:t>/a，</w:t>
            </w:r>
            <w:r>
              <w:rPr>
                <w:color w:val="auto"/>
                <w:highlight w:val="none"/>
              </w:rPr>
              <w:t>污染物浓度为：COD</w:t>
            </w:r>
            <w:r>
              <w:rPr>
                <w:color w:val="auto"/>
                <w:highlight w:val="none"/>
                <w:vertAlign w:val="subscript"/>
              </w:rPr>
              <w:t>Cr</w:t>
            </w:r>
            <w:r>
              <w:rPr>
                <w:color w:val="auto"/>
                <w:highlight w:val="none"/>
              </w:rPr>
              <w:t>约3</w:t>
            </w:r>
            <w:r>
              <w:rPr>
                <w:rFonts w:hint="eastAsia"/>
                <w:color w:val="auto"/>
                <w:highlight w:val="none"/>
              </w:rPr>
              <w:t>50</w:t>
            </w:r>
            <w:r>
              <w:rPr>
                <w:color w:val="auto"/>
                <w:highlight w:val="none"/>
              </w:rPr>
              <w:t>mg/L，NH</w:t>
            </w:r>
            <w:r>
              <w:rPr>
                <w:color w:val="auto"/>
                <w:highlight w:val="none"/>
                <w:vertAlign w:val="subscript"/>
              </w:rPr>
              <w:t>3</w:t>
            </w:r>
            <w:r>
              <w:rPr>
                <w:color w:val="auto"/>
                <w:highlight w:val="none"/>
              </w:rPr>
              <w:t>-N约30mg/L，则主要污染物产生量约为COD</w:t>
            </w:r>
            <w:r>
              <w:rPr>
                <w:color w:val="auto"/>
                <w:highlight w:val="none"/>
                <w:vertAlign w:val="subscript"/>
              </w:rPr>
              <w:t>Cr</w:t>
            </w:r>
            <w:r>
              <w:rPr>
                <w:color w:val="auto"/>
                <w:highlight w:val="none"/>
              </w:rPr>
              <w:t>：</w:t>
            </w:r>
            <w:r>
              <w:rPr>
                <w:rFonts w:hint="eastAsia"/>
                <w:color w:val="auto"/>
                <w:highlight w:val="none"/>
              </w:rPr>
              <w:t>0.042</w:t>
            </w:r>
            <w:r>
              <w:rPr>
                <w:color w:val="auto"/>
                <w:highlight w:val="none"/>
              </w:rPr>
              <w:t>t/a，NH</w:t>
            </w:r>
            <w:r>
              <w:rPr>
                <w:color w:val="auto"/>
                <w:highlight w:val="none"/>
                <w:vertAlign w:val="subscript"/>
              </w:rPr>
              <w:t>3</w:t>
            </w:r>
            <w:r>
              <w:rPr>
                <w:color w:val="auto"/>
                <w:highlight w:val="none"/>
              </w:rPr>
              <w:t>-N：</w:t>
            </w:r>
            <w:r>
              <w:rPr>
                <w:rFonts w:hint="eastAsia"/>
                <w:color w:val="auto"/>
                <w:highlight w:val="none"/>
              </w:rPr>
              <w:t>0.0036</w:t>
            </w:r>
            <w:r>
              <w:rPr>
                <w:color w:val="auto"/>
                <w:highlight w:val="none"/>
              </w:rPr>
              <w:t>t/a</w:t>
            </w:r>
            <w:r>
              <w:rPr>
                <w:rFonts w:hint="eastAsia"/>
                <w:color w:val="auto"/>
                <w:highlight w:val="none"/>
              </w:rPr>
              <w:t>。生活污水排放</w:t>
            </w:r>
            <w:r>
              <w:rPr>
                <w:rFonts w:hint="eastAsia"/>
                <w:color w:val="auto"/>
                <w:szCs w:val="24"/>
                <w:highlight w:val="none"/>
              </w:rPr>
              <w:t>达到《污水综合排放标准》（GB8978-1996）中的三级标准，氨氮达到《工业企业废水氮、磷污染物间接排放限值》（DB33/887-2013）中的间接排放限值，污染物浓度为：COD</w:t>
            </w:r>
            <w:r>
              <w:rPr>
                <w:rFonts w:hint="eastAsia"/>
                <w:color w:val="auto"/>
                <w:szCs w:val="24"/>
                <w:highlight w:val="none"/>
                <w:vertAlign w:val="subscript"/>
              </w:rPr>
              <w:t>Cr</w:t>
            </w:r>
            <w:r>
              <w:rPr>
                <w:rFonts w:hint="eastAsia"/>
                <w:color w:val="auto"/>
                <w:szCs w:val="24"/>
                <w:highlight w:val="none"/>
              </w:rPr>
              <w:t>约300mg/L，NH</w:t>
            </w:r>
            <w:r>
              <w:rPr>
                <w:rFonts w:hint="eastAsia"/>
                <w:color w:val="auto"/>
                <w:szCs w:val="24"/>
                <w:highlight w:val="none"/>
                <w:vertAlign w:val="subscript"/>
              </w:rPr>
              <w:t>3</w:t>
            </w:r>
            <w:r>
              <w:rPr>
                <w:rFonts w:hint="eastAsia"/>
                <w:color w:val="auto"/>
                <w:szCs w:val="24"/>
                <w:highlight w:val="none"/>
              </w:rPr>
              <w:t>-N约30mg/L，则污染物的排放量为</w:t>
            </w:r>
            <w:r>
              <w:rPr>
                <w:color w:val="auto"/>
                <w:highlight w:val="none"/>
              </w:rPr>
              <w:t>COD</w:t>
            </w:r>
            <w:r>
              <w:rPr>
                <w:color w:val="auto"/>
                <w:highlight w:val="none"/>
                <w:vertAlign w:val="subscript"/>
              </w:rPr>
              <w:t>Cr</w:t>
            </w:r>
            <w:r>
              <w:rPr>
                <w:color w:val="auto"/>
                <w:highlight w:val="none"/>
              </w:rPr>
              <w:t>：</w:t>
            </w:r>
            <w:r>
              <w:rPr>
                <w:rFonts w:hint="eastAsia"/>
                <w:color w:val="auto"/>
                <w:highlight w:val="none"/>
              </w:rPr>
              <w:t>0.036</w:t>
            </w:r>
            <w:r>
              <w:rPr>
                <w:color w:val="auto"/>
                <w:highlight w:val="none"/>
              </w:rPr>
              <w:t>t/a，NH</w:t>
            </w:r>
            <w:r>
              <w:rPr>
                <w:color w:val="auto"/>
                <w:highlight w:val="none"/>
                <w:vertAlign w:val="subscript"/>
              </w:rPr>
              <w:t>3</w:t>
            </w:r>
            <w:r>
              <w:rPr>
                <w:color w:val="auto"/>
                <w:highlight w:val="none"/>
              </w:rPr>
              <w:t>-N：</w:t>
            </w:r>
            <w:r>
              <w:rPr>
                <w:rFonts w:hint="eastAsia"/>
                <w:color w:val="auto"/>
                <w:highlight w:val="none"/>
              </w:rPr>
              <w:t>0.004</w:t>
            </w:r>
            <w:r>
              <w:rPr>
                <w:color w:val="auto"/>
                <w:highlight w:val="none"/>
              </w:rPr>
              <w:t>t/a</w:t>
            </w:r>
            <w:r>
              <w:rPr>
                <w:rFonts w:hint="eastAsia"/>
                <w:color w:val="auto"/>
                <w:highlight w:val="none"/>
              </w:rPr>
              <w:t>，经化粪池处理后委托槽罐车集中清运至德清县乾元污水处理有限公司作</w:t>
            </w:r>
            <w:r>
              <w:rPr>
                <w:color w:val="auto"/>
                <w:highlight w:val="none"/>
              </w:rPr>
              <w:t>集中处理</w:t>
            </w:r>
            <w:r>
              <w:rPr>
                <w:rFonts w:hint="eastAsia"/>
                <w:color w:val="auto"/>
                <w:highlight w:val="none"/>
              </w:rPr>
              <w:t>，</w:t>
            </w:r>
            <w:r>
              <w:rPr>
                <w:color w:val="auto"/>
                <w:highlight w:val="none"/>
              </w:rPr>
              <w:t>达标排放</w:t>
            </w:r>
            <w:r>
              <w:rPr>
                <w:rStyle w:val="33"/>
                <w:b w:val="0"/>
                <w:color w:val="auto"/>
                <w:highlight w:val="none"/>
              </w:rPr>
              <w:t>。</w:t>
            </w:r>
            <w:r>
              <w:rPr>
                <w:rFonts w:hint="eastAsia"/>
                <w:color w:val="auto"/>
                <w:highlight w:val="none"/>
              </w:rPr>
              <w:t>德清县乾元污水处理有限公司</w:t>
            </w:r>
            <w:r>
              <w:rPr>
                <w:bCs/>
                <w:color w:val="auto"/>
                <w:highlight w:val="none"/>
              </w:rPr>
              <w:t>尾水排放</w:t>
            </w:r>
            <w:r>
              <w:rPr>
                <w:rFonts w:hint="eastAsia"/>
                <w:bCs/>
                <w:color w:val="auto"/>
                <w:highlight w:val="none"/>
              </w:rPr>
              <w:t>能够达到</w:t>
            </w:r>
            <w:r>
              <w:rPr>
                <w:color w:val="auto"/>
                <w:highlight w:val="none"/>
              </w:rPr>
              <w:t>《城镇污水处理厂污染物排放标准》</w:t>
            </w:r>
            <w:r>
              <w:rPr>
                <w:rFonts w:hint="eastAsia"/>
                <w:color w:val="auto"/>
                <w:highlight w:val="none"/>
              </w:rPr>
              <w:t>（</w:t>
            </w:r>
            <w:r>
              <w:rPr>
                <w:color w:val="auto"/>
                <w:highlight w:val="none"/>
              </w:rPr>
              <w:t>GB18918-2002</w:t>
            </w:r>
            <w:r>
              <w:rPr>
                <w:rFonts w:hint="eastAsia"/>
                <w:color w:val="auto"/>
                <w:highlight w:val="none"/>
              </w:rPr>
              <w:t>）中的</w:t>
            </w:r>
            <w:r>
              <w:rPr>
                <w:color w:val="auto"/>
                <w:highlight w:val="none"/>
              </w:rPr>
              <w:t>一级A标准，</w:t>
            </w:r>
            <w:r>
              <w:rPr>
                <w:rFonts w:hint="eastAsia"/>
                <w:color w:val="auto"/>
                <w:szCs w:val="24"/>
                <w:highlight w:val="none"/>
              </w:rPr>
              <w:t>则排入自然水体的主要污染物量约为COD</w:t>
            </w:r>
            <w:r>
              <w:rPr>
                <w:rFonts w:hint="eastAsia"/>
                <w:color w:val="auto"/>
                <w:szCs w:val="24"/>
                <w:highlight w:val="none"/>
                <w:vertAlign w:val="subscript"/>
              </w:rPr>
              <w:t>Cr</w:t>
            </w:r>
            <w:r>
              <w:rPr>
                <w:rFonts w:hint="eastAsia"/>
                <w:color w:val="auto"/>
                <w:szCs w:val="24"/>
                <w:highlight w:val="none"/>
              </w:rPr>
              <w:t>：0.006t/a、NH</w:t>
            </w:r>
            <w:r>
              <w:rPr>
                <w:rFonts w:hint="eastAsia"/>
                <w:color w:val="auto"/>
                <w:szCs w:val="24"/>
                <w:highlight w:val="none"/>
                <w:vertAlign w:val="subscript"/>
              </w:rPr>
              <w:t>3</w:t>
            </w:r>
            <w:r>
              <w:rPr>
                <w:rFonts w:hint="eastAsia"/>
                <w:color w:val="auto"/>
                <w:szCs w:val="24"/>
                <w:highlight w:val="none"/>
              </w:rPr>
              <w:t>-N：0.001t/a。</w:t>
            </w:r>
          </w:p>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4-8  项目水污染物排放情况一览表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906"/>
              <w:gridCol w:w="906"/>
              <w:gridCol w:w="907"/>
              <w:gridCol w:w="907"/>
              <w:gridCol w:w="907"/>
              <w:gridCol w:w="907"/>
              <w:gridCol w:w="907"/>
              <w:gridCol w:w="907"/>
              <w:gridCol w:w="907"/>
              <w:gridCol w:w="908"/>
              <w:gridCol w:w="908"/>
              <w:gridCol w:w="908"/>
              <w:gridCol w:w="908"/>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产污环节</w:t>
                  </w:r>
                </w:p>
              </w:tc>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类别</w:t>
                  </w:r>
                </w:p>
              </w:tc>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污染物种类</w:t>
                  </w:r>
                </w:p>
              </w:tc>
              <w:tc>
                <w:tcPr>
                  <w:tcW w:w="2721" w:type="dxa"/>
                  <w:gridSpan w:val="3"/>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污染物产生情况</w:t>
                  </w:r>
                </w:p>
              </w:tc>
              <w:tc>
                <w:tcPr>
                  <w:tcW w:w="3628" w:type="dxa"/>
                  <w:gridSpan w:val="4"/>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主要污染治理设施</w:t>
                  </w:r>
                </w:p>
              </w:tc>
              <w:tc>
                <w:tcPr>
                  <w:tcW w:w="2724" w:type="dxa"/>
                  <w:gridSpan w:val="3"/>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污染物排放情况</w:t>
                  </w:r>
                </w:p>
              </w:tc>
              <w:tc>
                <w:tcPr>
                  <w:tcW w:w="908"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排放口编号</w:t>
                  </w: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废水产生量</w:t>
                  </w:r>
                  <w:r>
                    <w:rPr>
                      <w:bCs/>
                      <w:color w:val="auto"/>
                      <w:kern w:val="0"/>
                      <w:sz w:val="21"/>
                      <w:szCs w:val="21"/>
                      <w:highlight w:val="none"/>
                    </w:rPr>
                    <w:t>m</w:t>
                  </w:r>
                  <w:r>
                    <w:rPr>
                      <w:bCs/>
                      <w:color w:val="auto"/>
                      <w:kern w:val="0"/>
                      <w:sz w:val="21"/>
                      <w:szCs w:val="21"/>
                      <w:highlight w:val="none"/>
                      <w:vertAlign w:val="superscript"/>
                    </w:rPr>
                    <w:t>3</w:t>
                  </w:r>
                  <w:r>
                    <w:rPr>
                      <w:bCs/>
                      <w:color w:val="auto"/>
                      <w:kern w:val="0"/>
                      <w:sz w:val="21"/>
                      <w:szCs w:val="21"/>
                      <w:highlight w:val="none"/>
                    </w:rPr>
                    <w:t>/a</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产生浓度</w:t>
                  </w:r>
                  <w:r>
                    <w:rPr>
                      <w:rStyle w:val="48"/>
                      <w:b w:val="0"/>
                      <w:bCs/>
                      <w:color w:val="auto"/>
                      <w:sz w:val="21"/>
                      <w:szCs w:val="21"/>
                      <w:highlight w:val="none"/>
                    </w:rPr>
                    <w:t>mg/L</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产生量</w:t>
                  </w:r>
                  <w:r>
                    <w:rPr>
                      <w:rStyle w:val="48"/>
                      <w:b w:val="0"/>
                      <w:bCs/>
                      <w:color w:val="auto"/>
                      <w:sz w:val="21"/>
                      <w:szCs w:val="21"/>
                      <w:highlight w:val="none"/>
                    </w:rPr>
                    <w:t>t/a</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处理</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工艺</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处理能力</w:t>
                  </w:r>
                  <w:r>
                    <w:rPr>
                      <w:bCs/>
                      <w:color w:val="auto"/>
                      <w:kern w:val="0"/>
                      <w:sz w:val="21"/>
                      <w:szCs w:val="21"/>
                      <w:highlight w:val="none"/>
                    </w:rPr>
                    <w:t>m</w:t>
                  </w:r>
                  <w:r>
                    <w:rPr>
                      <w:bCs/>
                      <w:color w:val="auto"/>
                      <w:kern w:val="0"/>
                      <w:sz w:val="21"/>
                      <w:szCs w:val="21"/>
                      <w:highlight w:val="none"/>
                      <w:vertAlign w:val="superscript"/>
                    </w:rPr>
                    <w:t>3</w:t>
                  </w:r>
                  <w:r>
                    <w:rPr>
                      <w:bCs/>
                      <w:color w:val="auto"/>
                      <w:kern w:val="0"/>
                      <w:sz w:val="21"/>
                      <w:szCs w:val="21"/>
                      <w:highlight w:val="none"/>
                    </w:rPr>
                    <w:t>/</w:t>
                  </w:r>
                  <w:r>
                    <w:rPr>
                      <w:rFonts w:hint="eastAsia"/>
                      <w:bCs/>
                      <w:color w:val="auto"/>
                      <w:kern w:val="0"/>
                      <w:sz w:val="21"/>
                      <w:szCs w:val="21"/>
                      <w:highlight w:val="none"/>
                    </w:rPr>
                    <w:t>d</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治理效率%</w:t>
                  </w:r>
                </w:p>
              </w:tc>
              <w:tc>
                <w:tcPr>
                  <w:tcW w:w="90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是否为可行技术</w:t>
                  </w: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废水排放量</w:t>
                  </w:r>
                  <w:r>
                    <w:rPr>
                      <w:bCs/>
                      <w:color w:val="auto"/>
                      <w:kern w:val="0"/>
                      <w:sz w:val="21"/>
                      <w:szCs w:val="21"/>
                      <w:highlight w:val="none"/>
                    </w:rPr>
                    <w:t>m</w:t>
                  </w:r>
                  <w:r>
                    <w:rPr>
                      <w:bCs/>
                      <w:color w:val="auto"/>
                      <w:kern w:val="0"/>
                      <w:sz w:val="21"/>
                      <w:szCs w:val="21"/>
                      <w:highlight w:val="none"/>
                      <w:vertAlign w:val="superscript"/>
                    </w:rPr>
                    <w:t>3</w:t>
                  </w:r>
                  <w:r>
                    <w:rPr>
                      <w:bCs/>
                      <w:color w:val="auto"/>
                      <w:kern w:val="0"/>
                      <w:sz w:val="21"/>
                      <w:szCs w:val="21"/>
                      <w:highlight w:val="none"/>
                    </w:rPr>
                    <w:t>/a</w:t>
                  </w: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排放浓度</w:t>
                  </w:r>
                  <w:r>
                    <w:rPr>
                      <w:rStyle w:val="48"/>
                      <w:b w:val="0"/>
                      <w:bCs/>
                      <w:color w:val="auto"/>
                      <w:sz w:val="21"/>
                      <w:szCs w:val="21"/>
                      <w:highlight w:val="none"/>
                    </w:rPr>
                    <w:t>mg/L</w:t>
                  </w: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排放量</w:t>
                  </w:r>
                  <w:r>
                    <w:rPr>
                      <w:rStyle w:val="48"/>
                      <w:b w:val="0"/>
                      <w:bCs/>
                      <w:color w:val="auto"/>
                      <w:sz w:val="21"/>
                      <w:szCs w:val="21"/>
                      <w:highlight w:val="none"/>
                    </w:rPr>
                    <w:t>t/a</w:t>
                  </w:r>
                </w:p>
              </w:tc>
              <w:tc>
                <w:tcPr>
                  <w:tcW w:w="908"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浓度限值</w:t>
                  </w:r>
                  <w:r>
                    <w:rPr>
                      <w:rStyle w:val="48"/>
                      <w:b w:val="0"/>
                      <w:bCs/>
                      <w:color w:val="auto"/>
                      <w:sz w:val="21"/>
                      <w:szCs w:val="21"/>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员工</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生活</w:t>
                  </w:r>
                </w:p>
              </w:tc>
              <w:tc>
                <w:tcPr>
                  <w:tcW w:w="90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生活</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污水</w:t>
                  </w:r>
                </w:p>
              </w:tc>
              <w:tc>
                <w:tcPr>
                  <w:tcW w:w="906" w:type="dxa"/>
                  <w:noWrap/>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COD</w:t>
                  </w:r>
                  <w:r>
                    <w:rPr>
                      <w:rFonts w:hint="eastAsia"/>
                      <w:bCs/>
                      <w:color w:val="auto"/>
                      <w:kern w:val="0"/>
                      <w:sz w:val="21"/>
                      <w:szCs w:val="21"/>
                      <w:highlight w:val="none"/>
                      <w:vertAlign w:val="subscript"/>
                    </w:rPr>
                    <w:t>Cr</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120</w:t>
                  </w:r>
                </w:p>
              </w:tc>
              <w:tc>
                <w:tcPr>
                  <w:tcW w:w="907"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350</w:t>
                  </w:r>
                </w:p>
              </w:tc>
              <w:tc>
                <w:tcPr>
                  <w:tcW w:w="907"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0.042</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化粪池</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120</w:t>
                  </w:r>
                </w:p>
              </w:tc>
              <w:tc>
                <w:tcPr>
                  <w:tcW w:w="907"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14</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908"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120</w:t>
                  </w: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300</w:t>
                  </w: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0.036</w:t>
                  </w:r>
                </w:p>
              </w:tc>
              <w:tc>
                <w:tcPr>
                  <w:tcW w:w="908"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5"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vMerge w:val="continue"/>
                  <w:noWrap/>
                  <w:vAlign w:val="center"/>
                </w:tcPr>
                <w:p>
                  <w:pPr>
                    <w:spacing w:line="240" w:lineRule="auto"/>
                    <w:ind w:firstLine="0" w:firstLineChars="0"/>
                    <w:jc w:val="center"/>
                    <w:rPr>
                      <w:bCs/>
                      <w:snapToGrid w:val="0"/>
                      <w:color w:val="auto"/>
                      <w:sz w:val="21"/>
                      <w:szCs w:val="21"/>
                      <w:highlight w:val="none"/>
                    </w:rPr>
                  </w:pPr>
                </w:p>
              </w:tc>
              <w:tc>
                <w:tcPr>
                  <w:tcW w:w="906" w:type="dxa"/>
                  <w:noWrap/>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NH</w:t>
                  </w:r>
                  <w:r>
                    <w:rPr>
                      <w:rStyle w:val="49"/>
                      <w:bCs/>
                      <w:color w:val="auto"/>
                      <w:sz w:val="21"/>
                      <w:szCs w:val="21"/>
                      <w:highlight w:val="none"/>
                    </w:rPr>
                    <w:t>3</w:t>
                  </w:r>
                  <w:r>
                    <w:rPr>
                      <w:rStyle w:val="50"/>
                      <w:bCs/>
                      <w:color w:val="auto"/>
                      <w:sz w:val="21"/>
                      <w:szCs w:val="21"/>
                      <w:highlight w:val="none"/>
                    </w:rPr>
                    <w:t>-N</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30</w:t>
                  </w:r>
                </w:p>
              </w:tc>
              <w:tc>
                <w:tcPr>
                  <w:tcW w:w="907"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0.0036</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7"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30</w:t>
                  </w: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0.004</w:t>
                  </w:r>
                </w:p>
              </w:tc>
              <w:tc>
                <w:tcPr>
                  <w:tcW w:w="908"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35</w:t>
                  </w:r>
                </w:p>
              </w:tc>
            </w:tr>
          </w:tbl>
          <w:p>
            <w:pPr>
              <w:spacing w:line="500" w:lineRule="exact"/>
              <w:ind w:firstLine="480"/>
              <w:rPr>
                <w:bCs/>
                <w:snapToGrid w:val="0"/>
                <w:color w:val="auto"/>
                <w:szCs w:val="24"/>
                <w:highlight w:val="none"/>
              </w:rPr>
            </w:pPr>
            <w:r>
              <w:rPr>
                <w:rFonts w:hint="eastAsia"/>
                <w:bCs/>
                <w:snapToGrid w:val="0"/>
                <w:color w:val="auto"/>
                <w:szCs w:val="24"/>
                <w:highlight w:val="none"/>
              </w:rPr>
              <w:t>2、排污口设置及监测计划</w:t>
            </w:r>
          </w:p>
          <w:p>
            <w:pPr>
              <w:spacing w:line="500" w:lineRule="exact"/>
              <w:ind w:firstLine="480"/>
              <w:rPr>
                <w:bCs/>
                <w:snapToGrid w:val="0"/>
                <w:color w:val="auto"/>
                <w:szCs w:val="24"/>
                <w:highlight w:val="none"/>
              </w:rPr>
            </w:pPr>
            <w:r>
              <w:rPr>
                <w:bCs/>
                <w:snapToGrid w:val="0"/>
                <w:color w:val="auto"/>
                <w:szCs w:val="24"/>
                <w:highlight w:val="none"/>
              </w:rPr>
              <w:t>根据</w:t>
            </w:r>
            <w:r>
              <w:rPr>
                <w:color w:val="auto"/>
                <w:szCs w:val="24"/>
                <w:highlight w:val="none"/>
              </w:rPr>
              <w:t>根据导则及《排污单位自行监测技术指南</w:t>
            </w:r>
            <w:r>
              <w:rPr>
                <w:rFonts w:hint="eastAsia"/>
                <w:color w:val="auto"/>
                <w:szCs w:val="24"/>
                <w:highlight w:val="none"/>
              </w:rPr>
              <w:t xml:space="preserve">  </w:t>
            </w:r>
            <w:r>
              <w:rPr>
                <w:color w:val="auto"/>
                <w:szCs w:val="24"/>
                <w:highlight w:val="none"/>
              </w:rPr>
              <w:t>总则》（HJ819-2017）要求，</w:t>
            </w:r>
            <w:r>
              <w:rPr>
                <w:bCs/>
                <w:snapToGrid w:val="0"/>
                <w:color w:val="auto"/>
                <w:szCs w:val="24"/>
                <w:highlight w:val="none"/>
              </w:rPr>
              <w:t>单独排入公共污水处理系统的生活污水无需开展自行监测，但需要说明排放去向。</w:t>
            </w:r>
            <w:r>
              <w:rPr>
                <w:rFonts w:hint="eastAsia"/>
                <w:bCs/>
                <w:snapToGrid w:val="0"/>
                <w:color w:val="auto"/>
                <w:szCs w:val="24"/>
                <w:highlight w:val="none"/>
              </w:rPr>
              <w:t>排放情况见表4-9。</w:t>
            </w:r>
          </w:p>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4-9  项目排污口设置及水污染物监测计划</w:t>
            </w:r>
          </w:p>
          <w:tbl>
            <w:tblPr>
              <w:tblStyle w:val="31"/>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3"/>
              <w:gridCol w:w="816"/>
              <w:gridCol w:w="1292"/>
              <w:gridCol w:w="1983"/>
              <w:gridCol w:w="1750"/>
              <w:gridCol w:w="767"/>
              <w:gridCol w:w="812"/>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污染源类别</w:t>
                  </w:r>
                </w:p>
              </w:tc>
              <w:tc>
                <w:tcPr>
                  <w:tcW w:w="1513"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排放口编号及名称</w:t>
                  </w:r>
                </w:p>
              </w:tc>
              <w:tc>
                <w:tcPr>
                  <w:tcW w:w="81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排放方式</w:t>
                  </w:r>
                </w:p>
              </w:tc>
              <w:tc>
                <w:tcPr>
                  <w:tcW w:w="1292"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排放去向</w:t>
                  </w:r>
                </w:p>
              </w:tc>
              <w:tc>
                <w:tcPr>
                  <w:tcW w:w="1983"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排放规律</w:t>
                  </w:r>
                </w:p>
              </w:tc>
              <w:tc>
                <w:tcPr>
                  <w:tcW w:w="2517" w:type="dxa"/>
                  <w:gridSpan w:val="2"/>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排放口情况</w:t>
                  </w:r>
                </w:p>
              </w:tc>
              <w:tc>
                <w:tcPr>
                  <w:tcW w:w="3288" w:type="dxa"/>
                  <w:gridSpan w:val="3"/>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监测要求</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ign w:val="center"/>
                </w:tcPr>
                <w:p>
                  <w:pPr>
                    <w:spacing w:line="240" w:lineRule="auto"/>
                    <w:ind w:firstLine="0" w:firstLineChars="0"/>
                    <w:jc w:val="center"/>
                    <w:rPr>
                      <w:bCs/>
                      <w:snapToGrid w:val="0"/>
                      <w:color w:val="auto"/>
                      <w:sz w:val="21"/>
                      <w:szCs w:val="21"/>
                      <w:highlight w:val="none"/>
                    </w:rPr>
                  </w:pPr>
                </w:p>
              </w:tc>
              <w:tc>
                <w:tcPr>
                  <w:tcW w:w="1513" w:type="dxa"/>
                  <w:vMerge w:val="continue"/>
                  <w:noWrap/>
                  <w:vAlign w:val="center"/>
                </w:tcPr>
                <w:p>
                  <w:pPr>
                    <w:spacing w:line="240" w:lineRule="auto"/>
                    <w:ind w:firstLine="0" w:firstLineChars="0"/>
                    <w:jc w:val="center"/>
                    <w:rPr>
                      <w:bCs/>
                      <w:snapToGrid w:val="0"/>
                      <w:color w:val="auto"/>
                      <w:sz w:val="21"/>
                      <w:szCs w:val="21"/>
                      <w:highlight w:val="none"/>
                    </w:rPr>
                  </w:pPr>
                </w:p>
              </w:tc>
              <w:tc>
                <w:tcPr>
                  <w:tcW w:w="816" w:type="dxa"/>
                  <w:vMerge w:val="continue"/>
                  <w:noWrap/>
                  <w:vAlign w:val="center"/>
                </w:tcPr>
                <w:p>
                  <w:pPr>
                    <w:spacing w:line="240" w:lineRule="auto"/>
                    <w:ind w:firstLine="0" w:firstLineChars="0"/>
                    <w:jc w:val="center"/>
                    <w:rPr>
                      <w:bCs/>
                      <w:snapToGrid w:val="0"/>
                      <w:color w:val="auto"/>
                      <w:sz w:val="21"/>
                      <w:szCs w:val="21"/>
                      <w:highlight w:val="none"/>
                    </w:rPr>
                  </w:pPr>
                </w:p>
              </w:tc>
              <w:tc>
                <w:tcPr>
                  <w:tcW w:w="1292" w:type="dxa"/>
                  <w:vMerge w:val="continue"/>
                  <w:noWrap/>
                  <w:vAlign w:val="center"/>
                </w:tcPr>
                <w:p>
                  <w:pPr>
                    <w:spacing w:line="240" w:lineRule="auto"/>
                    <w:ind w:firstLine="0" w:firstLineChars="0"/>
                    <w:jc w:val="center"/>
                    <w:rPr>
                      <w:bCs/>
                      <w:snapToGrid w:val="0"/>
                      <w:color w:val="auto"/>
                      <w:sz w:val="21"/>
                      <w:szCs w:val="21"/>
                      <w:highlight w:val="none"/>
                    </w:rPr>
                  </w:pPr>
                </w:p>
              </w:tc>
              <w:tc>
                <w:tcPr>
                  <w:tcW w:w="1983" w:type="dxa"/>
                  <w:vMerge w:val="continue"/>
                  <w:noWrap/>
                  <w:vAlign w:val="center"/>
                </w:tcPr>
                <w:p>
                  <w:pPr>
                    <w:spacing w:line="240" w:lineRule="auto"/>
                    <w:ind w:firstLine="0" w:firstLineChars="0"/>
                    <w:jc w:val="center"/>
                    <w:rPr>
                      <w:bCs/>
                      <w:snapToGrid w:val="0"/>
                      <w:color w:val="auto"/>
                      <w:sz w:val="21"/>
                      <w:szCs w:val="21"/>
                      <w:highlight w:val="none"/>
                    </w:rPr>
                  </w:pPr>
                </w:p>
              </w:tc>
              <w:tc>
                <w:tcPr>
                  <w:tcW w:w="1750"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坐标</w:t>
                  </w:r>
                </w:p>
              </w:tc>
              <w:tc>
                <w:tcPr>
                  <w:tcW w:w="767"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类型</w:t>
                  </w:r>
                </w:p>
              </w:tc>
              <w:tc>
                <w:tcPr>
                  <w:tcW w:w="812"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监测点位</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监测因子</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监测频次</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浓度限值</w:t>
                  </w:r>
                  <w:r>
                    <w:rPr>
                      <w:rStyle w:val="48"/>
                      <w:b w:val="0"/>
                      <w:bCs/>
                      <w:color w:val="auto"/>
                      <w:sz w:val="21"/>
                      <w:szCs w:val="21"/>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废水</w:t>
                  </w:r>
                </w:p>
              </w:tc>
              <w:tc>
                <w:tcPr>
                  <w:tcW w:w="1513"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污水总排口DW001</w:t>
                  </w:r>
                </w:p>
              </w:tc>
              <w:tc>
                <w:tcPr>
                  <w:tcW w:w="81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间接排放</w:t>
                  </w:r>
                </w:p>
              </w:tc>
              <w:tc>
                <w:tcPr>
                  <w:tcW w:w="1292" w:type="dxa"/>
                  <w:vMerge w:val="restart"/>
                  <w:noWrap/>
                  <w:vAlign w:val="center"/>
                </w:tcPr>
                <w:p>
                  <w:pPr>
                    <w:spacing w:line="240" w:lineRule="auto"/>
                    <w:ind w:firstLine="0" w:firstLineChars="0"/>
                    <w:rPr>
                      <w:bCs/>
                      <w:snapToGrid w:val="0"/>
                      <w:color w:val="auto"/>
                      <w:sz w:val="21"/>
                      <w:szCs w:val="21"/>
                      <w:highlight w:val="none"/>
                    </w:rPr>
                  </w:pPr>
                  <w:r>
                    <w:rPr>
                      <w:rFonts w:hint="eastAsia"/>
                      <w:bCs/>
                      <w:snapToGrid w:val="0"/>
                      <w:color w:val="auto"/>
                      <w:sz w:val="21"/>
                      <w:szCs w:val="21"/>
                      <w:highlight w:val="none"/>
                    </w:rPr>
                    <w:t>德清县乾元污水处理有限公司</w:t>
                  </w:r>
                </w:p>
              </w:tc>
              <w:tc>
                <w:tcPr>
                  <w:tcW w:w="1983" w:type="dxa"/>
                  <w:vMerge w:val="restart"/>
                  <w:noWrap/>
                  <w:vAlign w:val="center"/>
                </w:tcPr>
                <w:p>
                  <w:pPr>
                    <w:spacing w:line="240" w:lineRule="auto"/>
                    <w:ind w:firstLine="0" w:firstLineChars="0"/>
                    <w:rPr>
                      <w:bCs/>
                      <w:snapToGrid w:val="0"/>
                      <w:color w:val="auto"/>
                      <w:sz w:val="21"/>
                      <w:szCs w:val="21"/>
                      <w:highlight w:val="none"/>
                    </w:rPr>
                  </w:pPr>
                  <w:r>
                    <w:rPr>
                      <w:rFonts w:hint="eastAsia"/>
                      <w:bCs/>
                      <w:snapToGrid w:val="0"/>
                      <w:color w:val="auto"/>
                      <w:sz w:val="21"/>
                      <w:szCs w:val="21"/>
                      <w:highlight w:val="none"/>
                    </w:rPr>
                    <w:t>间断排放，排放期间流量不稳定，但有周期性规律</w:t>
                  </w:r>
                </w:p>
              </w:tc>
              <w:tc>
                <w:tcPr>
                  <w:tcW w:w="1750"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color w:val="auto"/>
                      <w:sz w:val="21"/>
                      <w:szCs w:val="21"/>
                      <w:highlight w:val="none"/>
                    </w:rPr>
                    <w:t>30</w:t>
                  </w:r>
                  <w:r>
                    <w:rPr>
                      <w:color w:val="auto"/>
                      <w:sz w:val="21"/>
                      <w:szCs w:val="21"/>
                      <w:highlight w:val="none"/>
                    </w:rPr>
                    <w:t>°</w:t>
                  </w:r>
                  <w:r>
                    <w:rPr>
                      <w:rFonts w:hint="eastAsia"/>
                      <w:color w:val="auto"/>
                      <w:sz w:val="21"/>
                      <w:szCs w:val="21"/>
                      <w:highlight w:val="none"/>
                    </w:rPr>
                    <w:t>32</w:t>
                  </w:r>
                  <w:r>
                    <w:rPr>
                      <w:color w:val="auto"/>
                      <w:sz w:val="21"/>
                      <w:szCs w:val="21"/>
                      <w:highlight w:val="none"/>
                    </w:rPr>
                    <w:t>'</w:t>
                  </w:r>
                  <w:r>
                    <w:rPr>
                      <w:rFonts w:hint="eastAsia"/>
                      <w:color w:val="auto"/>
                      <w:sz w:val="21"/>
                      <w:szCs w:val="21"/>
                      <w:highlight w:val="none"/>
                    </w:rPr>
                    <w:t>19.95</w:t>
                  </w:r>
                  <w:r>
                    <w:rPr>
                      <w:color w:val="auto"/>
                      <w:sz w:val="21"/>
                      <w:szCs w:val="21"/>
                      <w:highlight w:val="none"/>
                    </w:rPr>
                    <w:t>"N</w:t>
                  </w:r>
                  <w:r>
                    <w:rPr>
                      <w:rFonts w:hint="eastAsia"/>
                      <w:color w:val="auto"/>
                      <w:sz w:val="21"/>
                      <w:szCs w:val="21"/>
                      <w:highlight w:val="none"/>
                    </w:rPr>
                    <w:t>，120</w:t>
                  </w:r>
                  <w:r>
                    <w:rPr>
                      <w:color w:val="auto"/>
                      <w:sz w:val="21"/>
                      <w:szCs w:val="21"/>
                      <w:highlight w:val="none"/>
                    </w:rPr>
                    <w:t>°</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21.46</w:t>
                  </w:r>
                  <w:r>
                    <w:rPr>
                      <w:color w:val="auto"/>
                      <w:sz w:val="21"/>
                      <w:szCs w:val="21"/>
                      <w:highlight w:val="none"/>
                    </w:rPr>
                    <w:t>"E</w:t>
                  </w:r>
                </w:p>
              </w:tc>
              <w:tc>
                <w:tcPr>
                  <w:tcW w:w="76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一般排放口</w:t>
                  </w:r>
                </w:p>
              </w:tc>
              <w:tc>
                <w:tcPr>
                  <w:tcW w:w="812"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污水总排口</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COD</w:t>
                  </w:r>
                  <w:r>
                    <w:rPr>
                      <w:rFonts w:hint="eastAsia"/>
                      <w:bCs/>
                      <w:color w:val="auto"/>
                      <w:kern w:val="0"/>
                      <w:sz w:val="21"/>
                      <w:szCs w:val="21"/>
                      <w:highlight w:val="none"/>
                      <w:vertAlign w:val="subscript"/>
                    </w:rPr>
                    <w:t>Cr</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ign w:val="center"/>
                </w:tcPr>
                <w:p>
                  <w:pPr>
                    <w:spacing w:line="240" w:lineRule="auto"/>
                    <w:ind w:firstLine="0" w:firstLineChars="0"/>
                    <w:jc w:val="center"/>
                    <w:rPr>
                      <w:bCs/>
                      <w:snapToGrid w:val="0"/>
                      <w:color w:val="auto"/>
                      <w:sz w:val="21"/>
                      <w:szCs w:val="21"/>
                      <w:highlight w:val="none"/>
                    </w:rPr>
                  </w:pPr>
                </w:p>
              </w:tc>
              <w:tc>
                <w:tcPr>
                  <w:tcW w:w="1513" w:type="dxa"/>
                  <w:vMerge w:val="continue"/>
                  <w:noWrap/>
                  <w:vAlign w:val="center"/>
                </w:tcPr>
                <w:p>
                  <w:pPr>
                    <w:spacing w:line="240" w:lineRule="auto"/>
                    <w:ind w:firstLine="0" w:firstLineChars="0"/>
                    <w:jc w:val="center"/>
                    <w:rPr>
                      <w:bCs/>
                      <w:snapToGrid w:val="0"/>
                      <w:color w:val="auto"/>
                      <w:sz w:val="21"/>
                      <w:szCs w:val="21"/>
                      <w:highlight w:val="none"/>
                    </w:rPr>
                  </w:pPr>
                </w:p>
              </w:tc>
              <w:tc>
                <w:tcPr>
                  <w:tcW w:w="816" w:type="dxa"/>
                  <w:vMerge w:val="continue"/>
                  <w:noWrap/>
                  <w:vAlign w:val="center"/>
                </w:tcPr>
                <w:p>
                  <w:pPr>
                    <w:spacing w:line="240" w:lineRule="auto"/>
                    <w:ind w:firstLine="0" w:firstLineChars="0"/>
                    <w:jc w:val="center"/>
                    <w:rPr>
                      <w:bCs/>
                      <w:snapToGrid w:val="0"/>
                      <w:color w:val="auto"/>
                      <w:sz w:val="21"/>
                      <w:szCs w:val="21"/>
                      <w:highlight w:val="none"/>
                    </w:rPr>
                  </w:pPr>
                </w:p>
              </w:tc>
              <w:tc>
                <w:tcPr>
                  <w:tcW w:w="1292" w:type="dxa"/>
                  <w:vMerge w:val="continue"/>
                  <w:noWrap/>
                  <w:vAlign w:val="center"/>
                </w:tcPr>
                <w:p>
                  <w:pPr>
                    <w:spacing w:line="240" w:lineRule="auto"/>
                    <w:ind w:firstLine="0" w:firstLineChars="0"/>
                    <w:jc w:val="center"/>
                    <w:rPr>
                      <w:bCs/>
                      <w:snapToGrid w:val="0"/>
                      <w:color w:val="auto"/>
                      <w:sz w:val="21"/>
                      <w:szCs w:val="21"/>
                      <w:highlight w:val="none"/>
                    </w:rPr>
                  </w:pPr>
                </w:p>
              </w:tc>
              <w:tc>
                <w:tcPr>
                  <w:tcW w:w="1983" w:type="dxa"/>
                  <w:vMerge w:val="continue"/>
                  <w:noWrap/>
                  <w:vAlign w:val="center"/>
                </w:tcPr>
                <w:p>
                  <w:pPr>
                    <w:spacing w:line="240" w:lineRule="auto"/>
                    <w:ind w:firstLine="0" w:firstLineChars="0"/>
                    <w:jc w:val="center"/>
                    <w:rPr>
                      <w:bCs/>
                      <w:snapToGrid w:val="0"/>
                      <w:color w:val="auto"/>
                      <w:sz w:val="21"/>
                      <w:szCs w:val="21"/>
                      <w:highlight w:val="none"/>
                    </w:rPr>
                  </w:pPr>
                </w:p>
              </w:tc>
              <w:tc>
                <w:tcPr>
                  <w:tcW w:w="1750" w:type="dxa"/>
                  <w:vMerge w:val="continue"/>
                  <w:noWrap/>
                  <w:vAlign w:val="center"/>
                </w:tcPr>
                <w:p>
                  <w:pPr>
                    <w:spacing w:line="240" w:lineRule="auto"/>
                    <w:ind w:firstLine="0" w:firstLineChars="0"/>
                    <w:jc w:val="center"/>
                    <w:rPr>
                      <w:bCs/>
                      <w:snapToGrid w:val="0"/>
                      <w:color w:val="auto"/>
                      <w:sz w:val="21"/>
                      <w:szCs w:val="21"/>
                      <w:highlight w:val="none"/>
                    </w:rPr>
                  </w:pPr>
                </w:p>
              </w:tc>
              <w:tc>
                <w:tcPr>
                  <w:tcW w:w="767" w:type="dxa"/>
                  <w:vMerge w:val="continue"/>
                  <w:noWrap/>
                  <w:vAlign w:val="center"/>
                </w:tcPr>
                <w:p>
                  <w:pPr>
                    <w:spacing w:line="240" w:lineRule="auto"/>
                    <w:ind w:firstLine="0" w:firstLineChars="0"/>
                    <w:jc w:val="center"/>
                    <w:rPr>
                      <w:bCs/>
                      <w:snapToGrid w:val="0"/>
                      <w:color w:val="auto"/>
                      <w:sz w:val="21"/>
                      <w:szCs w:val="21"/>
                      <w:highlight w:val="none"/>
                    </w:rPr>
                  </w:pPr>
                </w:p>
              </w:tc>
              <w:tc>
                <w:tcPr>
                  <w:tcW w:w="812"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NH</w:t>
                  </w:r>
                  <w:r>
                    <w:rPr>
                      <w:rStyle w:val="49"/>
                      <w:bCs/>
                      <w:color w:val="auto"/>
                      <w:sz w:val="21"/>
                      <w:szCs w:val="21"/>
                      <w:highlight w:val="none"/>
                    </w:rPr>
                    <w:t>3</w:t>
                  </w:r>
                  <w:r>
                    <w:rPr>
                      <w:rStyle w:val="50"/>
                      <w:bCs/>
                      <w:color w:val="auto"/>
                      <w:sz w:val="21"/>
                      <w:szCs w:val="21"/>
                      <w:highlight w:val="none"/>
                    </w:rPr>
                    <w:t>-N</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35</w:t>
                  </w:r>
                </w:p>
              </w:tc>
            </w:tr>
          </w:tbl>
          <w:p>
            <w:pPr>
              <w:spacing w:line="500" w:lineRule="exact"/>
              <w:ind w:firstLine="480"/>
              <w:rPr>
                <w:bCs/>
                <w:snapToGrid w:val="0"/>
                <w:color w:val="auto"/>
                <w:szCs w:val="24"/>
                <w:highlight w:val="none"/>
              </w:rPr>
            </w:pPr>
            <w:r>
              <w:rPr>
                <w:rFonts w:hint="eastAsia"/>
                <w:bCs/>
                <w:snapToGrid w:val="0"/>
                <w:color w:val="auto"/>
                <w:szCs w:val="24"/>
                <w:highlight w:val="none"/>
              </w:rPr>
              <w:t>3、污染源强核算表</w:t>
            </w:r>
          </w:p>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4-10  水污染物污染源强核算表</w:t>
            </w:r>
          </w:p>
          <w:tbl>
            <w:tblPr>
              <w:tblStyle w:val="31"/>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67"/>
              <w:gridCol w:w="733"/>
              <w:gridCol w:w="1117"/>
              <w:gridCol w:w="1100"/>
              <w:gridCol w:w="1000"/>
              <w:gridCol w:w="1050"/>
              <w:gridCol w:w="768"/>
              <w:gridCol w:w="907"/>
              <w:gridCol w:w="907"/>
              <w:gridCol w:w="785"/>
              <w:gridCol w:w="1133"/>
              <w:gridCol w:w="1067"/>
              <w:gridCol w:w="76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8" w:type="dxa"/>
                  <w:vMerge w:val="restart"/>
                  <w:vAlign w:val="center"/>
                </w:tcPr>
                <w:p>
                  <w:pPr>
                    <w:pStyle w:val="37"/>
                    <w:rPr>
                      <w:rFonts w:hint="default"/>
                      <w:color w:val="auto"/>
                      <w:sz w:val="21"/>
                      <w:szCs w:val="21"/>
                      <w:highlight w:val="none"/>
                    </w:rPr>
                  </w:pPr>
                  <w:r>
                    <w:rPr>
                      <w:color w:val="auto"/>
                      <w:sz w:val="21"/>
                      <w:szCs w:val="21"/>
                      <w:highlight w:val="none"/>
                    </w:rPr>
                    <w:t>工序</w:t>
                  </w:r>
                </w:p>
              </w:tc>
              <w:tc>
                <w:tcPr>
                  <w:tcW w:w="767" w:type="dxa"/>
                  <w:vMerge w:val="restart"/>
                  <w:vAlign w:val="center"/>
                </w:tcPr>
                <w:p>
                  <w:pPr>
                    <w:pStyle w:val="37"/>
                    <w:rPr>
                      <w:rFonts w:hint="default"/>
                      <w:color w:val="auto"/>
                      <w:sz w:val="21"/>
                      <w:szCs w:val="21"/>
                      <w:highlight w:val="none"/>
                    </w:rPr>
                  </w:pPr>
                  <w:r>
                    <w:rPr>
                      <w:color w:val="auto"/>
                      <w:sz w:val="21"/>
                      <w:szCs w:val="21"/>
                      <w:highlight w:val="none"/>
                    </w:rPr>
                    <w:t>装置</w:t>
                  </w:r>
                </w:p>
              </w:tc>
              <w:tc>
                <w:tcPr>
                  <w:tcW w:w="733" w:type="dxa"/>
                  <w:vMerge w:val="restart"/>
                  <w:vAlign w:val="center"/>
                </w:tcPr>
                <w:p>
                  <w:pPr>
                    <w:pStyle w:val="37"/>
                    <w:rPr>
                      <w:rFonts w:hint="default"/>
                      <w:color w:val="auto"/>
                      <w:sz w:val="21"/>
                      <w:szCs w:val="21"/>
                      <w:highlight w:val="none"/>
                    </w:rPr>
                  </w:pPr>
                  <w:r>
                    <w:rPr>
                      <w:color w:val="auto"/>
                      <w:sz w:val="21"/>
                      <w:szCs w:val="21"/>
                      <w:highlight w:val="none"/>
                    </w:rPr>
                    <w:t>污染源</w:t>
                  </w:r>
                </w:p>
              </w:tc>
              <w:tc>
                <w:tcPr>
                  <w:tcW w:w="1117" w:type="dxa"/>
                  <w:vMerge w:val="restart"/>
                  <w:vAlign w:val="center"/>
                </w:tcPr>
                <w:p>
                  <w:pPr>
                    <w:pStyle w:val="37"/>
                    <w:rPr>
                      <w:rFonts w:hint="default"/>
                      <w:color w:val="auto"/>
                      <w:sz w:val="21"/>
                      <w:szCs w:val="21"/>
                      <w:highlight w:val="none"/>
                    </w:rPr>
                  </w:pPr>
                  <w:r>
                    <w:rPr>
                      <w:color w:val="auto"/>
                      <w:sz w:val="21"/>
                      <w:szCs w:val="21"/>
                      <w:highlight w:val="none"/>
                    </w:rPr>
                    <w:t>污染物</w:t>
                  </w:r>
                </w:p>
              </w:tc>
              <w:tc>
                <w:tcPr>
                  <w:tcW w:w="3918" w:type="dxa"/>
                  <w:gridSpan w:val="4"/>
                  <w:vAlign w:val="center"/>
                </w:tcPr>
                <w:p>
                  <w:pPr>
                    <w:pStyle w:val="37"/>
                    <w:rPr>
                      <w:rFonts w:hint="default"/>
                      <w:color w:val="auto"/>
                      <w:sz w:val="21"/>
                      <w:szCs w:val="21"/>
                      <w:highlight w:val="none"/>
                    </w:rPr>
                  </w:pPr>
                  <w:r>
                    <w:rPr>
                      <w:color w:val="auto"/>
                      <w:sz w:val="21"/>
                      <w:szCs w:val="21"/>
                      <w:highlight w:val="none"/>
                    </w:rPr>
                    <w:t>污染物产生</w:t>
                  </w:r>
                </w:p>
              </w:tc>
              <w:tc>
                <w:tcPr>
                  <w:tcW w:w="1814" w:type="dxa"/>
                  <w:gridSpan w:val="2"/>
                  <w:vAlign w:val="center"/>
                </w:tcPr>
                <w:p>
                  <w:pPr>
                    <w:pStyle w:val="37"/>
                    <w:rPr>
                      <w:rFonts w:hint="default"/>
                      <w:color w:val="auto"/>
                      <w:sz w:val="21"/>
                      <w:szCs w:val="21"/>
                      <w:highlight w:val="none"/>
                    </w:rPr>
                  </w:pPr>
                  <w:r>
                    <w:rPr>
                      <w:color w:val="auto"/>
                      <w:sz w:val="21"/>
                      <w:szCs w:val="21"/>
                      <w:highlight w:val="none"/>
                    </w:rPr>
                    <w:t>治理措施</w:t>
                  </w:r>
                </w:p>
              </w:tc>
              <w:tc>
                <w:tcPr>
                  <w:tcW w:w="3751" w:type="dxa"/>
                  <w:gridSpan w:val="4"/>
                  <w:vAlign w:val="center"/>
                </w:tcPr>
                <w:p>
                  <w:pPr>
                    <w:pStyle w:val="37"/>
                    <w:rPr>
                      <w:rFonts w:hint="default"/>
                      <w:color w:val="auto"/>
                      <w:sz w:val="21"/>
                      <w:szCs w:val="21"/>
                      <w:highlight w:val="none"/>
                    </w:rPr>
                  </w:pPr>
                  <w:r>
                    <w:rPr>
                      <w:color w:val="auto"/>
                      <w:sz w:val="21"/>
                      <w:szCs w:val="21"/>
                      <w:highlight w:val="none"/>
                    </w:rPr>
                    <w:t>污染物纳管</w:t>
                  </w:r>
                </w:p>
              </w:tc>
              <w:tc>
                <w:tcPr>
                  <w:tcW w:w="788" w:type="dxa"/>
                  <w:vMerge w:val="restart"/>
                  <w:vAlign w:val="center"/>
                </w:tcPr>
                <w:p>
                  <w:pPr>
                    <w:pStyle w:val="37"/>
                    <w:rPr>
                      <w:rFonts w:hint="default"/>
                      <w:color w:val="auto"/>
                      <w:sz w:val="21"/>
                      <w:szCs w:val="21"/>
                      <w:highlight w:val="none"/>
                    </w:rPr>
                  </w:pPr>
                  <w:r>
                    <w:rPr>
                      <w:color w:val="auto"/>
                      <w:sz w:val="21"/>
                      <w:szCs w:val="21"/>
                      <w:highlight w:val="none"/>
                    </w:rPr>
                    <w:t>排放时间/</w:t>
                  </w:r>
                  <w:r>
                    <w:rPr>
                      <w:rFonts w:hint="default" w:ascii="Times New Roman" w:hAnsi="Times New Roman"/>
                      <w:color w:val="auto"/>
                      <w:sz w:val="21"/>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8" w:type="dxa"/>
                  <w:vMerge w:val="continue"/>
                  <w:vAlign w:val="center"/>
                </w:tcPr>
                <w:p>
                  <w:pPr>
                    <w:pStyle w:val="37"/>
                    <w:rPr>
                      <w:rFonts w:hint="default"/>
                      <w:color w:val="auto"/>
                      <w:sz w:val="21"/>
                      <w:szCs w:val="21"/>
                      <w:highlight w:val="none"/>
                    </w:rPr>
                  </w:pPr>
                </w:p>
              </w:tc>
              <w:tc>
                <w:tcPr>
                  <w:tcW w:w="767" w:type="dxa"/>
                  <w:vMerge w:val="continue"/>
                  <w:vAlign w:val="center"/>
                </w:tcPr>
                <w:p>
                  <w:pPr>
                    <w:pStyle w:val="37"/>
                    <w:rPr>
                      <w:rFonts w:hint="default"/>
                      <w:color w:val="auto"/>
                      <w:sz w:val="21"/>
                      <w:szCs w:val="21"/>
                      <w:highlight w:val="none"/>
                    </w:rPr>
                  </w:pPr>
                </w:p>
              </w:tc>
              <w:tc>
                <w:tcPr>
                  <w:tcW w:w="733" w:type="dxa"/>
                  <w:vMerge w:val="continue"/>
                  <w:vAlign w:val="center"/>
                </w:tcPr>
                <w:p>
                  <w:pPr>
                    <w:pStyle w:val="37"/>
                    <w:rPr>
                      <w:rFonts w:hint="default"/>
                      <w:color w:val="auto"/>
                      <w:sz w:val="21"/>
                      <w:szCs w:val="21"/>
                      <w:highlight w:val="none"/>
                    </w:rPr>
                  </w:pPr>
                </w:p>
              </w:tc>
              <w:tc>
                <w:tcPr>
                  <w:tcW w:w="1117" w:type="dxa"/>
                  <w:vMerge w:val="continue"/>
                  <w:vAlign w:val="center"/>
                </w:tcPr>
                <w:p>
                  <w:pPr>
                    <w:pStyle w:val="37"/>
                    <w:rPr>
                      <w:rFonts w:hint="default"/>
                      <w:color w:val="auto"/>
                      <w:sz w:val="21"/>
                      <w:szCs w:val="21"/>
                      <w:highlight w:val="none"/>
                    </w:rPr>
                  </w:pPr>
                </w:p>
              </w:tc>
              <w:tc>
                <w:tcPr>
                  <w:tcW w:w="1100" w:type="dxa"/>
                  <w:vAlign w:val="center"/>
                </w:tcPr>
                <w:p>
                  <w:pPr>
                    <w:pStyle w:val="37"/>
                    <w:rPr>
                      <w:rFonts w:hint="default"/>
                      <w:color w:val="auto"/>
                      <w:sz w:val="21"/>
                      <w:szCs w:val="21"/>
                      <w:highlight w:val="none"/>
                    </w:rPr>
                  </w:pPr>
                  <w:r>
                    <w:rPr>
                      <w:color w:val="auto"/>
                      <w:sz w:val="21"/>
                      <w:szCs w:val="21"/>
                      <w:highlight w:val="none"/>
                    </w:rPr>
                    <w:t>核算方法</w:t>
                  </w:r>
                </w:p>
              </w:tc>
              <w:tc>
                <w:tcPr>
                  <w:tcW w:w="1000" w:type="dxa"/>
                  <w:vAlign w:val="center"/>
                </w:tcPr>
                <w:p>
                  <w:pPr>
                    <w:pStyle w:val="37"/>
                    <w:rPr>
                      <w:rFonts w:hint="default"/>
                      <w:color w:val="auto"/>
                      <w:sz w:val="21"/>
                      <w:szCs w:val="21"/>
                      <w:highlight w:val="none"/>
                    </w:rPr>
                  </w:pPr>
                  <w:r>
                    <w:rPr>
                      <w:color w:val="auto"/>
                      <w:sz w:val="21"/>
                      <w:szCs w:val="21"/>
                      <w:highlight w:val="none"/>
                    </w:rPr>
                    <w:t>废水量</w:t>
                  </w:r>
                  <w:r>
                    <w:rPr>
                      <w:rFonts w:hint="default" w:ascii="Times New Roman" w:hAnsi="Times New Roman"/>
                      <w:color w:val="auto"/>
                      <w:sz w:val="21"/>
                      <w:szCs w:val="21"/>
                      <w:highlight w:val="none"/>
                    </w:rPr>
                    <w:t>（m</w:t>
                  </w:r>
                  <w:r>
                    <w:rPr>
                      <w:rFonts w:hint="default" w:ascii="Times New Roman" w:hAnsi="Times New Roman"/>
                      <w:color w:val="auto"/>
                      <w:sz w:val="21"/>
                      <w:szCs w:val="21"/>
                      <w:highlight w:val="none"/>
                      <w:vertAlign w:val="superscript"/>
                    </w:rPr>
                    <w:t>3</w:t>
                  </w:r>
                  <w:r>
                    <w:rPr>
                      <w:rFonts w:hint="default" w:ascii="Times New Roman" w:hAnsi="Times New Roman"/>
                      <w:color w:val="auto"/>
                      <w:sz w:val="21"/>
                      <w:szCs w:val="21"/>
                      <w:highlight w:val="none"/>
                    </w:rPr>
                    <w:t>/h）</w:t>
                  </w:r>
                </w:p>
              </w:tc>
              <w:tc>
                <w:tcPr>
                  <w:tcW w:w="1050" w:type="dxa"/>
                  <w:vAlign w:val="center"/>
                </w:tcPr>
                <w:p>
                  <w:pPr>
                    <w:pStyle w:val="37"/>
                    <w:rPr>
                      <w:rFonts w:hint="default"/>
                      <w:color w:val="auto"/>
                      <w:sz w:val="21"/>
                      <w:szCs w:val="21"/>
                      <w:highlight w:val="none"/>
                    </w:rPr>
                  </w:pPr>
                  <w:r>
                    <w:rPr>
                      <w:color w:val="auto"/>
                      <w:sz w:val="21"/>
                      <w:szCs w:val="21"/>
                      <w:highlight w:val="none"/>
                    </w:rPr>
                    <w:t>浓度（</w:t>
                  </w:r>
                  <w:r>
                    <w:rPr>
                      <w:rFonts w:hint="default" w:ascii="Times New Roman" w:hAnsi="Times New Roman"/>
                      <w:color w:val="auto"/>
                      <w:sz w:val="21"/>
                      <w:szCs w:val="21"/>
                      <w:highlight w:val="none"/>
                    </w:rPr>
                    <w:t>mg/L</w:t>
                  </w:r>
                  <w:r>
                    <w:rPr>
                      <w:color w:val="auto"/>
                      <w:sz w:val="21"/>
                      <w:szCs w:val="21"/>
                      <w:highlight w:val="none"/>
                    </w:rPr>
                    <w:t>）</w:t>
                  </w:r>
                </w:p>
              </w:tc>
              <w:tc>
                <w:tcPr>
                  <w:tcW w:w="768" w:type="dxa"/>
                  <w:vAlign w:val="center"/>
                </w:tcPr>
                <w:p>
                  <w:pPr>
                    <w:pStyle w:val="37"/>
                    <w:rPr>
                      <w:rFonts w:hint="default"/>
                      <w:color w:val="auto"/>
                      <w:sz w:val="21"/>
                      <w:szCs w:val="21"/>
                      <w:highlight w:val="none"/>
                    </w:rPr>
                  </w:pPr>
                  <w:r>
                    <w:rPr>
                      <w:color w:val="auto"/>
                      <w:sz w:val="21"/>
                      <w:szCs w:val="21"/>
                      <w:highlight w:val="none"/>
                    </w:rPr>
                    <w:t>产生量（</w:t>
                  </w:r>
                  <w:r>
                    <w:rPr>
                      <w:rFonts w:hint="default" w:ascii="Times New Roman" w:hAnsi="Times New Roman"/>
                      <w:color w:val="auto"/>
                      <w:sz w:val="21"/>
                      <w:szCs w:val="21"/>
                      <w:highlight w:val="none"/>
                    </w:rPr>
                    <w:t>t/a</w:t>
                  </w:r>
                  <w:r>
                    <w:rPr>
                      <w:color w:val="auto"/>
                      <w:sz w:val="21"/>
                      <w:szCs w:val="21"/>
                      <w:highlight w:val="none"/>
                    </w:rPr>
                    <w:t>）</w:t>
                  </w:r>
                </w:p>
              </w:tc>
              <w:tc>
                <w:tcPr>
                  <w:tcW w:w="907" w:type="dxa"/>
                  <w:vAlign w:val="center"/>
                </w:tcPr>
                <w:p>
                  <w:pPr>
                    <w:pStyle w:val="37"/>
                    <w:rPr>
                      <w:rFonts w:hint="default"/>
                      <w:color w:val="auto"/>
                      <w:sz w:val="21"/>
                      <w:szCs w:val="21"/>
                      <w:highlight w:val="none"/>
                    </w:rPr>
                  </w:pPr>
                  <w:r>
                    <w:rPr>
                      <w:color w:val="auto"/>
                      <w:sz w:val="21"/>
                      <w:szCs w:val="21"/>
                      <w:highlight w:val="none"/>
                    </w:rPr>
                    <w:t>工艺</w:t>
                  </w:r>
                </w:p>
              </w:tc>
              <w:tc>
                <w:tcPr>
                  <w:tcW w:w="907" w:type="dxa"/>
                  <w:vAlign w:val="center"/>
                </w:tcPr>
                <w:p>
                  <w:pPr>
                    <w:pStyle w:val="37"/>
                    <w:rPr>
                      <w:rFonts w:hint="default"/>
                      <w:color w:val="auto"/>
                      <w:sz w:val="21"/>
                      <w:szCs w:val="21"/>
                      <w:highlight w:val="none"/>
                    </w:rPr>
                  </w:pPr>
                  <w:r>
                    <w:rPr>
                      <w:color w:val="auto"/>
                      <w:sz w:val="21"/>
                      <w:szCs w:val="21"/>
                      <w:highlight w:val="none"/>
                    </w:rPr>
                    <w:t>效率/</w:t>
                  </w:r>
                  <w:r>
                    <w:rPr>
                      <w:rFonts w:hint="default" w:ascii="Times New Roman" w:hAnsi="Times New Roman"/>
                      <w:color w:val="auto"/>
                      <w:sz w:val="21"/>
                      <w:szCs w:val="21"/>
                      <w:highlight w:val="none"/>
                    </w:rPr>
                    <w:t>%</w:t>
                  </w:r>
                </w:p>
              </w:tc>
              <w:tc>
                <w:tcPr>
                  <w:tcW w:w="785" w:type="dxa"/>
                  <w:vAlign w:val="center"/>
                </w:tcPr>
                <w:p>
                  <w:pPr>
                    <w:pStyle w:val="37"/>
                    <w:rPr>
                      <w:rFonts w:hint="default"/>
                      <w:color w:val="auto"/>
                      <w:sz w:val="21"/>
                      <w:szCs w:val="21"/>
                      <w:highlight w:val="none"/>
                    </w:rPr>
                  </w:pPr>
                  <w:r>
                    <w:rPr>
                      <w:color w:val="auto"/>
                      <w:sz w:val="21"/>
                      <w:szCs w:val="21"/>
                      <w:highlight w:val="none"/>
                    </w:rPr>
                    <w:t>核算方法</w:t>
                  </w:r>
                </w:p>
              </w:tc>
              <w:tc>
                <w:tcPr>
                  <w:tcW w:w="1133" w:type="dxa"/>
                  <w:vAlign w:val="center"/>
                </w:tcPr>
                <w:p>
                  <w:pPr>
                    <w:pStyle w:val="37"/>
                    <w:rPr>
                      <w:rFonts w:hint="default"/>
                      <w:color w:val="auto"/>
                      <w:sz w:val="21"/>
                      <w:szCs w:val="21"/>
                      <w:highlight w:val="none"/>
                    </w:rPr>
                  </w:pPr>
                  <w:r>
                    <w:rPr>
                      <w:color w:val="auto"/>
                      <w:sz w:val="21"/>
                      <w:szCs w:val="21"/>
                      <w:highlight w:val="none"/>
                    </w:rPr>
                    <w:t>废水量</w:t>
                  </w:r>
                  <w:r>
                    <w:rPr>
                      <w:rFonts w:hint="default" w:ascii="Times New Roman" w:hAnsi="Times New Roman"/>
                      <w:color w:val="auto"/>
                      <w:sz w:val="21"/>
                      <w:szCs w:val="21"/>
                      <w:highlight w:val="none"/>
                    </w:rPr>
                    <w:t>（m</w:t>
                  </w:r>
                  <w:r>
                    <w:rPr>
                      <w:rFonts w:hint="default" w:ascii="Times New Roman" w:hAnsi="Times New Roman"/>
                      <w:color w:val="auto"/>
                      <w:sz w:val="21"/>
                      <w:szCs w:val="21"/>
                      <w:highlight w:val="none"/>
                      <w:vertAlign w:val="superscript"/>
                    </w:rPr>
                    <w:t>3</w:t>
                  </w:r>
                  <w:r>
                    <w:rPr>
                      <w:rFonts w:hint="default" w:ascii="Times New Roman" w:hAnsi="Times New Roman"/>
                      <w:color w:val="auto"/>
                      <w:sz w:val="21"/>
                      <w:szCs w:val="21"/>
                      <w:highlight w:val="none"/>
                    </w:rPr>
                    <w:t>/h）</w:t>
                  </w:r>
                </w:p>
              </w:tc>
              <w:tc>
                <w:tcPr>
                  <w:tcW w:w="1067" w:type="dxa"/>
                  <w:vAlign w:val="center"/>
                </w:tcPr>
                <w:p>
                  <w:pPr>
                    <w:pStyle w:val="37"/>
                    <w:rPr>
                      <w:rFonts w:hint="default"/>
                      <w:color w:val="auto"/>
                      <w:sz w:val="21"/>
                      <w:szCs w:val="21"/>
                      <w:highlight w:val="none"/>
                    </w:rPr>
                  </w:pPr>
                  <w:r>
                    <w:rPr>
                      <w:color w:val="auto"/>
                      <w:sz w:val="21"/>
                      <w:szCs w:val="21"/>
                      <w:highlight w:val="none"/>
                    </w:rPr>
                    <w:t>浓度（</w:t>
                  </w:r>
                  <w:r>
                    <w:rPr>
                      <w:rFonts w:hint="default" w:ascii="Times New Roman" w:hAnsi="Times New Roman"/>
                      <w:color w:val="auto"/>
                      <w:sz w:val="21"/>
                      <w:szCs w:val="21"/>
                      <w:highlight w:val="none"/>
                    </w:rPr>
                    <w:t>mg/L</w:t>
                  </w:r>
                  <w:r>
                    <w:rPr>
                      <w:color w:val="auto"/>
                      <w:sz w:val="21"/>
                      <w:szCs w:val="21"/>
                      <w:highlight w:val="none"/>
                    </w:rPr>
                    <w:t>）</w:t>
                  </w:r>
                </w:p>
              </w:tc>
              <w:tc>
                <w:tcPr>
                  <w:tcW w:w="766" w:type="dxa"/>
                  <w:vAlign w:val="center"/>
                </w:tcPr>
                <w:p>
                  <w:pPr>
                    <w:pStyle w:val="37"/>
                    <w:rPr>
                      <w:rFonts w:hint="default"/>
                      <w:color w:val="auto"/>
                      <w:sz w:val="21"/>
                      <w:szCs w:val="21"/>
                      <w:highlight w:val="none"/>
                    </w:rPr>
                  </w:pPr>
                  <w:r>
                    <w:rPr>
                      <w:color w:val="auto"/>
                      <w:sz w:val="21"/>
                      <w:szCs w:val="21"/>
                      <w:highlight w:val="none"/>
                    </w:rPr>
                    <w:t>纳管量（</w:t>
                  </w:r>
                  <w:r>
                    <w:rPr>
                      <w:rFonts w:hint="default" w:ascii="Times New Roman" w:hAnsi="Times New Roman"/>
                      <w:color w:val="auto"/>
                      <w:sz w:val="21"/>
                      <w:szCs w:val="21"/>
                      <w:highlight w:val="none"/>
                    </w:rPr>
                    <w:t>t/a</w:t>
                  </w:r>
                  <w:r>
                    <w:rPr>
                      <w:color w:val="auto"/>
                      <w:sz w:val="21"/>
                      <w:szCs w:val="21"/>
                      <w:highlight w:val="none"/>
                    </w:rPr>
                    <w:t>）</w:t>
                  </w:r>
                </w:p>
              </w:tc>
              <w:tc>
                <w:tcPr>
                  <w:tcW w:w="788" w:type="dxa"/>
                  <w:vMerge w:val="continue"/>
                  <w:vAlign w:val="center"/>
                </w:tcPr>
                <w:p>
                  <w:pPr>
                    <w:pStyle w:val="37"/>
                    <w:rPr>
                      <w:rFonts w:hint="default"/>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8" w:type="dxa"/>
                  <w:vMerge w:val="restart"/>
                  <w:vAlign w:val="center"/>
                </w:tcPr>
                <w:p>
                  <w:pPr>
                    <w:pStyle w:val="37"/>
                    <w:rPr>
                      <w:rFonts w:hint="default"/>
                      <w:color w:val="auto"/>
                      <w:sz w:val="21"/>
                      <w:szCs w:val="21"/>
                      <w:highlight w:val="none"/>
                    </w:rPr>
                  </w:pPr>
                  <w:r>
                    <w:rPr>
                      <w:color w:val="auto"/>
                      <w:sz w:val="21"/>
                      <w:szCs w:val="21"/>
                      <w:highlight w:val="none"/>
                    </w:rPr>
                    <w:t>员工生活</w:t>
                  </w:r>
                </w:p>
              </w:tc>
              <w:tc>
                <w:tcPr>
                  <w:tcW w:w="767" w:type="dxa"/>
                  <w:vMerge w:val="restart"/>
                  <w:vAlign w:val="center"/>
                </w:tcPr>
                <w:p>
                  <w:pPr>
                    <w:pStyle w:val="37"/>
                    <w:rPr>
                      <w:rFonts w:hint="default"/>
                      <w:color w:val="auto"/>
                      <w:sz w:val="21"/>
                      <w:szCs w:val="21"/>
                      <w:highlight w:val="none"/>
                    </w:rPr>
                  </w:pPr>
                  <w:r>
                    <w:rPr>
                      <w:color w:val="auto"/>
                      <w:sz w:val="21"/>
                      <w:szCs w:val="21"/>
                      <w:highlight w:val="none"/>
                    </w:rPr>
                    <w:t>/</w:t>
                  </w:r>
                </w:p>
              </w:tc>
              <w:tc>
                <w:tcPr>
                  <w:tcW w:w="733" w:type="dxa"/>
                  <w:vMerge w:val="restart"/>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生活污水</w:t>
                  </w:r>
                </w:p>
              </w:tc>
              <w:tc>
                <w:tcPr>
                  <w:tcW w:w="1117"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COD</w:t>
                  </w:r>
                  <w:r>
                    <w:rPr>
                      <w:rFonts w:hint="eastAsia"/>
                      <w:bCs/>
                      <w:color w:val="auto"/>
                      <w:kern w:val="0"/>
                      <w:sz w:val="21"/>
                      <w:szCs w:val="21"/>
                      <w:highlight w:val="none"/>
                      <w:vertAlign w:val="subscript"/>
                    </w:rPr>
                    <w:t>Cr</w:t>
                  </w:r>
                </w:p>
              </w:tc>
              <w:tc>
                <w:tcPr>
                  <w:tcW w:w="1100" w:type="dxa"/>
                  <w:vMerge w:val="restart"/>
                  <w:vAlign w:val="center"/>
                </w:tcPr>
                <w:p>
                  <w:pPr>
                    <w:pStyle w:val="37"/>
                    <w:rPr>
                      <w:rFonts w:hint="default"/>
                      <w:color w:val="auto"/>
                      <w:sz w:val="21"/>
                      <w:szCs w:val="21"/>
                      <w:highlight w:val="none"/>
                    </w:rPr>
                  </w:pPr>
                  <w:r>
                    <w:rPr>
                      <w:color w:val="auto"/>
                      <w:sz w:val="21"/>
                      <w:szCs w:val="21"/>
                      <w:highlight w:val="none"/>
                    </w:rPr>
                    <w:t>类比法</w:t>
                  </w:r>
                </w:p>
              </w:tc>
              <w:tc>
                <w:tcPr>
                  <w:tcW w:w="1000" w:type="dxa"/>
                  <w:vMerge w:val="restart"/>
                  <w:vAlign w:val="center"/>
                </w:tcPr>
                <w:p>
                  <w:pPr>
                    <w:pStyle w:val="37"/>
                    <w:rPr>
                      <w:rFonts w:hint="default"/>
                      <w:color w:val="auto"/>
                      <w:sz w:val="21"/>
                      <w:szCs w:val="21"/>
                      <w:highlight w:val="none"/>
                    </w:rPr>
                  </w:pPr>
                  <w:r>
                    <w:rPr>
                      <w:rFonts w:ascii="Times New Roman" w:hAnsi="Times New Roman"/>
                      <w:color w:val="auto"/>
                      <w:sz w:val="21"/>
                      <w:szCs w:val="21"/>
                      <w:highlight w:val="none"/>
                    </w:rPr>
                    <w:t>0.05</w:t>
                  </w:r>
                </w:p>
              </w:tc>
              <w:tc>
                <w:tcPr>
                  <w:tcW w:w="1050" w:type="dxa"/>
                  <w:vAlign w:val="center"/>
                </w:tcPr>
                <w:p>
                  <w:pPr>
                    <w:pStyle w:val="37"/>
                    <w:rPr>
                      <w:rFonts w:hint="default" w:ascii="Times New Roman" w:hAnsi="Times New Roman"/>
                      <w:color w:val="auto"/>
                      <w:sz w:val="21"/>
                      <w:szCs w:val="21"/>
                      <w:highlight w:val="none"/>
                    </w:rPr>
                  </w:pPr>
                  <w:r>
                    <w:rPr>
                      <w:rFonts w:ascii="Times New Roman" w:hAnsi="Times New Roman"/>
                      <w:color w:val="auto"/>
                      <w:sz w:val="21"/>
                      <w:szCs w:val="21"/>
                      <w:highlight w:val="none"/>
                    </w:rPr>
                    <w:t>350</w:t>
                  </w:r>
                </w:p>
              </w:tc>
              <w:tc>
                <w:tcPr>
                  <w:tcW w:w="768" w:type="dxa"/>
                  <w:vAlign w:val="center"/>
                </w:tcPr>
                <w:p>
                  <w:pPr>
                    <w:pStyle w:val="37"/>
                    <w:rPr>
                      <w:rFonts w:hint="default" w:ascii="Times New Roman" w:hAnsi="Times New Roman"/>
                      <w:color w:val="auto"/>
                      <w:sz w:val="21"/>
                      <w:szCs w:val="21"/>
                      <w:highlight w:val="none"/>
                    </w:rPr>
                  </w:pPr>
                  <w:r>
                    <w:rPr>
                      <w:rFonts w:ascii="Times New Roman" w:hAnsi="Times New Roman"/>
                      <w:color w:val="auto"/>
                      <w:sz w:val="21"/>
                      <w:szCs w:val="21"/>
                      <w:highlight w:val="none"/>
                    </w:rPr>
                    <w:t>0.042</w:t>
                  </w:r>
                </w:p>
              </w:tc>
              <w:tc>
                <w:tcPr>
                  <w:tcW w:w="907" w:type="dxa"/>
                  <w:vMerge w:val="restart"/>
                  <w:vAlign w:val="center"/>
                </w:tcPr>
                <w:p>
                  <w:pPr>
                    <w:pStyle w:val="37"/>
                    <w:rPr>
                      <w:rFonts w:hint="default"/>
                      <w:color w:val="auto"/>
                      <w:sz w:val="21"/>
                      <w:szCs w:val="21"/>
                      <w:highlight w:val="none"/>
                    </w:rPr>
                  </w:pPr>
                  <w:r>
                    <w:rPr>
                      <w:color w:val="auto"/>
                      <w:sz w:val="21"/>
                      <w:szCs w:val="21"/>
                      <w:highlight w:val="none"/>
                    </w:rPr>
                    <w:t>化粪池</w:t>
                  </w:r>
                </w:p>
              </w:tc>
              <w:tc>
                <w:tcPr>
                  <w:tcW w:w="907" w:type="dxa"/>
                  <w:vAlign w:val="center"/>
                </w:tcPr>
                <w:p>
                  <w:pPr>
                    <w:pStyle w:val="37"/>
                    <w:rPr>
                      <w:rFonts w:hint="default"/>
                      <w:color w:val="auto"/>
                      <w:sz w:val="21"/>
                      <w:szCs w:val="21"/>
                      <w:highlight w:val="none"/>
                    </w:rPr>
                  </w:pPr>
                  <w:r>
                    <w:rPr>
                      <w:color w:val="auto"/>
                      <w:sz w:val="21"/>
                      <w:szCs w:val="21"/>
                      <w:highlight w:val="none"/>
                    </w:rPr>
                    <w:t>/</w:t>
                  </w:r>
                </w:p>
              </w:tc>
              <w:tc>
                <w:tcPr>
                  <w:tcW w:w="785" w:type="dxa"/>
                  <w:vMerge w:val="restart"/>
                  <w:vAlign w:val="center"/>
                </w:tcPr>
                <w:p>
                  <w:pPr>
                    <w:pStyle w:val="37"/>
                    <w:rPr>
                      <w:rFonts w:hint="default"/>
                      <w:color w:val="auto"/>
                      <w:sz w:val="21"/>
                      <w:szCs w:val="21"/>
                      <w:highlight w:val="none"/>
                    </w:rPr>
                  </w:pPr>
                  <w:r>
                    <w:rPr>
                      <w:color w:val="auto"/>
                      <w:sz w:val="21"/>
                      <w:szCs w:val="21"/>
                      <w:highlight w:val="none"/>
                    </w:rPr>
                    <w:t>类比法</w:t>
                  </w:r>
                </w:p>
              </w:tc>
              <w:tc>
                <w:tcPr>
                  <w:tcW w:w="1133" w:type="dxa"/>
                  <w:vMerge w:val="restart"/>
                  <w:vAlign w:val="center"/>
                </w:tcPr>
                <w:p>
                  <w:pPr>
                    <w:pStyle w:val="37"/>
                    <w:rPr>
                      <w:rFonts w:hint="default"/>
                      <w:color w:val="auto"/>
                      <w:sz w:val="21"/>
                      <w:szCs w:val="21"/>
                      <w:highlight w:val="none"/>
                    </w:rPr>
                  </w:pPr>
                  <w:r>
                    <w:rPr>
                      <w:rFonts w:ascii="Times New Roman" w:hAnsi="Times New Roman"/>
                      <w:color w:val="auto"/>
                      <w:sz w:val="21"/>
                      <w:szCs w:val="21"/>
                      <w:highlight w:val="none"/>
                    </w:rPr>
                    <w:t>0.05</w:t>
                  </w:r>
                </w:p>
              </w:tc>
              <w:tc>
                <w:tcPr>
                  <w:tcW w:w="1067" w:type="dxa"/>
                  <w:vAlign w:val="center"/>
                </w:tcPr>
                <w:p>
                  <w:pPr>
                    <w:pStyle w:val="37"/>
                    <w:rPr>
                      <w:rFonts w:hint="default" w:ascii="Times New Roman" w:hAnsi="Times New Roman"/>
                      <w:color w:val="auto"/>
                      <w:sz w:val="21"/>
                      <w:szCs w:val="21"/>
                      <w:highlight w:val="none"/>
                    </w:rPr>
                  </w:pPr>
                  <w:r>
                    <w:rPr>
                      <w:rFonts w:ascii="Times New Roman" w:hAnsi="Times New Roman"/>
                      <w:color w:val="auto"/>
                      <w:sz w:val="21"/>
                      <w:szCs w:val="21"/>
                      <w:highlight w:val="none"/>
                    </w:rPr>
                    <w:t>300</w:t>
                  </w:r>
                </w:p>
              </w:tc>
              <w:tc>
                <w:tcPr>
                  <w:tcW w:w="766" w:type="dxa"/>
                  <w:vAlign w:val="center"/>
                </w:tcPr>
                <w:p>
                  <w:pPr>
                    <w:pStyle w:val="37"/>
                    <w:rPr>
                      <w:rFonts w:hint="default" w:ascii="Times New Roman" w:hAnsi="Times New Roman"/>
                      <w:color w:val="auto"/>
                      <w:sz w:val="21"/>
                      <w:szCs w:val="21"/>
                      <w:highlight w:val="none"/>
                    </w:rPr>
                  </w:pPr>
                  <w:r>
                    <w:rPr>
                      <w:rFonts w:ascii="Times New Roman" w:hAnsi="Times New Roman"/>
                      <w:color w:val="auto"/>
                      <w:sz w:val="21"/>
                      <w:szCs w:val="21"/>
                      <w:highlight w:val="none"/>
                    </w:rPr>
                    <w:t>0.036</w:t>
                  </w:r>
                </w:p>
              </w:tc>
              <w:tc>
                <w:tcPr>
                  <w:tcW w:w="788" w:type="dxa"/>
                  <w:vMerge w:val="restart"/>
                  <w:vAlign w:val="center"/>
                </w:tcPr>
                <w:p>
                  <w:pPr>
                    <w:pStyle w:val="37"/>
                    <w:rPr>
                      <w:rFonts w:hint="default"/>
                      <w:color w:val="auto"/>
                      <w:sz w:val="21"/>
                      <w:szCs w:val="21"/>
                      <w:highlight w:val="none"/>
                    </w:rPr>
                  </w:pPr>
                  <w:r>
                    <w:rPr>
                      <w:rFonts w:ascii="Times New Roman" w:hAnsi="Times New Roman"/>
                      <w:color w:val="auto"/>
                      <w:sz w:val="21"/>
                      <w:szCs w:val="21"/>
                      <w:highlight w:val="none"/>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8" w:type="dxa"/>
                  <w:vMerge w:val="continue"/>
                  <w:vAlign w:val="center"/>
                </w:tcPr>
                <w:p>
                  <w:pPr>
                    <w:pStyle w:val="37"/>
                    <w:rPr>
                      <w:rFonts w:hint="default"/>
                      <w:color w:val="auto"/>
                      <w:sz w:val="21"/>
                      <w:szCs w:val="21"/>
                      <w:highlight w:val="none"/>
                    </w:rPr>
                  </w:pPr>
                </w:p>
              </w:tc>
              <w:tc>
                <w:tcPr>
                  <w:tcW w:w="767" w:type="dxa"/>
                  <w:vMerge w:val="continue"/>
                  <w:vAlign w:val="center"/>
                </w:tcPr>
                <w:p>
                  <w:pPr>
                    <w:pStyle w:val="37"/>
                    <w:rPr>
                      <w:rFonts w:hint="default"/>
                      <w:color w:val="auto"/>
                      <w:sz w:val="21"/>
                      <w:szCs w:val="21"/>
                      <w:highlight w:val="none"/>
                    </w:rPr>
                  </w:pPr>
                </w:p>
              </w:tc>
              <w:tc>
                <w:tcPr>
                  <w:tcW w:w="733" w:type="dxa"/>
                  <w:vMerge w:val="continue"/>
                  <w:vAlign w:val="center"/>
                </w:tcPr>
                <w:p>
                  <w:pPr>
                    <w:widowControl/>
                    <w:spacing w:line="240" w:lineRule="auto"/>
                    <w:ind w:firstLine="0" w:firstLineChars="0"/>
                    <w:jc w:val="center"/>
                    <w:textAlignment w:val="center"/>
                    <w:rPr>
                      <w:bCs/>
                      <w:color w:val="auto"/>
                      <w:sz w:val="21"/>
                      <w:szCs w:val="21"/>
                      <w:highlight w:val="none"/>
                    </w:rPr>
                  </w:pPr>
                </w:p>
              </w:tc>
              <w:tc>
                <w:tcPr>
                  <w:tcW w:w="1117"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NH</w:t>
                  </w:r>
                  <w:r>
                    <w:rPr>
                      <w:rStyle w:val="49"/>
                      <w:bCs/>
                      <w:color w:val="auto"/>
                      <w:sz w:val="21"/>
                      <w:szCs w:val="21"/>
                      <w:highlight w:val="none"/>
                    </w:rPr>
                    <w:t>3</w:t>
                  </w:r>
                  <w:r>
                    <w:rPr>
                      <w:rStyle w:val="50"/>
                      <w:bCs/>
                      <w:color w:val="auto"/>
                      <w:sz w:val="21"/>
                      <w:szCs w:val="21"/>
                      <w:highlight w:val="none"/>
                    </w:rPr>
                    <w:t>-N</w:t>
                  </w:r>
                </w:p>
              </w:tc>
              <w:tc>
                <w:tcPr>
                  <w:tcW w:w="1100" w:type="dxa"/>
                  <w:vMerge w:val="continue"/>
                  <w:vAlign w:val="center"/>
                </w:tcPr>
                <w:p>
                  <w:pPr>
                    <w:pStyle w:val="37"/>
                    <w:rPr>
                      <w:rFonts w:hint="default"/>
                      <w:color w:val="auto"/>
                      <w:sz w:val="21"/>
                      <w:szCs w:val="21"/>
                      <w:highlight w:val="none"/>
                    </w:rPr>
                  </w:pPr>
                </w:p>
              </w:tc>
              <w:tc>
                <w:tcPr>
                  <w:tcW w:w="1000" w:type="dxa"/>
                  <w:vMerge w:val="continue"/>
                  <w:vAlign w:val="center"/>
                </w:tcPr>
                <w:p>
                  <w:pPr>
                    <w:pStyle w:val="37"/>
                    <w:rPr>
                      <w:rFonts w:hint="default"/>
                      <w:color w:val="auto"/>
                      <w:sz w:val="21"/>
                      <w:szCs w:val="21"/>
                      <w:highlight w:val="none"/>
                    </w:rPr>
                  </w:pPr>
                </w:p>
              </w:tc>
              <w:tc>
                <w:tcPr>
                  <w:tcW w:w="1050" w:type="dxa"/>
                  <w:vAlign w:val="center"/>
                </w:tcPr>
                <w:p>
                  <w:pPr>
                    <w:pStyle w:val="37"/>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30</w:t>
                  </w:r>
                </w:p>
              </w:tc>
              <w:tc>
                <w:tcPr>
                  <w:tcW w:w="768" w:type="dxa"/>
                  <w:vAlign w:val="center"/>
                </w:tcPr>
                <w:p>
                  <w:pPr>
                    <w:pStyle w:val="37"/>
                    <w:rPr>
                      <w:rFonts w:hint="default" w:ascii="Times New Roman" w:hAnsi="Times New Roman"/>
                      <w:color w:val="auto"/>
                      <w:sz w:val="21"/>
                      <w:szCs w:val="21"/>
                      <w:highlight w:val="none"/>
                    </w:rPr>
                  </w:pPr>
                  <w:r>
                    <w:rPr>
                      <w:rFonts w:ascii="Times New Roman" w:hAnsi="Times New Roman"/>
                      <w:color w:val="auto"/>
                      <w:sz w:val="21"/>
                      <w:szCs w:val="21"/>
                      <w:highlight w:val="none"/>
                    </w:rPr>
                    <w:t>0.004</w:t>
                  </w:r>
                </w:p>
              </w:tc>
              <w:tc>
                <w:tcPr>
                  <w:tcW w:w="907" w:type="dxa"/>
                  <w:vMerge w:val="continue"/>
                  <w:vAlign w:val="center"/>
                </w:tcPr>
                <w:p>
                  <w:pPr>
                    <w:pStyle w:val="37"/>
                    <w:rPr>
                      <w:rFonts w:hint="default"/>
                      <w:color w:val="auto"/>
                      <w:sz w:val="21"/>
                      <w:szCs w:val="21"/>
                      <w:highlight w:val="none"/>
                    </w:rPr>
                  </w:pPr>
                </w:p>
              </w:tc>
              <w:tc>
                <w:tcPr>
                  <w:tcW w:w="907" w:type="dxa"/>
                  <w:vAlign w:val="center"/>
                </w:tcPr>
                <w:p>
                  <w:pPr>
                    <w:pStyle w:val="37"/>
                    <w:rPr>
                      <w:rFonts w:hint="default"/>
                      <w:color w:val="auto"/>
                      <w:sz w:val="21"/>
                      <w:szCs w:val="21"/>
                      <w:highlight w:val="none"/>
                    </w:rPr>
                  </w:pPr>
                  <w:r>
                    <w:rPr>
                      <w:color w:val="auto"/>
                      <w:sz w:val="21"/>
                      <w:szCs w:val="21"/>
                      <w:highlight w:val="none"/>
                    </w:rPr>
                    <w:t>/</w:t>
                  </w:r>
                </w:p>
              </w:tc>
              <w:tc>
                <w:tcPr>
                  <w:tcW w:w="785" w:type="dxa"/>
                  <w:vMerge w:val="continue"/>
                  <w:vAlign w:val="center"/>
                </w:tcPr>
                <w:p>
                  <w:pPr>
                    <w:pStyle w:val="37"/>
                    <w:rPr>
                      <w:rFonts w:hint="default"/>
                      <w:color w:val="auto"/>
                      <w:sz w:val="21"/>
                      <w:szCs w:val="21"/>
                      <w:highlight w:val="none"/>
                    </w:rPr>
                  </w:pPr>
                </w:p>
              </w:tc>
              <w:tc>
                <w:tcPr>
                  <w:tcW w:w="1133" w:type="dxa"/>
                  <w:vMerge w:val="continue"/>
                  <w:vAlign w:val="center"/>
                </w:tcPr>
                <w:p>
                  <w:pPr>
                    <w:pStyle w:val="37"/>
                    <w:rPr>
                      <w:rFonts w:hint="default"/>
                      <w:color w:val="auto"/>
                      <w:sz w:val="21"/>
                      <w:szCs w:val="21"/>
                      <w:highlight w:val="none"/>
                    </w:rPr>
                  </w:pPr>
                </w:p>
              </w:tc>
              <w:tc>
                <w:tcPr>
                  <w:tcW w:w="1067" w:type="dxa"/>
                  <w:vAlign w:val="center"/>
                </w:tcPr>
                <w:p>
                  <w:pPr>
                    <w:pStyle w:val="37"/>
                    <w:rPr>
                      <w:rFonts w:hint="default" w:ascii="Times New Roman" w:hAnsi="Times New Roman"/>
                      <w:color w:val="auto"/>
                      <w:sz w:val="21"/>
                      <w:szCs w:val="21"/>
                      <w:highlight w:val="none"/>
                    </w:rPr>
                  </w:pPr>
                  <w:r>
                    <w:rPr>
                      <w:rFonts w:ascii="Times New Roman" w:hAnsi="Times New Roman"/>
                      <w:color w:val="auto"/>
                      <w:sz w:val="21"/>
                      <w:szCs w:val="21"/>
                      <w:highlight w:val="none"/>
                    </w:rPr>
                    <w:t>30</w:t>
                  </w:r>
                </w:p>
              </w:tc>
              <w:tc>
                <w:tcPr>
                  <w:tcW w:w="766" w:type="dxa"/>
                  <w:vAlign w:val="center"/>
                </w:tcPr>
                <w:p>
                  <w:pPr>
                    <w:pStyle w:val="37"/>
                    <w:rPr>
                      <w:rFonts w:hint="default" w:ascii="Times New Roman" w:hAnsi="Times New Roman"/>
                      <w:color w:val="auto"/>
                      <w:sz w:val="21"/>
                      <w:szCs w:val="21"/>
                      <w:highlight w:val="none"/>
                    </w:rPr>
                  </w:pPr>
                  <w:r>
                    <w:rPr>
                      <w:rFonts w:ascii="Times New Roman" w:hAnsi="Times New Roman"/>
                      <w:color w:val="auto"/>
                      <w:sz w:val="21"/>
                      <w:szCs w:val="21"/>
                      <w:highlight w:val="none"/>
                    </w:rPr>
                    <w:t>0.004</w:t>
                  </w:r>
                </w:p>
              </w:tc>
              <w:tc>
                <w:tcPr>
                  <w:tcW w:w="788" w:type="dxa"/>
                  <w:vMerge w:val="continue"/>
                  <w:vAlign w:val="center"/>
                </w:tcPr>
                <w:p>
                  <w:pPr>
                    <w:pStyle w:val="37"/>
                    <w:rPr>
                      <w:rFonts w:hint="default"/>
                      <w:color w:val="auto"/>
                      <w:sz w:val="21"/>
                      <w:szCs w:val="21"/>
                      <w:highlight w:val="none"/>
                    </w:rPr>
                  </w:pPr>
                </w:p>
              </w:tc>
            </w:tr>
          </w:tbl>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rFonts w:hint="eastAsia"/>
                <w:bCs/>
                <w:color w:val="auto"/>
                <w:szCs w:val="21"/>
                <w:highlight w:val="none"/>
                <w:lang w:eastAsia="zh-CN"/>
              </w:rPr>
            </w:pPr>
          </w:p>
          <w:p>
            <w:pPr>
              <w:spacing w:line="500" w:lineRule="exact"/>
              <w:ind w:firstLine="480"/>
              <w:rPr>
                <w:bCs/>
                <w:snapToGrid w:val="0"/>
                <w:color w:val="auto"/>
                <w:szCs w:val="24"/>
                <w:highlight w:val="none"/>
              </w:rPr>
            </w:pPr>
          </w:p>
        </w:tc>
      </w:tr>
    </w:tbl>
    <w:p>
      <w:pPr>
        <w:ind w:firstLine="0" w:firstLineChars="0"/>
        <w:rPr>
          <w:color w:val="auto"/>
          <w:highlight w:val="none"/>
        </w:rPr>
        <w:sectPr>
          <w:pgSz w:w="16838" w:h="11906" w:orient="landscape"/>
          <w:pgMar w:top="1559" w:right="1559" w:bottom="1559" w:left="1559" w:header="851" w:footer="992" w:gutter="0"/>
          <w:cols w:space="720" w:num="1"/>
          <w:docGrid w:type="lines" w:linePitch="332" w:charSpace="0"/>
        </w:sectPr>
      </w:pPr>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vAlign w:val="top"/>
          </w:tcPr>
          <w:p>
            <w:pPr>
              <w:spacing w:line="500" w:lineRule="exact"/>
              <w:ind w:firstLine="480"/>
              <w:rPr>
                <w:bCs/>
                <w:snapToGrid w:val="0"/>
                <w:color w:val="auto"/>
                <w:szCs w:val="24"/>
                <w:highlight w:val="none"/>
              </w:rPr>
            </w:pPr>
            <w:r>
              <w:rPr>
                <w:rFonts w:hint="eastAsia"/>
                <w:bCs/>
                <w:snapToGrid w:val="0"/>
                <w:color w:val="auto"/>
                <w:szCs w:val="24"/>
                <w:highlight w:val="none"/>
              </w:rPr>
              <w:t>4、措施可行性及影响分析</w:t>
            </w:r>
          </w:p>
          <w:p>
            <w:pPr>
              <w:spacing w:line="500" w:lineRule="exact"/>
              <w:ind w:firstLine="480"/>
              <w:rPr>
                <w:color w:val="auto"/>
                <w:highlight w:val="none"/>
              </w:rPr>
            </w:pPr>
            <w:r>
              <w:rPr>
                <w:color w:val="auto"/>
                <w:highlight w:val="none"/>
              </w:rPr>
              <w:t>（1）污水处理</w:t>
            </w:r>
            <w:r>
              <w:rPr>
                <w:rFonts w:hint="eastAsia"/>
                <w:color w:val="auto"/>
                <w:highlight w:val="none"/>
              </w:rPr>
              <w:t>可行性</w:t>
            </w:r>
            <w:r>
              <w:rPr>
                <w:color w:val="auto"/>
                <w:highlight w:val="none"/>
              </w:rPr>
              <w:t>分析</w:t>
            </w:r>
          </w:p>
          <w:p>
            <w:pPr>
              <w:spacing w:line="500" w:lineRule="exact"/>
              <w:ind w:firstLine="480"/>
              <w:rPr>
                <w:color w:val="auto"/>
                <w:highlight w:val="none"/>
              </w:rPr>
            </w:pPr>
            <w:r>
              <w:rPr>
                <w:rFonts w:hint="eastAsia"/>
                <w:color w:val="auto"/>
                <w:highlight w:val="none"/>
              </w:rPr>
              <w:t>本项目营运期仅排放生活污水，生活污水经化粪池预处理后委托槽罐车集中清运至德清县乾元污水处理有限公司，对照</w:t>
            </w:r>
            <w:r>
              <w:rPr>
                <w:color w:val="auto"/>
                <w:szCs w:val="24"/>
                <w:highlight w:val="none"/>
              </w:rPr>
              <w:t>《排污单位自行监测技术指南总则》（HJ819-2017）</w:t>
            </w:r>
            <w:r>
              <w:rPr>
                <w:rFonts w:hint="eastAsia"/>
                <w:color w:val="auto"/>
                <w:highlight w:val="none"/>
              </w:rPr>
              <w:t>中废水污染防治可行技术参考表，仅生活污水排放的排污单位使用化粪池处理属于可行技术范围内。</w:t>
            </w:r>
          </w:p>
          <w:p>
            <w:pPr>
              <w:spacing w:line="500" w:lineRule="exact"/>
              <w:ind w:firstLine="480"/>
              <w:rPr>
                <w:color w:val="auto"/>
                <w:highlight w:val="none"/>
              </w:rPr>
            </w:pPr>
            <w:r>
              <w:rPr>
                <w:color w:val="auto"/>
                <w:highlight w:val="none"/>
              </w:rPr>
              <w:t>（</w:t>
            </w:r>
            <w:r>
              <w:rPr>
                <w:rFonts w:hint="eastAsia"/>
                <w:color w:val="auto"/>
                <w:highlight w:val="none"/>
              </w:rPr>
              <w:t>2</w:t>
            </w:r>
            <w:r>
              <w:rPr>
                <w:color w:val="auto"/>
                <w:highlight w:val="none"/>
              </w:rPr>
              <w:t>）</w:t>
            </w:r>
            <w:r>
              <w:rPr>
                <w:rFonts w:hint="eastAsia"/>
                <w:color w:val="auto"/>
                <w:highlight w:val="none"/>
              </w:rPr>
              <w:t>纳污</w:t>
            </w:r>
            <w:r>
              <w:rPr>
                <w:color w:val="auto"/>
                <w:highlight w:val="none"/>
              </w:rPr>
              <w:t>可行性分析</w:t>
            </w:r>
          </w:p>
          <w:p>
            <w:pPr>
              <w:spacing w:line="500" w:lineRule="exact"/>
              <w:ind w:firstLine="480"/>
              <w:rPr>
                <w:color w:val="auto"/>
                <w:szCs w:val="22"/>
                <w:highlight w:val="none"/>
              </w:rPr>
            </w:pPr>
            <w:r>
              <w:rPr>
                <w:color w:val="auto"/>
                <w:szCs w:val="24"/>
                <w:highlight w:val="none"/>
              </w:rPr>
              <w:t>德清县</w:t>
            </w:r>
            <w:r>
              <w:rPr>
                <w:rFonts w:hint="eastAsia"/>
                <w:color w:val="auto"/>
                <w:szCs w:val="24"/>
                <w:highlight w:val="none"/>
              </w:rPr>
              <w:t>乾元污水处理</w:t>
            </w:r>
            <w:r>
              <w:rPr>
                <w:color w:val="auto"/>
                <w:szCs w:val="24"/>
                <w:highlight w:val="none"/>
              </w:rPr>
              <w:t>有限公司成立于20</w:t>
            </w:r>
            <w:r>
              <w:rPr>
                <w:rFonts w:hint="eastAsia"/>
                <w:color w:val="auto"/>
                <w:szCs w:val="24"/>
                <w:highlight w:val="none"/>
              </w:rPr>
              <w:t>10</w:t>
            </w:r>
            <w:r>
              <w:rPr>
                <w:color w:val="auto"/>
                <w:szCs w:val="24"/>
                <w:highlight w:val="none"/>
              </w:rPr>
              <w:t>年</w:t>
            </w:r>
            <w:r>
              <w:rPr>
                <w:rFonts w:hint="eastAsia"/>
                <w:color w:val="auto"/>
                <w:szCs w:val="24"/>
                <w:highlight w:val="none"/>
              </w:rPr>
              <w:t>9月26日</w:t>
            </w:r>
            <w:r>
              <w:rPr>
                <w:color w:val="auto"/>
                <w:szCs w:val="24"/>
                <w:highlight w:val="none"/>
              </w:rPr>
              <w:t>，位于德清县</w:t>
            </w:r>
            <w:r>
              <w:rPr>
                <w:rFonts w:hint="eastAsia"/>
                <w:color w:val="auto"/>
                <w:szCs w:val="24"/>
                <w:highlight w:val="none"/>
              </w:rPr>
              <w:t>乾元镇明星村倪家埭</w:t>
            </w:r>
            <w:r>
              <w:rPr>
                <w:color w:val="auto"/>
                <w:szCs w:val="24"/>
                <w:highlight w:val="none"/>
              </w:rPr>
              <w:t>，目前设计处理能力为</w:t>
            </w:r>
            <w:r>
              <w:rPr>
                <w:rFonts w:hint="eastAsia"/>
                <w:color w:val="auto"/>
                <w:szCs w:val="24"/>
                <w:highlight w:val="none"/>
              </w:rPr>
              <w:t>1.8</w:t>
            </w:r>
            <w:r>
              <w:rPr>
                <w:color w:val="auto"/>
                <w:szCs w:val="24"/>
                <w:highlight w:val="none"/>
              </w:rPr>
              <w:t>万m</w:t>
            </w:r>
            <w:r>
              <w:rPr>
                <w:color w:val="auto"/>
                <w:szCs w:val="24"/>
                <w:highlight w:val="none"/>
                <w:vertAlign w:val="superscript"/>
              </w:rPr>
              <w:t>3</w:t>
            </w:r>
            <w:r>
              <w:rPr>
                <w:color w:val="auto"/>
                <w:szCs w:val="24"/>
                <w:highlight w:val="none"/>
              </w:rPr>
              <w:t>/d，现其接纳的废水量约为</w:t>
            </w:r>
            <w:r>
              <w:rPr>
                <w:rFonts w:hint="eastAsia"/>
                <w:color w:val="auto"/>
                <w:szCs w:val="24"/>
                <w:highlight w:val="none"/>
              </w:rPr>
              <w:t>0.6</w:t>
            </w:r>
            <w:r>
              <w:rPr>
                <w:color w:val="auto"/>
                <w:szCs w:val="24"/>
                <w:highlight w:val="none"/>
              </w:rPr>
              <w:t>万t/d，还剩余约</w:t>
            </w:r>
            <w:r>
              <w:rPr>
                <w:rFonts w:hint="eastAsia"/>
                <w:color w:val="auto"/>
                <w:szCs w:val="24"/>
                <w:highlight w:val="none"/>
              </w:rPr>
              <w:t>1.2</w:t>
            </w:r>
            <w:r>
              <w:rPr>
                <w:color w:val="auto"/>
                <w:szCs w:val="24"/>
                <w:highlight w:val="none"/>
              </w:rPr>
              <w:t>万t/d的处理能力。</w:t>
            </w:r>
            <w:r>
              <w:rPr>
                <w:color w:val="auto"/>
                <w:szCs w:val="22"/>
                <w:highlight w:val="none"/>
              </w:rPr>
              <w:t>本项目营运期排放的废水水量相对较小（排放量为</w:t>
            </w:r>
            <w:r>
              <w:rPr>
                <w:rFonts w:hint="eastAsia"/>
                <w:color w:val="auto"/>
                <w:szCs w:val="22"/>
                <w:highlight w:val="none"/>
              </w:rPr>
              <w:t>2.72</w:t>
            </w:r>
            <w:r>
              <w:rPr>
                <w:color w:val="auto"/>
                <w:szCs w:val="22"/>
                <w:highlight w:val="none"/>
              </w:rPr>
              <w:t>t/d，占余量的</w:t>
            </w:r>
            <w:r>
              <w:rPr>
                <w:rFonts w:hint="eastAsia"/>
                <w:color w:val="auto"/>
                <w:szCs w:val="22"/>
                <w:highlight w:val="none"/>
              </w:rPr>
              <w:t>0.023</w:t>
            </w:r>
            <w:r>
              <w:rPr>
                <w:color w:val="auto"/>
                <w:szCs w:val="22"/>
                <w:highlight w:val="none"/>
              </w:rPr>
              <w:t>%），污染物成分也比较简单，均为常规污染物，不会对</w:t>
            </w:r>
            <w:r>
              <w:rPr>
                <w:rFonts w:hint="eastAsia"/>
                <w:color w:val="auto"/>
                <w:szCs w:val="22"/>
                <w:highlight w:val="none"/>
              </w:rPr>
              <w:t>其</w:t>
            </w:r>
            <w:r>
              <w:rPr>
                <w:color w:val="auto"/>
                <w:szCs w:val="22"/>
                <w:highlight w:val="none"/>
              </w:rPr>
              <w:t>处理能力和处理效率产生影响</w:t>
            </w:r>
            <w:r>
              <w:rPr>
                <w:rFonts w:hint="eastAsia"/>
                <w:color w:val="auto"/>
                <w:szCs w:val="22"/>
                <w:highlight w:val="none"/>
              </w:rPr>
              <w:t>，</w:t>
            </w:r>
            <w:r>
              <w:rPr>
                <w:color w:val="auto"/>
                <w:szCs w:val="22"/>
                <w:highlight w:val="none"/>
              </w:rPr>
              <w:t>因此所排废水完全可以纳入</w:t>
            </w:r>
            <w:r>
              <w:rPr>
                <w:rFonts w:hint="eastAsia"/>
                <w:color w:val="auto"/>
                <w:szCs w:val="22"/>
                <w:highlight w:val="none"/>
              </w:rPr>
              <w:t>德清县乾元污水处理有限公司</w:t>
            </w:r>
            <w:r>
              <w:rPr>
                <w:color w:val="auto"/>
                <w:szCs w:val="22"/>
                <w:highlight w:val="none"/>
              </w:rPr>
              <w:t>集中处理</w:t>
            </w:r>
            <w:r>
              <w:rPr>
                <w:rFonts w:hint="eastAsia"/>
                <w:color w:val="auto"/>
                <w:szCs w:val="22"/>
                <w:highlight w:val="none"/>
              </w:rPr>
              <w:t>，</w:t>
            </w:r>
            <w:r>
              <w:rPr>
                <w:color w:val="auto"/>
                <w:szCs w:val="22"/>
                <w:highlight w:val="none"/>
              </w:rPr>
              <w:t>对</w:t>
            </w:r>
            <w:r>
              <w:rPr>
                <w:rFonts w:hint="eastAsia"/>
                <w:color w:val="auto"/>
                <w:szCs w:val="22"/>
                <w:highlight w:val="none"/>
              </w:rPr>
              <w:t>龙溪</w:t>
            </w:r>
            <w:r>
              <w:rPr>
                <w:color w:val="auto"/>
                <w:szCs w:val="22"/>
                <w:highlight w:val="none"/>
              </w:rPr>
              <w:t>水质不会产生明显影响。</w:t>
            </w:r>
          </w:p>
          <w:p>
            <w:pPr>
              <w:pStyle w:val="2"/>
              <w:spacing w:line="500" w:lineRule="exact"/>
              <w:ind w:firstLine="480"/>
              <w:rPr>
                <w:bCs/>
                <w:color w:val="auto"/>
                <w:sz w:val="24"/>
                <w:szCs w:val="22"/>
                <w:highlight w:val="none"/>
              </w:rPr>
            </w:pPr>
            <w:r>
              <w:rPr>
                <w:bCs/>
                <w:color w:val="auto"/>
                <w:sz w:val="24"/>
                <w:szCs w:val="22"/>
                <w:highlight w:val="none"/>
              </w:rPr>
              <w:t>本次评价收集</w:t>
            </w:r>
            <w:r>
              <w:rPr>
                <w:color w:val="auto"/>
                <w:sz w:val="24"/>
                <w:highlight w:val="none"/>
              </w:rPr>
              <w:t>浙江省生态环境厅上公布的</w:t>
            </w:r>
            <w:r>
              <w:rPr>
                <w:rFonts w:hint="eastAsia"/>
                <w:color w:val="auto"/>
                <w:sz w:val="24"/>
                <w:szCs w:val="24"/>
                <w:highlight w:val="none"/>
              </w:rPr>
              <w:t>德清县乾元污水处理有限公司</w:t>
            </w:r>
            <w:r>
              <w:rPr>
                <w:color w:val="auto"/>
                <w:sz w:val="24"/>
                <w:highlight w:val="none"/>
              </w:rPr>
              <w:t>20</w:t>
            </w:r>
            <w:r>
              <w:rPr>
                <w:rFonts w:hint="eastAsia"/>
                <w:color w:val="auto"/>
                <w:sz w:val="24"/>
                <w:highlight w:val="none"/>
              </w:rPr>
              <w:t>20</w:t>
            </w:r>
            <w:r>
              <w:rPr>
                <w:color w:val="auto"/>
                <w:sz w:val="24"/>
                <w:highlight w:val="none"/>
              </w:rPr>
              <w:t>年</w:t>
            </w:r>
            <w:r>
              <w:rPr>
                <w:rFonts w:hint="eastAsia"/>
                <w:color w:val="auto"/>
                <w:sz w:val="24"/>
                <w:highlight w:val="none"/>
              </w:rPr>
              <w:t>度</w:t>
            </w:r>
            <w:r>
              <w:rPr>
                <w:color w:val="auto"/>
                <w:sz w:val="24"/>
                <w:highlight w:val="none"/>
              </w:rPr>
              <w:t>的监督性监测结果</w:t>
            </w:r>
            <w:r>
              <w:rPr>
                <w:rFonts w:hint="eastAsia" w:hAnsi="宋体"/>
                <w:color w:val="auto"/>
                <w:sz w:val="24"/>
                <w:highlight w:val="none"/>
              </w:rPr>
              <w:t>，</w:t>
            </w:r>
            <w:r>
              <w:rPr>
                <w:bCs/>
                <w:color w:val="auto"/>
                <w:sz w:val="24"/>
                <w:szCs w:val="22"/>
                <w:highlight w:val="none"/>
              </w:rPr>
              <w:t>具体见表</w:t>
            </w:r>
            <w:r>
              <w:rPr>
                <w:rFonts w:hint="eastAsia"/>
                <w:bCs/>
                <w:color w:val="auto"/>
                <w:sz w:val="24"/>
                <w:szCs w:val="22"/>
                <w:highlight w:val="none"/>
              </w:rPr>
              <w:t>4-11</w:t>
            </w:r>
            <w:r>
              <w:rPr>
                <w:bCs/>
                <w:color w:val="auto"/>
                <w:sz w:val="24"/>
                <w:szCs w:val="22"/>
                <w:highlight w:val="none"/>
              </w:rPr>
              <w:t>。</w:t>
            </w:r>
          </w:p>
          <w:p>
            <w:pPr>
              <w:pStyle w:val="2"/>
              <w:spacing w:line="460" w:lineRule="exact"/>
              <w:ind w:firstLine="0" w:firstLineChars="0"/>
              <w:jc w:val="center"/>
              <w:rPr>
                <w:b/>
                <w:bCs/>
                <w:snapToGrid w:val="0"/>
                <w:color w:val="auto"/>
                <w:sz w:val="21"/>
                <w:szCs w:val="15"/>
                <w:highlight w:val="none"/>
              </w:rPr>
            </w:pPr>
            <w:r>
              <w:rPr>
                <w:b/>
                <w:bCs/>
                <w:snapToGrid w:val="0"/>
                <w:color w:val="auto"/>
                <w:sz w:val="21"/>
                <w:szCs w:val="15"/>
                <w:highlight w:val="none"/>
              </w:rPr>
              <w:t>表</w:t>
            </w:r>
            <w:r>
              <w:rPr>
                <w:rFonts w:hint="eastAsia"/>
                <w:b/>
                <w:bCs/>
                <w:snapToGrid w:val="0"/>
                <w:color w:val="auto"/>
                <w:sz w:val="21"/>
                <w:szCs w:val="15"/>
                <w:highlight w:val="none"/>
              </w:rPr>
              <w:t>4-11</w:t>
            </w:r>
            <w:r>
              <w:rPr>
                <w:b/>
                <w:bCs/>
                <w:snapToGrid w:val="0"/>
                <w:color w:val="auto"/>
                <w:sz w:val="21"/>
                <w:szCs w:val="15"/>
                <w:highlight w:val="none"/>
              </w:rPr>
              <w:t xml:space="preserve">  德清县</w:t>
            </w:r>
            <w:r>
              <w:rPr>
                <w:rFonts w:hint="eastAsia"/>
                <w:b/>
                <w:bCs/>
                <w:snapToGrid w:val="0"/>
                <w:color w:val="auto"/>
                <w:sz w:val="21"/>
                <w:szCs w:val="15"/>
                <w:highlight w:val="none"/>
              </w:rPr>
              <w:t>乾元污水处理有限公司</w:t>
            </w:r>
            <w:r>
              <w:rPr>
                <w:b/>
                <w:bCs/>
                <w:snapToGrid w:val="0"/>
                <w:color w:val="auto"/>
                <w:sz w:val="21"/>
                <w:szCs w:val="15"/>
                <w:highlight w:val="none"/>
              </w:rPr>
              <w:t>20</w:t>
            </w:r>
            <w:r>
              <w:rPr>
                <w:rFonts w:hint="eastAsia"/>
                <w:b/>
                <w:bCs/>
                <w:snapToGrid w:val="0"/>
                <w:color w:val="auto"/>
                <w:sz w:val="21"/>
                <w:szCs w:val="15"/>
                <w:highlight w:val="none"/>
              </w:rPr>
              <w:t>20</w:t>
            </w:r>
            <w:r>
              <w:rPr>
                <w:b/>
                <w:bCs/>
                <w:snapToGrid w:val="0"/>
                <w:color w:val="auto"/>
                <w:sz w:val="21"/>
                <w:szCs w:val="15"/>
                <w:highlight w:val="none"/>
              </w:rPr>
              <w:t>年手工监测结果汇总表</w:t>
            </w:r>
          </w:p>
          <w:tbl>
            <w:tblPr>
              <w:tblStyle w:val="30"/>
              <w:tblW w:w="8504" w:type="dxa"/>
              <w:jc w:val="center"/>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103"/>
              <w:gridCol w:w="1708"/>
              <w:gridCol w:w="1515"/>
              <w:gridCol w:w="1131"/>
              <w:gridCol w:w="1098"/>
              <w:gridCol w:w="961"/>
              <w:gridCol w:w="988"/>
            </w:tblGrid>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监测日期</w:t>
                  </w:r>
                </w:p>
              </w:tc>
              <w:tc>
                <w:tcPr>
                  <w:tcW w:w="2742" w:type="dxa"/>
                  <w:tcBorders>
                    <w:tl2br w:val="nil"/>
                    <w:tr2bl w:val="nil"/>
                  </w:tcBorders>
                  <w:vAlign w:val="center"/>
                </w:tcPr>
                <w:p>
                  <w:pPr>
                    <w:widowControl/>
                    <w:spacing w:line="240" w:lineRule="auto"/>
                    <w:ind w:firstLine="0" w:firstLineChars="0"/>
                    <w:jc w:val="center"/>
                    <w:textAlignment w:val="center"/>
                    <w:rPr>
                      <w:b/>
                      <w:bCs/>
                      <w:color w:val="auto"/>
                      <w:kern w:val="0"/>
                      <w:sz w:val="21"/>
                      <w:szCs w:val="21"/>
                      <w:highlight w:val="none"/>
                    </w:rPr>
                  </w:pPr>
                  <w:r>
                    <w:rPr>
                      <w:rFonts w:hint="eastAsia"/>
                      <w:b/>
                      <w:bCs/>
                      <w:color w:val="auto"/>
                      <w:kern w:val="0"/>
                      <w:sz w:val="21"/>
                      <w:szCs w:val="21"/>
                      <w:highlight w:val="none"/>
                    </w:rPr>
                    <w:t>能够达到</w:t>
                  </w:r>
                  <w:r>
                    <w:rPr>
                      <w:b/>
                      <w:bCs/>
                      <w:color w:val="auto"/>
                      <w:kern w:val="0"/>
                      <w:sz w:val="21"/>
                      <w:szCs w:val="21"/>
                      <w:highlight w:val="none"/>
                    </w:rPr>
                    <w:t>标准名称</w:t>
                  </w:r>
                </w:p>
              </w:tc>
              <w:tc>
                <w:tcPr>
                  <w:tcW w:w="2429"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监测项目</w:t>
                  </w:r>
                </w:p>
              </w:tc>
              <w:tc>
                <w:tcPr>
                  <w:tcW w:w="1808"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排放口浓度</w:t>
                  </w:r>
                </w:p>
              </w:tc>
              <w:tc>
                <w:tcPr>
                  <w:tcW w:w="1754"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标准限值</w:t>
                  </w:r>
                </w:p>
              </w:tc>
              <w:tc>
                <w:tcPr>
                  <w:tcW w:w="1533"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单位</w:t>
                  </w:r>
                </w:p>
              </w:tc>
              <w:tc>
                <w:tcPr>
                  <w:tcW w:w="1576"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是否达标</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restart"/>
                  <w:tcBorders>
                    <w:tl2br w:val="nil"/>
                    <w:tr2bl w:val="nil"/>
                  </w:tcBorders>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20</w:t>
                  </w:r>
                  <w:r>
                    <w:rPr>
                      <w:rFonts w:hint="eastAsia"/>
                      <w:color w:val="auto"/>
                      <w:kern w:val="0"/>
                      <w:sz w:val="21"/>
                      <w:szCs w:val="21"/>
                      <w:highlight w:val="none"/>
                    </w:rPr>
                    <w:t>20</w:t>
                  </w:r>
                  <w:r>
                    <w:rPr>
                      <w:color w:val="auto"/>
                      <w:kern w:val="0"/>
                      <w:sz w:val="21"/>
                      <w:szCs w:val="21"/>
                      <w:highlight w:val="none"/>
                    </w:rPr>
                    <w:t>.</w:t>
                  </w:r>
                  <w:r>
                    <w:rPr>
                      <w:rFonts w:hint="eastAsia"/>
                      <w:color w:val="auto"/>
                      <w:kern w:val="0"/>
                      <w:sz w:val="21"/>
                      <w:szCs w:val="21"/>
                      <w:highlight w:val="none"/>
                    </w:rPr>
                    <w:t>8</w:t>
                  </w:r>
                  <w:r>
                    <w:rPr>
                      <w:color w:val="auto"/>
                      <w:kern w:val="0"/>
                      <w:sz w:val="21"/>
                      <w:szCs w:val="21"/>
                      <w:highlight w:val="none"/>
                    </w:rPr>
                    <w:t>.</w:t>
                  </w:r>
                  <w:r>
                    <w:rPr>
                      <w:rFonts w:hint="eastAsia"/>
                      <w:color w:val="auto"/>
                      <w:kern w:val="0"/>
                      <w:sz w:val="21"/>
                      <w:szCs w:val="21"/>
                      <w:highlight w:val="none"/>
                    </w:rPr>
                    <w:t>26</w:t>
                  </w:r>
                </w:p>
              </w:tc>
              <w:tc>
                <w:tcPr>
                  <w:tcW w:w="2742" w:type="dxa"/>
                  <w:vMerge w:val="restart"/>
                  <w:tcBorders>
                    <w:tl2br w:val="nil"/>
                    <w:tr2bl w:val="nil"/>
                  </w:tcBorders>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《城镇污水处理厂污染物排放标准》</w:t>
                  </w:r>
                  <w:r>
                    <w:rPr>
                      <w:rFonts w:hint="eastAsia"/>
                      <w:color w:val="auto"/>
                      <w:kern w:val="0"/>
                      <w:sz w:val="21"/>
                      <w:szCs w:val="21"/>
                      <w:highlight w:val="none"/>
                    </w:rPr>
                    <w:t>（</w:t>
                  </w:r>
                  <w:r>
                    <w:rPr>
                      <w:color w:val="auto"/>
                      <w:kern w:val="0"/>
                      <w:sz w:val="21"/>
                      <w:szCs w:val="21"/>
                      <w:highlight w:val="none"/>
                    </w:rPr>
                    <w:t>GB18918-2002</w:t>
                  </w:r>
                  <w:r>
                    <w:rPr>
                      <w:rFonts w:hint="eastAsia"/>
                      <w:color w:val="auto"/>
                      <w:kern w:val="0"/>
                      <w:sz w:val="21"/>
                      <w:szCs w:val="21"/>
                      <w:highlight w:val="none"/>
                    </w:rPr>
                    <w:t>）</w:t>
                  </w:r>
                  <w:r>
                    <w:rPr>
                      <w:color w:val="auto"/>
                      <w:kern w:val="0"/>
                      <w:sz w:val="21"/>
                      <w:szCs w:val="21"/>
                      <w:highlight w:val="none"/>
                    </w:rPr>
                    <w:t>一级A标准</w:t>
                  </w: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pH</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6.56</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6-9</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kern w:val="0"/>
                      <w:sz w:val="21"/>
                      <w:szCs w:val="21"/>
                      <w:highlight w:val="none"/>
                    </w:rPr>
                    <w:t>氨氮</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0.34</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kern w:val="0"/>
                      <w:sz w:val="21"/>
                      <w:szCs w:val="21"/>
                      <w:highlight w:val="none"/>
                    </w:rPr>
                    <w:t>化学需氧量</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42</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总氮</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7.28</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总磷</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0.03</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restart"/>
                  <w:tcBorders>
                    <w:tl2br w:val="nil"/>
                    <w:tr2bl w:val="nil"/>
                  </w:tcBorders>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20</w:t>
                  </w:r>
                  <w:r>
                    <w:rPr>
                      <w:rFonts w:hint="eastAsia"/>
                      <w:color w:val="auto"/>
                      <w:kern w:val="0"/>
                      <w:sz w:val="21"/>
                      <w:szCs w:val="21"/>
                      <w:highlight w:val="none"/>
                    </w:rPr>
                    <w:t>20</w:t>
                  </w:r>
                  <w:r>
                    <w:rPr>
                      <w:color w:val="auto"/>
                      <w:kern w:val="0"/>
                      <w:sz w:val="21"/>
                      <w:szCs w:val="21"/>
                      <w:highlight w:val="none"/>
                    </w:rPr>
                    <w:t>.</w:t>
                  </w:r>
                  <w:r>
                    <w:rPr>
                      <w:rFonts w:hint="eastAsia"/>
                      <w:color w:val="auto"/>
                      <w:kern w:val="0"/>
                      <w:sz w:val="21"/>
                      <w:szCs w:val="21"/>
                      <w:highlight w:val="none"/>
                    </w:rPr>
                    <w:t>10.29</w:t>
                  </w:r>
                </w:p>
              </w:tc>
              <w:tc>
                <w:tcPr>
                  <w:tcW w:w="2742" w:type="dxa"/>
                  <w:vMerge w:val="restart"/>
                  <w:tcBorders>
                    <w:tl2br w:val="nil"/>
                    <w:tr2bl w:val="nil"/>
                  </w:tcBorders>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《城镇污水处理厂污染物排放标准》</w:t>
                  </w:r>
                  <w:r>
                    <w:rPr>
                      <w:rFonts w:hint="eastAsia"/>
                      <w:color w:val="auto"/>
                      <w:kern w:val="0"/>
                      <w:sz w:val="21"/>
                      <w:szCs w:val="21"/>
                      <w:highlight w:val="none"/>
                    </w:rPr>
                    <w:t>（</w:t>
                  </w:r>
                  <w:r>
                    <w:rPr>
                      <w:color w:val="auto"/>
                      <w:kern w:val="0"/>
                      <w:sz w:val="21"/>
                      <w:szCs w:val="21"/>
                      <w:highlight w:val="none"/>
                    </w:rPr>
                    <w:t>GB18918-2002</w:t>
                  </w:r>
                  <w:r>
                    <w:rPr>
                      <w:rFonts w:hint="eastAsia"/>
                      <w:color w:val="auto"/>
                      <w:kern w:val="0"/>
                      <w:sz w:val="21"/>
                      <w:szCs w:val="21"/>
                      <w:highlight w:val="none"/>
                    </w:rPr>
                    <w:t>）</w:t>
                  </w:r>
                  <w:r>
                    <w:rPr>
                      <w:color w:val="auto"/>
                      <w:kern w:val="0"/>
                      <w:sz w:val="21"/>
                      <w:szCs w:val="21"/>
                      <w:highlight w:val="none"/>
                    </w:rPr>
                    <w:t>一级A标准</w:t>
                  </w: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pH</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6.24</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6-9</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kern w:val="0"/>
                      <w:sz w:val="21"/>
                      <w:szCs w:val="21"/>
                      <w:highlight w:val="none"/>
                    </w:rPr>
                    <w:t>氨氮</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0.328</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kern w:val="0"/>
                      <w:sz w:val="21"/>
                      <w:szCs w:val="21"/>
                      <w:highlight w:val="none"/>
                    </w:rPr>
                    <w:t>化学需氧量</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总氮</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7.87</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40" w:hRule="atLeast"/>
                <w:jc w:val="center"/>
              </w:trPr>
              <w:tc>
                <w:tcPr>
                  <w:tcW w:w="1764" w:type="dxa"/>
                  <w:vMerge w:val="continue"/>
                  <w:tcBorders>
                    <w:tl2br w:val="nil"/>
                    <w:tr2bl w:val="nil"/>
                  </w:tcBorders>
                </w:tcPr>
                <w:p>
                  <w:pPr>
                    <w:spacing w:line="240" w:lineRule="auto"/>
                    <w:ind w:firstLine="0" w:firstLineChars="0"/>
                    <w:jc w:val="center"/>
                    <w:rPr>
                      <w:color w:val="auto"/>
                      <w:sz w:val="21"/>
                      <w:szCs w:val="21"/>
                      <w:highlight w:val="none"/>
                    </w:rPr>
                  </w:pPr>
                </w:p>
              </w:tc>
              <w:tc>
                <w:tcPr>
                  <w:tcW w:w="2742" w:type="dxa"/>
                  <w:vMerge w:val="continue"/>
                  <w:tcBorders>
                    <w:tl2br w:val="nil"/>
                    <w:tr2bl w:val="nil"/>
                  </w:tcBorders>
                </w:tcPr>
                <w:p>
                  <w:pPr>
                    <w:spacing w:line="240" w:lineRule="auto"/>
                    <w:ind w:firstLine="0" w:firstLineChars="0"/>
                    <w:jc w:val="center"/>
                    <w:rPr>
                      <w:color w:val="auto"/>
                      <w:sz w:val="21"/>
                      <w:szCs w:val="21"/>
                      <w:highlight w:val="none"/>
                    </w:rPr>
                  </w:pPr>
                </w:p>
              </w:tc>
              <w:tc>
                <w:tcPr>
                  <w:tcW w:w="2429"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总磷</w:t>
                  </w:r>
                </w:p>
              </w:tc>
              <w:tc>
                <w:tcPr>
                  <w:tcW w:w="1808"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0.103</w:t>
                  </w:r>
                </w:p>
              </w:tc>
              <w:tc>
                <w:tcPr>
                  <w:tcW w:w="1754"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533"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1576"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bl>
          <w:p>
            <w:pPr>
              <w:spacing w:line="460" w:lineRule="exact"/>
              <w:ind w:firstLine="420"/>
              <w:rPr>
                <w:color w:val="auto"/>
                <w:sz w:val="21"/>
                <w:szCs w:val="16"/>
                <w:highlight w:val="none"/>
              </w:rPr>
            </w:pPr>
            <w:r>
              <w:rPr>
                <w:rFonts w:hint="eastAsia"/>
                <w:color w:val="auto"/>
                <w:sz w:val="21"/>
                <w:szCs w:val="18"/>
                <w:highlight w:val="none"/>
              </w:rPr>
              <w:t>注：表中数据来源于浙江省重点排污单位监督性监测信息公开平台。</w:t>
            </w:r>
          </w:p>
          <w:p>
            <w:pPr>
              <w:spacing w:line="500" w:lineRule="exact"/>
              <w:ind w:firstLine="480"/>
              <w:rPr>
                <w:color w:val="auto"/>
                <w:highlight w:val="none"/>
              </w:rPr>
            </w:pPr>
            <w:r>
              <w:rPr>
                <w:color w:val="auto"/>
                <w:highlight w:val="none"/>
              </w:rPr>
              <w:t>根据上述监测数据可知，</w:t>
            </w:r>
            <w:r>
              <w:rPr>
                <w:rFonts w:hint="eastAsia"/>
                <w:color w:val="auto"/>
                <w:kern w:val="0"/>
                <w:szCs w:val="18"/>
                <w:highlight w:val="none"/>
              </w:rPr>
              <w:t>德清县乾元污水处理有限公司</w:t>
            </w:r>
            <w:r>
              <w:rPr>
                <w:color w:val="auto"/>
                <w:highlight w:val="none"/>
              </w:rPr>
              <w:t>尾水排放的各项水质指标均能够稳定达到《城镇污水处理厂污染物排放标准》</w:t>
            </w:r>
            <w:r>
              <w:rPr>
                <w:rFonts w:hint="eastAsia"/>
                <w:color w:val="auto"/>
                <w:highlight w:val="none"/>
              </w:rPr>
              <w:t>（</w:t>
            </w:r>
            <w:r>
              <w:rPr>
                <w:color w:val="auto"/>
                <w:highlight w:val="none"/>
              </w:rPr>
              <w:t>GB18918-2002</w:t>
            </w:r>
            <w:r>
              <w:rPr>
                <w:rFonts w:hint="eastAsia"/>
                <w:color w:val="auto"/>
                <w:highlight w:val="none"/>
              </w:rPr>
              <w:t>）</w:t>
            </w:r>
            <w:r>
              <w:rPr>
                <w:color w:val="auto"/>
                <w:highlight w:val="none"/>
              </w:rPr>
              <w:t>中的一级A标准。</w:t>
            </w:r>
          </w:p>
          <w:p>
            <w:pPr>
              <w:spacing w:line="500" w:lineRule="exact"/>
              <w:ind w:firstLine="0" w:firstLineChars="0"/>
              <w:rPr>
                <w:b/>
                <w:bCs/>
                <w:color w:val="auto"/>
                <w:highlight w:val="none"/>
              </w:rPr>
            </w:pPr>
            <w:r>
              <w:rPr>
                <w:rFonts w:hint="eastAsia"/>
                <w:b/>
                <w:bCs/>
                <w:color w:val="auto"/>
                <w:highlight w:val="none"/>
              </w:rPr>
              <w:t>4.2.3噪声</w:t>
            </w:r>
          </w:p>
          <w:p>
            <w:pPr>
              <w:spacing w:line="500" w:lineRule="exact"/>
              <w:ind w:firstLine="480"/>
              <w:rPr>
                <w:color w:val="auto"/>
                <w:highlight w:val="none"/>
              </w:rPr>
            </w:pPr>
            <w:r>
              <w:rPr>
                <w:rFonts w:hint="eastAsia"/>
                <w:color w:val="auto"/>
                <w:highlight w:val="none"/>
              </w:rPr>
              <w:t>1、噪声源强</w:t>
            </w:r>
          </w:p>
          <w:p>
            <w:pPr>
              <w:spacing w:line="500" w:lineRule="exact"/>
              <w:ind w:firstLine="480"/>
              <w:rPr>
                <w:color w:val="auto"/>
                <w:szCs w:val="24"/>
                <w:highlight w:val="none"/>
              </w:rPr>
            </w:pPr>
            <w:r>
              <w:rPr>
                <w:color w:val="auto"/>
                <w:szCs w:val="24"/>
                <w:highlight w:val="none"/>
              </w:rPr>
              <w:t>本项目运营期噪声主要来源于</w:t>
            </w:r>
            <w:r>
              <w:rPr>
                <w:rFonts w:hint="eastAsia"/>
                <w:color w:val="auto"/>
                <w:szCs w:val="24"/>
                <w:highlight w:val="none"/>
              </w:rPr>
              <w:t>废气治理设施混合机、空压机等生产设备运作</w:t>
            </w:r>
            <w:r>
              <w:rPr>
                <w:color w:val="auto"/>
                <w:szCs w:val="24"/>
                <w:highlight w:val="none"/>
              </w:rPr>
              <w:t>时发出的声响，噪声级在</w:t>
            </w:r>
            <w:r>
              <w:rPr>
                <w:rFonts w:hint="eastAsia"/>
                <w:color w:val="auto"/>
                <w:szCs w:val="24"/>
                <w:highlight w:val="none"/>
              </w:rPr>
              <w:t>72-95d</w:t>
            </w:r>
            <w:r>
              <w:rPr>
                <w:color w:val="auto"/>
                <w:szCs w:val="24"/>
                <w:highlight w:val="none"/>
              </w:rPr>
              <w:t>B（A），</w:t>
            </w:r>
            <w:r>
              <w:rPr>
                <w:color w:val="auto"/>
                <w:szCs w:val="24"/>
                <w:highlight w:val="none"/>
                <w:lang w:val="zh-CN"/>
              </w:rPr>
              <w:t>建议首先从声源上采取措施，在满足工艺设计技术要求的条件下，选用低噪声、振动小的设备，从声源上降低噪声值。其次，在噪声传播途径上采取措施加以控制，在机械设备安装减振垫；对</w:t>
            </w:r>
            <w:r>
              <w:rPr>
                <w:rFonts w:hint="eastAsia"/>
                <w:color w:val="auto"/>
                <w:szCs w:val="24"/>
                <w:highlight w:val="none"/>
                <w:lang w:val="zh-CN"/>
              </w:rPr>
              <w:t>房间</w:t>
            </w:r>
            <w:r>
              <w:rPr>
                <w:color w:val="auto"/>
                <w:szCs w:val="24"/>
                <w:highlight w:val="none"/>
                <w:lang w:val="zh-CN"/>
              </w:rPr>
              <w:t>及门窗采取隔声减振等降噪措施，再经外墙墙体阻隔、距离衰减，</w:t>
            </w:r>
            <w:r>
              <w:rPr>
                <w:rFonts w:hint="eastAsia"/>
                <w:color w:val="auto"/>
                <w:szCs w:val="24"/>
                <w:highlight w:val="none"/>
                <w:lang w:val="zh-CN"/>
              </w:rPr>
              <w:t>根据《环境工程手册  环境噪声控制卷》，采取上述措施后，厂界噪声可降低23～30dB（A），本评价按保守估计，降噪值取20dB（A）</w:t>
            </w:r>
            <w:r>
              <w:rPr>
                <w:color w:val="auto"/>
                <w:szCs w:val="24"/>
                <w:highlight w:val="none"/>
                <w:lang w:val="zh-CN"/>
              </w:rPr>
              <w:t>。</w:t>
            </w:r>
            <w:r>
              <w:rPr>
                <w:color w:val="auto"/>
                <w:szCs w:val="24"/>
                <w:highlight w:val="none"/>
              </w:rPr>
              <w:t>具体见表</w:t>
            </w:r>
            <w:r>
              <w:rPr>
                <w:rFonts w:hint="eastAsia"/>
                <w:color w:val="auto"/>
                <w:szCs w:val="24"/>
                <w:highlight w:val="none"/>
              </w:rPr>
              <w:t>4-12</w:t>
            </w:r>
            <w:r>
              <w:rPr>
                <w:color w:val="auto"/>
                <w:szCs w:val="24"/>
                <w:highlight w:val="none"/>
              </w:rPr>
              <w:t>。</w:t>
            </w:r>
          </w:p>
          <w:p>
            <w:pPr>
              <w:pStyle w:val="2"/>
              <w:spacing w:line="460" w:lineRule="exact"/>
              <w:ind w:firstLine="422"/>
              <w:jc w:val="center"/>
              <w:rPr>
                <w:b/>
                <w:color w:val="auto"/>
                <w:sz w:val="21"/>
                <w:szCs w:val="16"/>
                <w:highlight w:val="none"/>
              </w:rPr>
            </w:pPr>
            <w:r>
              <w:rPr>
                <w:rFonts w:hint="eastAsia"/>
                <w:b/>
                <w:color w:val="auto"/>
                <w:sz w:val="21"/>
                <w:szCs w:val="16"/>
                <w:highlight w:val="none"/>
              </w:rPr>
              <w:t>表4-12  噪声污染源源强核算结果及相关参数一览表</w:t>
            </w:r>
          </w:p>
          <w:tbl>
            <w:tblPr>
              <w:tblStyle w:val="30"/>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66"/>
              <w:gridCol w:w="801"/>
              <w:gridCol w:w="552"/>
              <w:gridCol w:w="1279"/>
              <w:gridCol w:w="448"/>
              <w:gridCol w:w="680"/>
              <w:gridCol w:w="820"/>
              <w:gridCol w:w="600"/>
              <w:gridCol w:w="571"/>
              <w:gridCol w:w="514"/>
              <w:gridCol w:w="788"/>
              <w:gridCol w:w="6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Merge w:val="restart"/>
                  <w:tcBorders>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工艺/生产线</w:t>
                  </w:r>
                </w:p>
              </w:tc>
              <w:tc>
                <w:tcPr>
                  <w:tcW w:w="801"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装置</w:t>
                  </w:r>
                </w:p>
              </w:tc>
              <w:tc>
                <w:tcPr>
                  <w:tcW w:w="552"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
                      <w:bCs/>
                      <w:color w:val="auto"/>
                      <w:sz w:val="21"/>
                      <w:szCs w:val="21"/>
                      <w:highlight w:val="none"/>
                    </w:rPr>
                    <w:t>设备数量</w:t>
                  </w:r>
                </w:p>
              </w:tc>
              <w:tc>
                <w:tcPr>
                  <w:tcW w:w="1279"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噪声源</w:t>
                  </w:r>
                </w:p>
              </w:tc>
              <w:tc>
                <w:tcPr>
                  <w:tcW w:w="448"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声源类型</w:t>
                  </w:r>
                </w:p>
              </w:tc>
              <w:tc>
                <w:tcPr>
                  <w:tcW w:w="1500" w:type="dxa"/>
                  <w:gridSpan w:val="2"/>
                  <w:tcBorders>
                    <w:left w:val="single" w:color="auto" w:sz="4" w:space="0"/>
                    <w:right w:val="single" w:color="auto" w:sz="4" w:space="0"/>
                  </w:tcBorders>
                  <w:vAlign w:val="center"/>
                </w:tcPr>
                <w:p>
                  <w:pPr>
                    <w:pStyle w:val="68"/>
                    <w:adjustRightInd/>
                    <w:spacing w:line="240" w:lineRule="auto"/>
                    <w:textAlignment w:val="auto"/>
                    <w:rPr>
                      <w:rFonts w:ascii="Times New Roman"/>
                      <w:b/>
                      <w:bCs/>
                      <w:color w:val="auto"/>
                      <w:sz w:val="21"/>
                      <w:szCs w:val="21"/>
                      <w:highlight w:val="none"/>
                    </w:rPr>
                  </w:pPr>
                  <w:r>
                    <w:rPr>
                      <w:rFonts w:hint="eastAsia" w:ascii="Times New Roman"/>
                      <w:b/>
                      <w:bCs/>
                      <w:color w:val="auto"/>
                      <w:sz w:val="21"/>
                      <w:szCs w:val="21"/>
                      <w:highlight w:val="none"/>
                    </w:rPr>
                    <w:t>噪声源强</w:t>
                  </w:r>
                </w:p>
              </w:tc>
              <w:tc>
                <w:tcPr>
                  <w:tcW w:w="1171" w:type="dxa"/>
                  <w:gridSpan w:val="2"/>
                  <w:tcBorders>
                    <w:left w:val="single" w:color="auto" w:sz="4" w:space="0"/>
                    <w:right w:val="single" w:color="auto" w:sz="4" w:space="0"/>
                  </w:tcBorders>
                  <w:vAlign w:val="center"/>
                </w:tcPr>
                <w:p>
                  <w:pPr>
                    <w:pStyle w:val="68"/>
                    <w:adjustRightInd/>
                    <w:spacing w:line="240" w:lineRule="auto"/>
                    <w:textAlignment w:val="auto"/>
                    <w:rPr>
                      <w:rFonts w:ascii="Times New Roman"/>
                      <w:b/>
                      <w:bCs/>
                      <w:color w:val="auto"/>
                      <w:sz w:val="21"/>
                      <w:szCs w:val="21"/>
                      <w:highlight w:val="none"/>
                    </w:rPr>
                  </w:pPr>
                  <w:r>
                    <w:rPr>
                      <w:rFonts w:hint="eastAsia" w:ascii="Times New Roman"/>
                      <w:b/>
                      <w:bCs/>
                      <w:color w:val="auto"/>
                      <w:sz w:val="21"/>
                      <w:szCs w:val="21"/>
                      <w:highlight w:val="none"/>
                    </w:rPr>
                    <w:t>降噪措施</w:t>
                  </w:r>
                </w:p>
              </w:tc>
              <w:tc>
                <w:tcPr>
                  <w:tcW w:w="1302" w:type="dxa"/>
                  <w:gridSpan w:val="2"/>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噪声排放值</w:t>
                  </w:r>
                </w:p>
              </w:tc>
              <w:tc>
                <w:tcPr>
                  <w:tcW w:w="685"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持续时间/h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Merge w:val="continue"/>
                  <w:tcBorders>
                    <w:right w:val="single" w:color="auto" w:sz="4" w:space="0"/>
                  </w:tcBorders>
                  <w:vAlign w:val="center"/>
                </w:tcPr>
                <w:p>
                  <w:pPr>
                    <w:spacing w:line="240" w:lineRule="auto"/>
                    <w:ind w:firstLine="0" w:firstLineChars="0"/>
                    <w:jc w:val="center"/>
                    <w:rPr>
                      <w:bCs/>
                      <w:color w:val="auto"/>
                      <w:sz w:val="21"/>
                      <w:szCs w:val="21"/>
                      <w:highlight w:val="none"/>
                    </w:rPr>
                  </w:pPr>
                </w:p>
              </w:tc>
              <w:tc>
                <w:tcPr>
                  <w:tcW w:w="801"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552"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1279"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448"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680"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核算方法</w:t>
                  </w: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噪声值</w:t>
                  </w:r>
                </w:p>
                <w:p>
                  <w:pPr>
                    <w:pStyle w:val="2"/>
                    <w:spacing w:line="240" w:lineRule="auto"/>
                    <w:ind w:firstLine="0" w:firstLineChars="0"/>
                    <w:jc w:val="center"/>
                    <w:rPr>
                      <w:color w:val="auto"/>
                      <w:sz w:val="21"/>
                      <w:szCs w:val="21"/>
                      <w:highlight w:val="none"/>
                    </w:rPr>
                  </w:pPr>
                  <w:r>
                    <w:rPr>
                      <w:rFonts w:hint="eastAsia"/>
                      <w:bCs/>
                      <w:color w:val="auto"/>
                      <w:sz w:val="21"/>
                      <w:szCs w:val="21"/>
                      <w:highlight w:val="none"/>
                    </w:rPr>
                    <w:t>dB（A）</w:t>
                  </w:r>
                </w:p>
              </w:tc>
              <w:tc>
                <w:tcPr>
                  <w:tcW w:w="600" w:type="dxa"/>
                  <w:tcBorders>
                    <w:left w:val="single" w:color="auto" w:sz="4" w:space="0"/>
                  </w:tcBorders>
                  <w:vAlign w:val="center"/>
                </w:tcPr>
                <w:p>
                  <w:pPr>
                    <w:pStyle w:val="2"/>
                    <w:spacing w:line="240" w:lineRule="auto"/>
                    <w:ind w:firstLine="0" w:firstLineChars="0"/>
                    <w:jc w:val="center"/>
                    <w:rPr>
                      <w:color w:val="auto"/>
                      <w:sz w:val="21"/>
                      <w:szCs w:val="21"/>
                      <w:highlight w:val="none"/>
                    </w:rPr>
                  </w:pPr>
                  <w:r>
                    <w:rPr>
                      <w:rFonts w:hint="eastAsia"/>
                      <w:color w:val="auto"/>
                      <w:sz w:val="21"/>
                      <w:szCs w:val="21"/>
                      <w:highlight w:val="none"/>
                    </w:rPr>
                    <w:t>工艺</w:t>
                  </w:r>
                </w:p>
              </w:tc>
              <w:tc>
                <w:tcPr>
                  <w:tcW w:w="571" w:type="dxa"/>
                  <w:tcBorders>
                    <w:right w:val="single" w:color="auto" w:sz="4" w:space="0"/>
                  </w:tcBorders>
                  <w:vAlign w:val="center"/>
                </w:tcPr>
                <w:p>
                  <w:pPr>
                    <w:pStyle w:val="68"/>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降噪效果</w:t>
                  </w:r>
                </w:p>
              </w:tc>
              <w:tc>
                <w:tcPr>
                  <w:tcW w:w="514" w:type="dxa"/>
                  <w:tcBorders>
                    <w:left w:val="single" w:color="auto" w:sz="4" w:space="0"/>
                  </w:tcBorders>
                  <w:vAlign w:val="center"/>
                </w:tcPr>
                <w:p>
                  <w:pPr>
                    <w:spacing w:line="240" w:lineRule="auto"/>
                    <w:ind w:firstLine="0" w:firstLineChars="0"/>
                    <w:jc w:val="center"/>
                    <w:rPr>
                      <w:rFonts w:hint="eastAsia"/>
                      <w:bCs/>
                      <w:color w:val="auto"/>
                      <w:sz w:val="21"/>
                      <w:szCs w:val="21"/>
                      <w:highlight w:val="none"/>
                    </w:rPr>
                  </w:pPr>
                  <w:r>
                    <w:rPr>
                      <w:rFonts w:hint="eastAsia"/>
                      <w:bCs/>
                      <w:color w:val="auto"/>
                      <w:sz w:val="21"/>
                      <w:szCs w:val="21"/>
                      <w:highlight w:val="none"/>
                    </w:rPr>
                    <w:t>核算</w:t>
                  </w:r>
                </w:p>
                <w:p>
                  <w:pPr>
                    <w:spacing w:line="240" w:lineRule="auto"/>
                    <w:ind w:firstLine="0" w:firstLineChars="0"/>
                    <w:jc w:val="center"/>
                    <w:rPr>
                      <w:bCs/>
                      <w:color w:val="auto"/>
                      <w:sz w:val="21"/>
                      <w:szCs w:val="21"/>
                      <w:highlight w:val="none"/>
                    </w:rPr>
                  </w:pPr>
                  <w:r>
                    <w:rPr>
                      <w:rFonts w:hint="eastAsia"/>
                      <w:bCs/>
                      <w:color w:val="auto"/>
                      <w:sz w:val="21"/>
                      <w:szCs w:val="21"/>
                      <w:highlight w:val="none"/>
                    </w:rPr>
                    <w:t>方法</w:t>
                  </w:r>
                </w:p>
              </w:tc>
              <w:tc>
                <w:tcPr>
                  <w:tcW w:w="788"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噪声值dB（A）</w:t>
                  </w:r>
                </w:p>
              </w:tc>
              <w:tc>
                <w:tcPr>
                  <w:tcW w:w="685"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输送</w:t>
                  </w:r>
                </w:p>
              </w:tc>
              <w:tc>
                <w:tcPr>
                  <w:tcW w:w="80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提升机</w:t>
                  </w:r>
                </w:p>
              </w:tc>
              <w:tc>
                <w:tcPr>
                  <w:tcW w:w="552"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4台</w:t>
                  </w:r>
                </w:p>
              </w:tc>
              <w:tc>
                <w:tcPr>
                  <w:tcW w:w="1279"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tcBorders>
                    <w:left w:val="single" w:color="auto" w:sz="4" w:space="0"/>
                    <w:right w:val="single" w:color="auto" w:sz="4" w:space="0"/>
                  </w:tcBorders>
                  <w:vAlign w:val="center"/>
                </w:tcPr>
                <w:p>
                  <w:pPr>
                    <w:pStyle w:val="74"/>
                    <w:spacing w:line="240" w:lineRule="auto"/>
                    <w:ind w:firstLine="0" w:firstLineChars="0"/>
                    <w:rPr>
                      <w:rFonts w:ascii="Times New Roman" w:hAnsi="Times New Roman"/>
                      <w:b w:val="0"/>
                      <w:color w:val="auto"/>
                      <w:sz w:val="21"/>
                      <w:szCs w:val="21"/>
                      <w:highlight w:val="none"/>
                    </w:rPr>
                  </w:pPr>
                  <w:r>
                    <w:rPr>
                      <w:rFonts w:hint="eastAsia" w:ascii="Times New Roman" w:hAnsi="Times New Roman"/>
                      <w:b w:val="0"/>
                      <w:color w:val="auto"/>
                      <w:sz w:val="21"/>
                      <w:szCs w:val="21"/>
                      <w:highlight w:val="none"/>
                    </w:rPr>
                    <w:t>73</w:t>
                  </w:r>
                </w:p>
              </w:tc>
              <w:tc>
                <w:tcPr>
                  <w:tcW w:w="600" w:type="dxa"/>
                  <w:vMerge w:val="restart"/>
                  <w:tcBorders>
                    <w:left w:val="single" w:color="auto" w:sz="4" w:space="0"/>
                  </w:tcBorders>
                  <w:vAlign w:val="center"/>
                </w:tcPr>
                <w:p>
                  <w:pPr>
                    <w:pStyle w:val="2"/>
                    <w:spacing w:line="240" w:lineRule="auto"/>
                    <w:ind w:firstLine="0" w:firstLineChars="0"/>
                    <w:jc w:val="center"/>
                    <w:rPr>
                      <w:bCs/>
                      <w:color w:val="auto"/>
                      <w:sz w:val="21"/>
                      <w:szCs w:val="21"/>
                      <w:highlight w:val="none"/>
                    </w:rPr>
                  </w:pPr>
                  <w:r>
                    <w:rPr>
                      <w:rFonts w:hint="eastAsia"/>
                      <w:bCs/>
                      <w:color w:val="auto"/>
                      <w:sz w:val="21"/>
                      <w:szCs w:val="21"/>
                      <w:highlight w:val="none"/>
                    </w:rPr>
                    <w:t>吸声、减振、隔声等</w:t>
                  </w:r>
                </w:p>
              </w:tc>
              <w:tc>
                <w:tcPr>
                  <w:tcW w:w="571" w:type="dxa"/>
                  <w:vMerge w:val="restart"/>
                  <w:tcBorders>
                    <w:right w:val="single" w:color="auto" w:sz="4" w:space="0"/>
                  </w:tcBorders>
                  <w:vAlign w:val="center"/>
                </w:tcPr>
                <w:p>
                  <w:pPr>
                    <w:pStyle w:val="68"/>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预计降低20dB（A）</w:t>
                  </w:r>
                </w:p>
              </w:tc>
              <w:tc>
                <w:tcPr>
                  <w:tcW w:w="514" w:type="dxa"/>
                  <w:vMerge w:val="restart"/>
                  <w:tcBorders>
                    <w:left w:val="single" w:color="auto" w:sz="4" w:space="0"/>
                  </w:tcBorders>
                  <w:vAlign w:val="center"/>
                </w:tcPr>
                <w:p>
                  <w:pPr>
                    <w:spacing w:line="240" w:lineRule="auto"/>
                    <w:ind w:firstLine="0" w:firstLineChars="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类比法</w:t>
                  </w:r>
                </w:p>
              </w:tc>
              <w:tc>
                <w:tcPr>
                  <w:tcW w:w="788" w:type="dxa"/>
                  <w:tcBorders>
                    <w:right w:val="single" w:color="auto" w:sz="4" w:space="0"/>
                  </w:tcBorders>
                  <w:vAlign w:val="center"/>
                </w:tcPr>
                <w:p>
                  <w:pPr>
                    <w:pStyle w:val="74"/>
                    <w:spacing w:line="240" w:lineRule="auto"/>
                    <w:ind w:firstLine="0" w:firstLineChars="0"/>
                    <w:rPr>
                      <w:rFonts w:ascii="Times New Roman" w:hAnsi="Times New Roman"/>
                      <w:b w:val="0"/>
                      <w:color w:val="auto"/>
                      <w:sz w:val="21"/>
                      <w:szCs w:val="21"/>
                      <w:highlight w:val="none"/>
                    </w:rPr>
                  </w:pPr>
                  <w:r>
                    <w:rPr>
                      <w:rFonts w:hint="eastAsia" w:ascii="Times New Roman" w:hAnsi="Times New Roman"/>
                      <w:b w:val="0"/>
                      <w:color w:val="auto"/>
                      <w:sz w:val="21"/>
                      <w:szCs w:val="21"/>
                      <w:highlight w:val="none"/>
                    </w:rPr>
                    <w:t>53</w:t>
                  </w:r>
                </w:p>
              </w:tc>
              <w:tc>
                <w:tcPr>
                  <w:tcW w:w="685"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搅拌混合</w:t>
                  </w:r>
                </w:p>
              </w:tc>
              <w:tc>
                <w:tcPr>
                  <w:tcW w:w="80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lang w:val="zh-CN"/>
                    </w:rPr>
                  </w:pPr>
                  <w:r>
                    <w:rPr>
                      <w:rFonts w:hint="eastAsia"/>
                      <w:color w:val="auto"/>
                      <w:sz w:val="21"/>
                      <w:szCs w:val="21"/>
                      <w:highlight w:val="none"/>
                    </w:rPr>
                    <w:t>混合机</w:t>
                  </w:r>
                </w:p>
              </w:tc>
              <w:tc>
                <w:tcPr>
                  <w:tcW w:w="552"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279"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82</w:t>
                  </w:r>
                </w:p>
              </w:tc>
              <w:tc>
                <w:tcPr>
                  <w:tcW w:w="600" w:type="dxa"/>
                  <w:vMerge w:val="continue"/>
                  <w:tcBorders>
                    <w:left w:val="single" w:color="auto" w:sz="4" w:space="0"/>
                  </w:tcBorders>
                  <w:vAlign w:val="center"/>
                </w:tcPr>
                <w:p>
                  <w:pPr>
                    <w:pStyle w:val="2"/>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8"/>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62</w:t>
                  </w:r>
                </w:p>
              </w:tc>
              <w:tc>
                <w:tcPr>
                  <w:tcW w:w="685"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w:t>
                  </w:r>
                </w:p>
              </w:tc>
              <w:tc>
                <w:tcPr>
                  <w:tcW w:w="80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lang w:val="zh-CN"/>
                    </w:rPr>
                  </w:pPr>
                  <w:r>
                    <w:rPr>
                      <w:color w:val="auto"/>
                      <w:sz w:val="21"/>
                      <w:szCs w:val="21"/>
                      <w:highlight w:val="none"/>
                    </w:rPr>
                    <w:t>包装机</w:t>
                  </w:r>
                </w:p>
              </w:tc>
              <w:tc>
                <w:tcPr>
                  <w:tcW w:w="552"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279"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78</w:t>
                  </w:r>
                </w:p>
              </w:tc>
              <w:tc>
                <w:tcPr>
                  <w:tcW w:w="600" w:type="dxa"/>
                  <w:vMerge w:val="continue"/>
                  <w:tcBorders>
                    <w:left w:val="single" w:color="auto" w:sz="4" w:space="0"/>
                  </w:tcBorders>
                  <w:vAlign w:val="center"/>
                </w:tcPr>
                <w:p>
                  <w:pPr>
                    <w:pStyle w:val="2"/>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8"/>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58</w:t>
                  </w:r>
                </w:p>
              </w:tc>
              <w:tc>
                <w:tcPr>
                  <w:tcW w:w="685"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配料</w:t>
                  </w:r>
                </w:p>
              </w:tc>
              <w:tc>
                <w:tcPr>
                  <w:tcW w:w="80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lang w:val="zh-CN"/>
                    </w:rPr>
                  </w:pPr>
                  <w:r>
                    <w:rPr>
                      <w:rFonts w:hint="eastAsia"/>
                      <w:color w:val="auto"/>
                      <w:sz w:val="21"/>
                      <w:szCs w:val="21"/>
                      <w:highlight w:val="none"/>
                    </w:rPr>
                    <w:t>配料称斗</w:t>
                  </w:r>
                </w:p>
              </w:tc>
              <w:tc>
                <w:tcPr>
                  <w:tcW w:w="552"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1个</w:t>
                  </w:r>
                </w:p>
              </w:tc>
              <w:tc>
                <w:tcPr>
                  <w:tcW w:w="1279"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72</w:t>
                  </w:r>
                </w:p>
              </w:tc>
              <w:tc>
                <w:tcPr>
                  <w:tcW w:w="600" w:type="dxa"/>
                  <w:vMerge w:val="continue"/>
                  <w:tcBorders>
                    <w:left w:val="single" w:color="auto" w:sz="4" w:space="0"/>
                  </w:tcBorders>
                  <w:vAlign w:val="center"/>
                </w:tcPr>
                <w:p>
                  <w:pPr>
                    <w:pStyle w:val="2"/>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8"/>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52</w:t>
                  </w:r>
                </w:p>
              </w:tc>
              <w:tc>
                <w:tcPr>
                  <w:tcW w:w="685"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提供压缩空气</w:t>
                  </w:r>
                </w:p>
              </w:tc>
              <w:tc>
                <w:tcPr>
                  <w:tcW w:w="80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lang w:val="zh-CN"/>
                    </w:rPr>
                  </w:pPr>
                  <w:r>
                    <w:rPr>
                      <w:rFonts w:hint="eastAsia"/>
                      <w:color w:val="auto"/>
                      <w:sz w:val="21"/>
                      <w:szCs w:val="21"/>
                      <w:highlight w:val="none"/>
                    </w:rPr>
                    <w:t>空压机</w:t>
                  </w:r>
                </w:p>
              </w:tc>
              <w:tc>
                <w:tcPr>
                  <w:tcW w:w="552"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4台</w:t>
                  </w:r>
                </w:p>
              </w:tc>
              <w:tc>
                <w:tcPr>
                  <w:tcW w:w="1279"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95</w:t>
                  </w:r>
                </w:p>
              </w:tc>
              <w:tc>
                <w:tcPr>
                  <w:tcW w:w="600" w:type="dxa"/>
                  <w:vMerge w:val="continue"/>
                  <w:tcBorders>
                    <w:left w:val="single" w:color="auto" w:sz="4" w:space="0"/>
                  </w:tcBorders>
                  <w:vAlign w:val="center"/>
                </w:tcPr>
                <w:p>
                  <w:pPr>
                    <w:pStyle w:val="2"/>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8"/>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75</w:t>
                  </w:r>
                </w:p>
              </w:tc>
              <w:tc>
                <w:tcPr>
                  <w:tcW w:w="685"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搅拌</w:t>
                  </w:r>
                </w:p>
              </w:tc>
              <w:tc>
                <w:tcPr>
                  <w:tcW w:w="801" w:type="dxa"/>
                  <w:vAlign w:val="center"/>
                </w:tcPr>
                <w:p>
                  <w:pPr>
                    <w:spacing w:line="240" w:lineRule="auto"/>
                    <w:ind w:firstLine="0" w:firstLineChars="0"/>
                    <w:jc w:val="center"/>
                    <w:rPr>
                      <w:color w:val="auto"/>
                      <w:sz w:val="21"/>
                      <w:szCs w:val="21"/>
                      <w:highlight w:val="none"/>
                      <w:lang w:val="zh-CN"/>
                    </w:rPr>
                  </w:pPr>
                  <w:r>
                    <w:rPr>
                      <w:rFonts w:hint="eastAsia"/>
                      <w:color w:val="auto"/>
                      <w:sz w:val="21"/>
                      <w:szCs w:val="21"/>
                      <w:highlight w:val="none"/>
                    </w:rPr>
                    <w:t>小型搅拌机</w:t>
                  </w:r>
                </w:p>
              </w:tc>
              <w:tc>
                <w:tcPr>
                  <w:tcW w:w="55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1台</w:t>
                  </w:r>
                </w:p>
              </w:tc>
              <w:tc>
                <w:tcPr>
                  <w:tcW w:w="127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75</w:t>
                  </w:r>
                </w:p>
              </w:tc>
              <w:tc>
                <w:tcPr>
                  <w:tcW w:w="600" w:type="dxa"/>
                  <w:vMerge w:val="continue"/>
                  <w:tcBorders>
                    <w:left w:val="single" w:color="auto" w:sz="4" w:space="0"/>
                  </w:tcBorders>
                  <w:vAlign w:val="center"/>
                </w:tcPr>
                <w:p>
                  <w:pPr>
                    <w:pStyle w:val="2"/>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8"/>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55</w:t>
                  </w:r>
                </w:p>
              </w:tc>
              <w:tc>
                <w:tcPr>
                  <w:tcW w:w="685"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物料转运</w:t>
                  </w:r>
                </w:p>
              </w:tc>
              <w:tc>
                <w:tcPr>
                  <w:tcW w:w="801" w:type="dxa"/>
                  <w:vAlign w:val="center"/>
                </w:tcPr>
                <w:p>
                  <w:pPr>
                    <w:spacing w:line="240" w:lineRule="auto"/>
                    <w:ind w:firstLine="0" w:firstLineChars="0"/>
                    <w:jc w:val="center"/>
                    <w:rPr>
                      <w:color w:val="auto"/>
                      <w:sz w:val="21"/>
                      <w:szCs w:val="21"/>
                      <w:highlight w:val="none"/>
                      <w:lang w:val="zh-CN"/>
                    </w:rPr>
                  </w:pPr>
                  <w:r>
                    <w:rPr>
                      <w:color w:val="auto"/>
                      <w:sz w:val="21"/>
                      <w:szCs w:val="21"/>
                      <w:highlight w:val="none"/>
                    </w:rPr>
                    <w:t>叉车</w:t>
                  </w:r>
                </w:p>
              </w:tc>
              <w:tc>
                <w:tcPr>
                  <w:tcW w:w="55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6台</w:t>
                  </w:r>
                </w:p>
              </w:tc>
              <w:tc>
                <w:tcPr>
                  <w:tcW w:w="1279" w:type="dxa"/>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82</w:t>
                  </w:r>
                </w:p>
              </w:tc>
              <w:tc>
                <w:tcPr>
                  <w:tcW w:w="600" w:type="dxa"/>
                  <w:vMerge w:val="continue"/>
                  <w:tcBorders>
                    <w:left w:val="single" w:color="auto" w:sz="4" w:space="0"/>
                  </w:tcBorders>
                </w:tcPr>
                <w:p>
                  <w:pPr>
                    <w:pStyle w:val="2"/>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tcPr>
                <w:p>
                  <w:pPr>
                    <w:pStyle w:val="68"/>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62</w:t>
                  </w:r>
                </w:p>
              </w:tc>
              <w:tc>
                <w:tcPr>
                  <w:tcW w:w="685" w:type="dxa"/>
                  <w:vMerge w:val="continue"/>
                  <w:tcBorders>
                    <w:left w:val="single" w:color="auto" w:sz="4" w:space="0"/>
                    <w:right w:val="single" w:color="auto" w:sz="4" w:space="0"/>
                  </w:tcBorders>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风力输送、废气处理</w:t>
                  </w:r>
                </w:p>
              </w:tc>
              <w:tc>
                <w:tcPr>
                  <w:tcW w:w="801" w:type="dxa"/>
                  <w:vAlign w:val="center"/>
                </w:tcPr>
                <w:p>
                  <w:pPr>
                    <w:spacing w:line="240" w:lineRule="auto"/>
                    <w:ind w:firstLine="0" w:firstLineChars="0"/>
                    <w:jc w:val="center"/>
                    <w:rPr>
                      <w:color w:val="auto"/>
                      <w:kern w:val="0"/>
                      <w:sz w:val="21"/>
                      <w:szCs w:val="21"/>
                      <w:highlight w:val="none"/>
                      <w:lang w:val="zh-CN"/>
                    </w:rPr>
                  </w:pPr>
                  <w:r>
                    <w:rPr>
                      <w:color w:val="auto"/>
                      <w:sz w:val="21"/>
                      <w:szCs w:val="21"/>
                      <w:highlight w:val="none"/>
                    </w:rPr>
                    <w:t>各类</w:t>
                  </w:r>
                  <w:r>
                    <w:rPr>
                      <w:rFonts w:hint="eastAsia"/>
                      <w:color w:val="auto"/>
                      <w:sz w:val="21"/>
                      <w:szCs w:val="21"/>
                      <w:highlight w:val="none"/>
                    </w:rPr>
                    <w:t>泵体</w:t>
                  </w:r>
                  <w:r>
                    <w:rPr>
                      <w:color w:val="auto"/>
                      <w:sz w:val="21"/>
                      <w:szCs w:val="21"/>
                      <w:highlight w:val="none"/>
                    </w:rPr>
                    <w:t>、风机</w:t>
                  </w:r>
                </w:p>
              </w:tc>
              <w:tc>
                <w:tcPr>
                  <w:tcW w:w="552" w:type="dxa"/>
                  <w:vAlign w:val="center"/>
                </w:tcPr>
                <w:p>
                  <w:pPr>
                    <w:widowControl/>
                    <w:spacing w:line="240" w:lineRule="auto"/>
                    <w:ind w:firstLine="0" w:firstLineChars="0"/>
                    <w:jc w:val="center"/>
                    <w:textAlignment w:val="top"/>
                    <w:rPr>
                      <w:color w:val="auto"/>
                      <w:sz w:val="21"/>
                      <w:szCs w:val="21"/>
                      <w:highlight w:val="none"/>
                    </w:rPr>
                  </w:pPr>
                  <w:r>
                    <w:rPr>
                      <w:rFonts w:hint="eastAsia"/>
                      <w:color w:val="auto"/>
                      <w:sz w:val="21"/>
                      <w:szCs w:val="21"/>
                      <w:highlight w:val="none"/>
                    </w:rPr>
                    <w:t>20台</w:t>
                  </w:r>
                </w:p>
              </w:tc>
              <w:tc>
                <w:tcPr>
                  <w:tcW w:w="1279" w:type="dxa"/>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95</w:t>
                  </w:r>
                </w:p>
              </w:tc>
              <w:tc>
                <w:tcPr>
                  <w:tcW w:w="600" w:type="dxa"/>
                  <w:vMerge w:val="continue"/>
                  <w:tcBorders>
                    <w:left w:val="single" w:color="auto" w:sz="4" w:space="0"/>
                  </w:tcBorders>
                </w:tcPr>
                <w:p>
                  <w:pPr>
                    <w:pStyle w:val="2"/>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tcPr>
                <w:p>
                  <w:pPr>
                    <w:pStyle w:val="68"/>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75</w:t>
                  </w:r>
                </w:p>
              </w:tc>
              <w:tc>
                <w:tcPr>
                  <w:tcW w:w="685" w:type="dxa"/>
                  <w:vMerge w:val="continue"/>
                  <w:tcBorders>
                    <w:left w:val="single" w:color="auto" w:sz="4" w:space="0"/>
                    <w:right w:val="single" w:color="auto" w:sz="4" w:space="0"/>
                  </w:tcBorders>
                </w:tcPr>
                <w:p>
                  <w:pPr>
                    <w:spacing w:line="240" w:lineRule="auto"/>
                    <w:ind w:firstLine="0" w:firstLineChars="0"/>
                    <w:jc w:val="center"/>
                    <w:rPr>
                      <w:bCs/>
                      <w:color w:val="auto"/>
                      <w:sz w:val="21"/>
                      <w:szCs w:val="21"/>
                      <w:highlight w:val="none"/>
                    </w:rPr>
                  </w:pPr>
                </w:p>
              </w:tc>
            </w:tr>
          </w:tbl>
          <w:p>
            <w:pPr>
              <w:spacing w:line="500" w:lineRule="exact"/>
              <w:ind w:firstLine="480"/>
              <w:rPr>
                <w:color w:val="auto"/>
                <w:highlight w:val="none"/>
              </w:rPr>
            </w:pPr>
            <w:r>
              <w:rPr>
                <w:rFonts w:hint="eastAsia"/>
                <w:color w:val="auto"/>
                <w:highlight w:val="none"/>
              </w:rPr>
              <w:t>2、噪声污染防治措施</w:t>
            </w:r>
          </w:p>
          <w:p>
            <w:pPr>
              <w:spacing w:line="500" w:lineRule="exact"/>
              <w:ind w:firstLine="480"/>
              <w:rPr>
                <w:color w:val="auto"/>
                <w:highlight w:val="none"/>
              </w:rPr>
            </w:pPr>
            <w:r>
              <w:rPr>
                <w:color w:val="auto"/>
                <w:highlight w:val="none"/>
              </w:rPr>
              <w:t>（1）企业在选购设备时购置符合国家颁布的各类机械噪声标准的低噪声设备，保证运行时能符合工业企业车间噪声卫生标准，同时能保证达到厂界噪声控制值。</w:t>
            </w:r>
          </w:p>
          <w:p>
            <w:pPr>
              <w:spacing w:line="500" w:lineRule="exact"/>
              <w:ind w:firstLine="480"/>
              <w:rPr>
                <w:color w:val="auto"/>
                <w:highlight w:val="none"/>
              </w:rPr>
            </w:pPr>
            <w:r>
              <w:rPr>
                <w:color w:val="auto"/>
                <w:highlight w:val="none"/>
              </w:rPr>
              <w:t>（2）对噪声污染大的设备，如风机等须配置减振装置，安装隔声罩或消声器。</w:t>
            </w:r>
          </w:p>
          <w:p>
            <w:pPr>
              <w:spacing w:line="500" w:lineRule="exact"/>
              <w:ind w:firstLine="480"/>
              <w:rPr>
                <w:color w:val="auto"/>
                <w:highlight w:val="none"/>
              </w:rPr>
            </w:pPr>
            <w:r>
              <w:rPr>
                <w:color w:val="auto"/>
                <w:highlight w:val="none"/>
              </w:rPr>
              <w:t>（3）对产生的机械撞击性噪声采用性能好的隔声门窗将噪声封隔起来，以减少噪声的传播，设置隔声控制室，将操作人员与噪声源分离开等。</w:t>
            </w:r>
          </w:p>
          <w:p>
            <w:pPr>
              <w:spacing w:line="500" w:lineRule="exact"/>
              <w:ind w:firstLine="480"/>
              <w:rPr>
                <w:color w:val="auto"/>
                <w:highlight w:val="none"/>
              </w:rPr>
            </w:pPr>
            <w:r>
              <w:rPr>
                <w:color w:val="auto"/>
                <w:highlight w:val="none"/>
              </w:rPr>
              <w:t>（4）在噪声传播途径上采取措施加以控制，如强噪声源车间的建筑围护结构均以封闭为主，同时采取车间外及厂界的绿化，利用建筑物与树木阻隔声音的传播。</w:t>
            </w:r>
          </w:p>
          <w:p>
            <w:pPr>
              <w:spacing w:line="500" w:lineRule="exact"/>
              <w:ind w:firstLine="480"/>
              <w:rPr>
                <w:color w:val="auto"/>
                <w:highlight w:val="none"/>
              </w:rPr>
            </w:pPr>
            <w:r>
              <w:rPr>
                <w:color w:val="auto"/>
                <w:highlight w:val="none"/>
              </w:rPr>
              <w:t>（5）项目噪声污染防治工作</w:t>
            </w:r>
            <w:r>
              <w:rPr>
                <w:rFonts w:hint="eastAsia"/>
                <w:color w:val="auto"/>
                <w:highlight w:val="none"/>
              </w:rPr>
              <w:t>能够达到</w:t>
            </w:r>
            <w:r>
              <w:rPr>
                <w:rFonts w:hint="eastAsia" w:ascii="宋体" w:hAnsi="宋体" w:cs="宋体"/>
                <w:color w:val="auto"/>
                <w:highlight w:val="none"/>
              </w:rPr>
              <w:t>“</w:t>
            </w:r>
            <w:r>
              <w:rPr>
                <w:color w:val="auto"/>
                <w:highlight w:val="none"/>
              </w:rPr>
              <w:t>三同时</w:t>
            </w:r>
            <w:r>
              <w:rPr>
                <w:rFonts w:hint="eastAsia" w:ascii="宋体" w:hAnsi="宋体" w:cs="宋体"/>
                <w:color w:val="auto"/>
                <w:highlight w:val="none"/>
              </w:rPr>
              <w:t>”</w:t>
            </w:r>
            <w:r>
              <w:rPr>
                <w:color w:val="auto"/>
                <w:highlight w:val="none"/>
              </w:rPr>
              <w:t>制度。对防振垫、隔声、吸声、消声器等降噪设备应进行定期检查、维修，对不符合要求的及时更换，防止机械噪声的升高。</w:t>
            </w:r>
          </w:p>
          <w:p>
            <w:pPr>
              <w:spacing w:line="500" w:lineRule="exact"/>
              <w:ind w:firstLine="480"/>
              <w:rPr>
                <w:color w:val="auto"/>
                <w:highlight w:val="none"/>
              </w:rPr>
            </w:pPr>
            <w:r>
              <w:rPr>
                <w:color w:val="auto"/>
                <w:highlight w:val="none"/>
              </w:rPr>
              <w:t>（6）加强设备的维修保养，使设备处于最佳工作状态。</w:t>
            </w:r>
          </w:p>
          <w:p>
            <w:pPr>
              <w:spacing w:line="500" w:lineRule="exact"/>
              <w:ind w:firstLine="480"/>
              <w:rPr>
                <w:color w:val="auto"/>
                <w:highlight w:val="none"/>
              </w:rPr>
            </w:pPr>
            <w:r>
              <w:rPr>
                <w:rFonts w:hint="eastAsia"/>
                <w:color w:val="auto"/>
                <w:highlight w:val="none"/>
              </w:rPr>
              <w:t>3</w:t>
            </w:r>
            <w:r>
              <w:rPr>
                <w:color w:val="auto"/>
                <w:highlight w:val="none"/>
              </w:rPr>
              <w:t>、厂界和环境保护目标达标情况分析</w:t>
            </w:r>
          </w:p>
          <w:p>
            <w:pPr>
              <w:pStyle w:val="5"/>
              <w:keepNext w:val="0"/>
              <w:keepLines w:val="0"/>
              <w:tabs>
                <w:tab w:val="left" w:pos="720"/>
              </w:tabs>
              <w:spacing w:line="500" w:lineRule="exact"/>
              <w:ind w:firstLine="480"/>
              <w:rPr>
                <w:rFonts w:eastAsia="宋体"/>
                <w:bCs w:val="0"/>
                <w:color w:val="auto"/>
                <w:sz w:val="24"/>
                <w:szCs w:val="20"/>
                <w:highlight w:val="none"/>
              </w:rPr>
            </w:pPr>
            <w:r>
              <w:rPr>
                <w:rFonts w:eastAsia="宋体"/>
                <w:bCs w:val="0"/>
                <w:color w:val="auto"/>
                <w:sz w:val="24"/>
                <w:szCs w:val="20"/>
                <w:highlight w:val="none"/>
              </w:rPr>
              <w:t>根据项目的噪声排放特点，结合《环境影响评价技术导则 声环境》（HJ2.4-2009）的要求，预测模式采用</w:t>
            </w:r>
            <w:r>
              <w:rPr>
                <w:rFonts w:hint="eastAsia" w:ascii="宋体" w:hAnsi="宋体" w:eastAsia="宋体" w:cs="宋体"/>
                <w:bCs w:val="0"/>
                <w:color w:val="auto"/>
                <w:sz w:val="24"/>
                <w:szCs w:val="20"/>
                <w:highlight w:val="none"/>
              </w:rPr>
              <w:t>“</w:t>
            </w:r>
            <w:r>
              <w:rPr>
                <w:rFonts w:eastAsia="宋体"/>
                <w:bCs w:val="0"/>
                <w:color w:val="auto"/>
                <w:sz w:val="24"/>
                <w:szCs w:val="20"/>
                <w:highlight w:val="none"/>
              </w:rPr>
              <w:t>8.4.1 工业噪声预测</w:t>
            </w:r>
            <w:r>
              <w:rPr>
                <w:rFonts w:hint="eastAsia" w:ascii="宋体" w:hAnsi="宋体" w:eastAsia="宋体" w:cs="宋体"/>
                <w:bCs w:val="0"/>
                <w:color w:val="auto"/>
                <w:sz w:val="24"/>
                <w:szCs w:val="20"/>
                <w:highlight w:val="none"/>
              </w:rPr>
              <w:t>”计</w:t>
            </w:r>
            <w:r>
              <w:rPr>
                <w:rFonts w:eastAsia="宋体"/>
                <w:bCs w:val="0"/>
                <w:color w:val="auto"/>
                <w:sz w:val="24"/>
                <w:szCs w:val="20"/>
                <w:highlight w:val="none"/>
              </w:rPr>
              <w:t>算模式。根据项目噪声源的特征，主要噪声源到接受点的距离超过噪声源最大几何尺寸的2倍，各噪声源可近似作为点声源处理。室内源按整体声源等效为室外源，预测室外源衰减至厂界处的噪声值。具体等效方式如下所述：</w:t>
            </w:r>
          </w:p>
          <w:p>
            <w:pPr>
              <w:pStyle w:val="5"/>
              <w:keepNext w:val="0"/>
              <w:keepLines w:val="0"/>
              <w:tabs>
                <w:tab w:val="left" w:pos="720"/>
              </w:tabs>
              <w:spacing w:line="5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eastAsia="宋体"/>
                <w:color w:val="auto"/>
                <w:sz w:val="24"/>
                <w:szCs w:val="24"/>
                <w:highlight w:val="none"/>
              </w:rPr>
              <w:t>1</w:t>
            </w:r>
            <w:r>
              <w:rPr>
                <w:rFonts w:hint="eastAsia" w:ascii="宋体" w:hAnsi="宋体" w:eastAsia="宋体" w:cs="宋体"/>
                <w:color w:val="auto"/>
                <w:sz w:val="24"/>
                <w:szCs w:val="24"/>
                <w:highlight w:val="none"/>
              </w:rPr>
              <w:t>）室内声源预测模式</w:t>
            </w:r>
          </w:p>
          <w:p>
            <w:pPr>
              <w:spacing w:line="500" w:lineRule="exact"/>
              <w:ind w:firstLine="480"/>
              <w:rPr>
                <w:color w:val="auto"/>
                <w:highlight w:val="none"/>
              </w:rPr>
            </w:pPr>
            <w:r>
              <w:rPr>
                <w:color w:val="auto"/>
                <w:szCs w:val="24"/>
                <w:highlight w:val="none"/>
              </w:rPr>
              <w:t>如图所示，首先计算出某个室内靠近围护结构处的倍频带声压级：</w:t>
            </w:r>
          </w:p>
          <w:p>
            <w:pPr>
              <w:ind w:firstLine="480"/>
              <w:jc w:val="center"/>
              <w:rPr>
                <w:color w:val="auto"/>
                <w:szCs w:val="24"/>
                <w:highlight w:val="none"/>
              </w:rPr>
            </w:pPr>
            <w:r>
              <w:rPr>
                <w:color w:val="auto"/>
                <w:szCs w:val="24"/>
                <w:highlight w:val="none"/>
              </w:rPr>
              <w:drawing>
                <wp:anchor distT="0" distB="0" distL="114935" distR="114935" simplePos="0" relativeHeight="251660288" behindDoc="0" locked="0" layoutInCell="1" allowOverlap="1">
                  <wp:simplePos x="0" y="0"/>
                  <wp:positionH relativeFrom="column">
                    <wp:posOffset>2011680</wp:posOffset>
                  </wp:positionH>
                  <wp:positionV relativeFrom="paragraph">
                    <wp:posOffset>34290</wp:posOffset>
                  </wp:positionV>
                  <wp:extent cx="1912620" cy="1100455"/>
                  <wp:effectExtent l="0" t="0" r="11430" b="4445"/>
                  <wp:wrapTopAndBottom/>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pic:cNvPicPr>
                        </pic:nvPicPr>
                        <pic:blipFill>
                          <a:blip r:embed="rId18" cstate="print"/>
                          <a:stretch>
                            <a:fillRect/>
                          </a:stretch>
                        </pic:blipFill>
                        <pic:spPr>
                          <a:xfrm>
                            <a:off x="0" y="0"/>
                            <a:ext cx="1912620" cy="1100455"/>
                          </a:xfrm>
                          <a:prstGeom prst="rect">
                            <a:avLst/>
                          </a:prstGeom>
                          <a:noFill/>
                          <a:ln>
                            <a:noFill/>
                          </a:ln>
                        </pic:spPr>
                      </pic:pic>
                    </a:graphicData>
                  </a:graphic>
                </wp:anchor>
              </w:drawing>
            </w:r>
            <w:r>
              <w:rPr>
                <w:color w:val="auto"/>
                <w:szCs w:val="24"/>
                <w:highlight w:val="none"/>
              </w:rPr>
              <w:drawing>
                <wp:inline distT="0" distB="0" distL="114300" distR="114300">
                  <wp:extent cx="2019300" cy="482600"/>
                  <wp:effectExtent l="0" t="0" r="0" b="1333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9" cstate="print"/>
                          <a:stretch>
                            <a:fillRect/>
                          </a:stretch>
                        </pic:blipFill>
                        <pic:spPr>
                          <a:xfrm>
                            <a:off x="0" y="0"/>
                            <a:ext cx="2019300" cy="482600"/>
                          </a:xfrm>
                          <a:prstGeom prst="rect">
                            <a:avLst/>
                          </a:prstGeom>
                          <a:noFill/>
                          <a:ln>
                            <a:noFill/>
                          </a:ln>
                        </pic:spPr>
                      </pic:pic>
                    </a:graphicData>
                  </a:graphic>
                </wp:inline>
              </w:drawing>
            </w:r>
          </w:p>
          <w:p>
            <w:pPr>
              <w:spacing w:line="500" w:lineRule="exact"/>
              <w:ind w:firstLine="480"/>
              <w:rPr>
                <w:color w:val="auto"/>
                <w:szCs w:val="24"/>
                <w:highlight w:val="none"/>
              </w:rPr>
            </w:pPr>
            <w:r>
              <w:rPr>
                <w:color w:val="auto"/>
                <w:szCs w:val="24"/>
                <w:highlight w:val="none"/>
              </w:rPr>
              <w:t>式中：Loct,1—某个室内声源在靠近围护结构处产生的倍频带声压级；</w:t>
            </w:r>
          </w:p>
          <w:p>
            <w:pPr>
              <w:spacing w:line="500" w:lineRule="exact"/>
              <w:ind w:firstLine="720" w:firstLineChars="300"/>
              <w:rPr>
                <w:color w:val="auto"/>
                <w:szCs w:val="24"/>
                <w:highlight w:val="none"/>
              </w:rPr>
            </w:pPr>
            <w:r>
              <w:rPr>
                <w:color w:val="auto"/>
                <w:szCs w:val="24"/>
                <w:highlight w:val="none"/>
              </w:rPr>
              <w:t xml:space="preserve">     Lw oct—某个声源的倍频带声功率级；</w:t>
            </w:r>
          </w:p>
          <w:p>
            <w:pPr>
              <w:spacing w:line="500" w:lineRule="exact"/>
              <w:ind w:firstLine="720" w:firstLineChars="300"/>
              <w:rPr>
                <w:color w:val="auto"/>
                <w:szCs w:val="24"/>
                <w:highlight w:val="none"/>
              </w:rPr>
            </w:pPr>
            <w:r>
              <w:rPr>
                <w:color w:val="auto"/>
                <w:szCs w:val="24"/>
                <w:highlight w:val="none"/>
              </w:rPr>
              <w:t xml:space="preserve">     r1—室内某个声源与靠近围护结构处的距离；</w:t>
            </w:r>
          </w:p>
          <w:p>
            <w:pPr>
              <w:spacing w:line="500" w:lineRule="exact"/>
              <w:ind w:firstLine="720" w:firstLineChars="300"/>
              <w:rPr>
                <w:color w:val="auto"/>
                <w:szCs w:val="24"/>
                <w:highlight w:val="none"/>
              </w:rPr>
            </w:pPr>
            <w:r>
              <w:rPr>
                <w:color w:val="auto"/>
                <w:szCs w:val="24"/>
                <w:highlight w:val="none"/>
              </w:rPr>
              <w:t xml:space="preserve">     R—房间常数；</w:t>
            </w:r>
          </w:p>
          <w:p>
            <w:pPr>
              <w:spacing w:line="500" w:lineRule="exact"/>
              <w:ind w:firstLine="720" w:firstLineChars="300"/>
              <w:rPr>
                <w:color w:val="auto"/>
                <w:szCs w:val="24"/>
                <w:highlight w:val="none"/>
              </w:rPr>
            </w:pPr>
            <w:r>
              <w:rPr>
                <w:color w:val="auto"/>
                <w:szCs w:val="24"/>
                <w:highlight w:val="none"/>
              </w:rPr>
              <w:t xml:space="preserve">     Q—方向因子。</w:t>
            </w:r>
          </w:p>
          <w:p>
            <w:pPr>
              <w:spacing w:line="500" w:lineRule="exact"/>
              <w:ind w:firstLine="480"/>
              <w:rPr>
                <w:color w:val="auto"/>
                <w:szCs w:val="24"/>
                <w:highlight w:val="none"/>
              </w:rPr>
            </w:pPr>
            <w:r>
              <w:rPr>
                <w:color w:val="auto"/>
                <w:szCs w:val="24"/>
                <w:highlight w:val="none"/>
              </w:rPr>
              <w:t>计算出所有室内声源在靠近围护结构处产生的总倍频带声压级：</w:t>
            </w:r>
          </w:p>
          <w:p>
            <w:pPr>
              <w:ind w:firstLine="480"/>
              <w:jc w:val="center"/>
              <w:rPr>
                <w:color w:val="auto"/>
                <w:szCs w:val="24"/>
                <w:highlight w:val="none"/>
              </w:rPr>
            </w:pPr>
            <w:r>
              <w:rPr>
                <w:color w:val="auto"/>
                <w:szCs w:val="24"/>
                <w:highlight w:val="none"/>
              </w:rPr>
              <w:drawing>
                <wp:inline distT="0" distB="0" distL="114300" distR="114300">
                  <wp:extent cx="1841500" cy="457200"/>
                  <wp:effectExtent l="0" t="0" r="635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20" cstate="print"/>
                          <a:stretch>
                            <a:fillRect/>
                          </a:stretch>
                        </pic:blipFill>
                        <pic:spPr>
                          <a:xfrm>
                            <a:off x="0" y="0"/>
                            <a:ext cx="1841500" cy="457200"/>
                          </a:xfrm>
                          <a:prstGeom prst="rect">
                            <a:avLst/>
                          </a:prstGeom>
                          <a:noFill/>
                          <a:ln>
                            <a:noFill/>
                          </a:ln>
                        </pic:spPr>
                      </pic:pic>
                    </a:graphicData>
                  </a:graphic>
                </wp:inline>
              </w:drawing>
            </w:r>
          </w:p>
          <w:p>
            <w:pPr>
              <w:spacing w:line="500" w:lineRule="exact"/>
              <w:ind w:firstLine="480"/>
              <w:rPr>
                <w:color w:val="auto"/>
                <w:szCs w:val="24"/>
                <w:highlight w:val="none"/>
              </w:rPr>
            </w:pPr>
            <w:r>
              <w:rPr>
                <w:color w:val="auto"/>
                <w:szCs w:val="24"/>
                <w:highlight w:val="none"/>
              </w:rPr>
              <w:t>计算出室外靠近围护结构处的声压级：</w:t>
            </w:r>
          </w:p>
          <w:p>
            <w:pPr>
              <w:ind w:firstLine="480"/>
              <w:jc w:val="center"/>
              <w:rPr>
                <w:color w:val="auto"/>
                <w:szCs w:val="24"/>
                <w:highlight w:val="none"/>
              </w:rPr>
            </w:pPr>
            <w:r>
              <w:rPr>
                <w:color w:val="auto"/>
                <w:szCs w:val="24"/>
                <w:highlight w:val="none"/>
              </w:rPr>
              <w:object>
                <v:shape id="_x0000_i1025" o:spt="75" type="#_x0000_t75" style="height:19.25pt;width:152.7pt;" o:ole="t" filled="f" o:preferrelative="t" stroked="f" coordsize="21600,21600">
                  <v:path/>
                  <v:fill on="f" focussize="0,0"/>
                  <v:stroke on="f" joinstyle="miter"/>
                  <v:imagedata r:id="rId22" o:title=""/>
                  <o:lock v:ext="edit" aspectratio="t"/>
                  <w10:wrap type="none"/>
                  <w10:anchorlock/>
                </v:shape>
                <o:OLEObject Type="Embed" ProgID="Equations" ShapeID="_x0000_i1025" DrawAspect="Content" ObjectID="_1468075725" r:id="rId21">
                  <o:LockedField>false</o:LockedField>
                </o:OLEObject>
              </w:object>
            </w:r>
          </w:p>
          <w:p>
            <w:pPr>
              <w:spacing w:line="500" w:lineRule="exact"/>
              <w:ind w:firstLine="480"/>
              <w:rPr>
                <w:color w:val="auto"/>
                <w:szCs w:val="24"/>
                <w:highlight w:val="none"/>
              </w:rPr>
            </w:pPr>
            <w:r>
              <w:rPr>
                <w:color w:val="auto"/>
                <w:szCs w:val="24"/>
                <w:highlight w:val="none"/>
              </w:rPr>
              <w:t>将室外声级Loct,2(T)和透声面积换算成等效的室外声源，计算出等效声源第i个倍频带的声功率级Lw oct：</w:t>
            </w:r>
          </w:p>
          <w:p>
            <w:pPr>
              <w:ind w:firstLine="480"/>
              <w:jc w:val="center"/>
              <w:rPr>
                <w:color w:val="auto"/>
                <w:szCs w:val="24"/>
                <w:highlight w:val="none"/>
              </w:rPr>
            </w:pPr>
            <w:r>
              <w:rPr>
                <w:color w:val="auto"/>
                <w:szCs w:val="24"/>
                <w:highlight w:val="none"/>
              </w:rPr>
              <w:object>
                <v:shape id="_x0000_i1026" o:spt="75" type="#_x0000_t75" style="height:19.25pt;width:124.3pt;" o:ole="t" filled="f" o:preferrelative="t" stroked="f" coordsize="21600,21600">
                  <v:path/>
                  <v:fill on="f" focussize="0,0"/>
                  <v:stroke on="f" joinstyle="miter"/>
                  <v:imagedata r:id="rId24" o:title=""/>
                  <o:lock v:ext="edit" aspectratio="t"/>
                  <w10:wrap type="none"/>
                  <w10:anchorlock/>
                </v:shape>
                <o:OLEObject Type="Embed" ProgID="Equations" ShapeID="_x0000_i1026" DrawAspect="Content" ObjectID="_1468075726" r:id="rId23">
                  <o:LockedField>false</o:LockedField>
                </o:OLEObject>
              </w:object>
            </w:r>
          </w:p>
          <w:p>
            <w:pPr>
              <w:spacing w:line="500" w:lineRule="exact"/>
              <w:ind w:firstLine="480"/>
              <w:rPr>
                <w:color w:val="auto"/>
                <w:szCs w:val="24"/>
                <w:highlight w:val="none"/>
              </w:rPr>
            </w:pPr>
            <w:r>
              <w:rPr>
                <w:color w:val="auto"/>
                <w:szCs w:val="24"/>
                <w:highlight w:val="none"/>
              </w:rPr>
              <w:t>式中：S为透声面积，m</w:t>
            </w:r>
            <w:r>
              <w:rPr>
                <w:color w:val="auto"/>
                <w:szCs w:val="24"/>
                <w:highlight w:val="none"/>
                <w:vertAlign w:val="superscript"/>
              </w:rPr>
              <w:t>2</w:t>
            </w:r>
            <w:r>
              <w:rPr>
                <w:color w:val="auto"/>
                <w:szCs w:val="24"/>
                <w:highlight w:val="none"/>
              </w:rPr>
              <w:t>。</w:t>
            </w:r>
          </w:p>
          <w:p>
            <w:pPr>
              <w:spacing w:line="500" w:lineRule="exact"/>
              <w:ind w:firstLine="480"/>
              <w:outlineLvl w:val="0"/>
              <w:rPr>
                <w:color w:val="auto"/>
                <w:szCs w:val="24"/>
                <w:highlight w:val="none"/>
              </w:rPr>
            </w:pPr>
            <w:bookmarkStart w:id="6" w:name="_Toc26840"/>
            <w:bookmarkStart w:id="7" w:name="_Toc11749"/>
            <w:bookmarkStart w:id="8" w:name="_Toc13308"/>
            <w:r>
              <w:rPr>
                <w:color w:val="auto"/>
                <w:szCs w:val="24"/>
                <w:highlight w:val="none"/>
              </w:rPr>
              <w:t>等效室外声源的位置为围护结构的位置，其倍频带声功率级为Lw oct，由此按室外声源方法计算等效室外声源在预测点产生的声级。</w:t>
            </w:r>
            <w:bookmarkEnd w:id="6"/>
            <w:bookmarkEnd w:id="7"/>
            <w:bookmarkEnd w:id="8"/>
          </w:p>
          <w:p>
            <w:pPr>
              <w:pStyle w:val="5"/>
              <w:keepNext w:val="0"/>
              <w:keepLines w:val="0"/>
              <w:tabs>
                <w:tab w:val="left" w:pos="720"/>
              </w:tabs>
              <w:spacing w:line="5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eastAsia="宋体"/>
                <w:color w:val="auto"/>
                <w:sz w:val="24"/>
                <w:szCs w:val="24"/>
                <w:highlight w:val="none"/>
              </w:rPr>
              <w:t>2</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室外声源预测模式</w:t>
            </w:r>
          </w:p>
          <w:p>
            <w:pPr>
              <w:pStyle w:val="5"/>
              <w:keepNext w:val="0"/>
              <w:keepLines w:val="0"/>
              <w:tabs>
                <w:tab w:val="left" w:pos="720"/>
              </w:tabs>
              <w:spacing w:line="500" w:lineRule="exact"/>
              <w:ind w:firstLine="480"/>
              <w:rPr>
                <w:rFonts w:ascii="宋体" w:hAnsi="宋体" w:eastAsia="宋体" w:cs="宋体"/>
                <w:color w:val="auto"/>
                <w:sz w:val="24"/>
                <w:szCs w:val="24"/>
                <w:highlight w:val="none"/>
              </w:rPr>
            </w:pPr>
            <w:r>
              <w:rPr>
                <w:rFonts w:ascii="宋体" w:hAnsi="宋体" w:eastAsia="宋体" w:cs="宋体"/>
                <w:color w:val="auto"/>
                <w:sz w:val="24"/>
                <w:szCs w:val="24"/>
                <w:highlight w:val="none"/>
              </w:rPr>
              <w:t>计算某个声源在预测点的倍频带声压级</w:t>
            </w:r>
          </w:p>
          <w:p>
            <w:pPr>
              <w:ind w:firstLine="480"/>
              <w:jc w:val="center"/>
              <w:rPr>
                <w:color w:val="auto"/>
                <w:szCs w:val="24"/>
                <w:highlight w:val="none"/>
              </w:rPr>
            </w:pPr>
            <w:r>
              <w:rPr>
                <w:color w:val="auto"/>
                <w:szCs w:val="24"/>
                <w:highlight w:val="none"/>
              </w:rPr>
              <w:drawing>
                <wp:inline distT="0" distB="0" distL="114300" distR="114300">
                  <wp:extent cx="2209800" cy="482600"/>
                  <wp:effectExtent l="0" t="0" r="0" b="13335"/>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25" cstate="print"/>
                          <a:stretch>
                            <a:fillRect/>
                          </a:stretch>
                        </pic:blipFill>
                        <pic:spPr>
                          <a:xfrm>
                            <a:off x="0" y="0"/>
                            <a:ext cx="2209800" cy="482600"/>
                          </a:xfrm>
                          <a:prstGeom prst="rect">
                            <a:avLst/>
                          </a:prstGeom>
                          <a:noFill/>
                          <a:ln>
                            <a:noFill/>
                          </a:ln>
                        </pic:spPr>
                      </pic:pic>
                    </a:graphicData>
                  </a:graphic>
                </wp:inline>
              </w:drawing>
            </w:r>
          </w:p>
          <w:p>
            <w:pPr>
              <w:ind w:firstLine="480"/>
              <w:rPr>
                <w:color w:val="auto"/>
                <w:szCs w:val="24"/>
                <w:highlight w:val="none"/>
              </w:rPr>
            </w:pPr>
            <w:r>
              <w:rPr>
                <w:color w:val="auto"/>
                <w:szCs w:val="24"/>
                <w:highlight w:val="none"/>
              </w:rPr>
              <w:t>式中：</w:t>
            </w:r>
          </w:p>
          <w:p>
            <w:pPr>
              <w:ind w:firstLine="480"/>
              <w:rPr>
                <w:color w:val="auto"/>
                <w:szCs w:val="24"/>
                <w:highlight w:val="none"/>
              </w:rPr>
            </w:pPr>
            <w:r>
              <w:rPr>
                <w:color w:val="auto"/>
                <w:szCs w:val="24"/>
                <w:highlight w:val="none"/>
              </w:rPr>
              <w:t xml:space="preserve">     L</w:t>
            </w:r>
            <w:r>
              <w:rPr>
                <w:color w:val="auto"/>
                <w:szCs w:val="24"/>
                <w:highlight w:val="none"/>
                <w:vertAlign w:val="subscript"/>
              </w:rPr>
              <w:t>oct</w:t>
            </w:r>
            <w:r>
              <w:rPr>
                <w:color w:val="auto"/>
                <w:szCs w:val="24"/>
                <w:highlight w:val="none"/>
              </w:rPr>
              <w:t>(r)—点声源在预测点产生的倍频带声压级；</w:t>
            </w:r>
          </w:p>
          <w:p>
            <w:pPr>
              <w:ind w:firstLine="480"/>
              <w:rPr>
                <w:color w:val="auto"/>
                <w:szCs w:val="24"/>
                <w:highlight w:val="none"/>
              </w:rPr>
            </w:pPr>
            <w:r>
              <w:rPr>
                <w:color w:val="auto"/>
                <w:szCs w:val="24"/>
                <w:highlight w:val="none"/>
              </w:rPr>
              <w:t xml:space="preserve">     L</w:t>
            </w:r>
            <w:r>
              <w:rPr>
                <w:rFonts w:hint="eastAsia"/>
                <w:color w:val="auto"/>
                <w:szCs w:val="24"/>
                <w:highlight w:val="none"/>
                <w:vertAlign w:val="subscript"/>
              </w:rPr>
              <w:t>o</w:t>
            </w:r>
            <w:r>
              <w:rPr>
                <w:color w:val="auto"/>
                <w:szCs w:val="24"/>
                <w:highlight w:val="none"/>
                <w:vertAlign w:val="subscript"/>
              </w:rPr>
              <w:t>ct</w:t>
            </w:r>
            <w:r>
              <w:rPr>
                <w:color w:val="auto"/>
                <w:szCs w:val="24"/>
                <w:highlight w:val="none"/>
              </w:rPr>
              <w:t>(r</w:t>
            </w:r>
            <w:r>
              <w:rPr>
                <w:color w:val="auto"/>
                <w:szCs w:val="24"/>
                <w:highlight w:val="none"/>
                <w:vertAlign w:val="subscript"/>
              </w:rPr>
              <w:t>0</w:t>
            </w:r>
            <w:r>
              <w:rPr>
                <w:color w:val="auto"/>
                <w:szCs w:val="24"/>
                <w:highlight w:val="none"/>
              </w:rPr>
              <w:t>)—参考位置r0处的倍频带声压级；</w:t>
            </w:r>
          </w:p>
          <w:p>
            <w:pPr>
              <w:ind w:firstLine="480"/>
              <w:rPr>
                <w:color w:val="auto"/>
                <w:szCs w:val="24"/>
                <w:highlight w:val="none"/>
              </w:rPr>
            </w:pPr>
            <w:r>
              <w:rPr>
                <w:color w:val="auto"/>
                <w:szCs w:val="24"/>
                <w:highlight w:val="none"/>
              </w:rPr>
              <w:t xml:space="preserve">     r—预测点距声源的距离，m；</w:t>
            </w:r>
          </w:p>
          <w:p>
            <w:pPr>
              <w:ind w:firstLine="480"/>
              <w:rPr>
                <w:color w:val="auto"/>
                <w:szCs w:val="24"/>
                <w:highlight w:val="none"/>
              </w:rPr>
            </w:pPr>
            <w:r>
              <w:rPr>
                <w:color w:val="auto"/>
                <w:szCs w:val="24"/>
                <w:highlight w:val="none"/>
              </w:rPr>
              <w:t xml:space="preserve">     r</w:t>
            </w:r>
            <w:r>
              <w:rPr>
                <w:color w:val="auto"/>
                <w:szCs w:val="24"/>
                <w:highlight w:val="none"/>
                <w:vertAlign w:val="subscript"/>
              </w:rPr>
              <w:t>0</w:t>
            </w:r>
            <w:r>
              <w:rPr>
                <w:color w:val="auto"/>
                <w:szCs w:val="24"/>
                <w:highlight w:val="none"/>
              </w:rPr>
              <w:t>—参考位置距声源的距离，m；</w:t>
            </w:r>
          </w:p>
          <w:p>
            <w:pPr>
              <w:spacing w:line="500" w:lineRule="exact"/>
              <w:ind w:firstLine="480"/>
              <w:rPr>
                <w:color w:val="auto"/>
                <w:szCs w:val="24"/>
                <w:highlight w:val="none"/>
              </w:rPr>
            </w:pPr>
            <w:r>
              <w:rPr>
                <w:color w:val="auto"/>
                <w:szCs w:val="24"/>
                <w:highlight w:val="none"/>
              </w:rPr>
              <w:t xml:space="preserve">     ΔLoct—各种因素引起的衰减量（包括声屏障、遮挡物、空气吸收、地面效应等引起的衰减量，一般为8～25dB（A）），综合考虑，取值ΔL</w:t>
            </w:r>
            <w:r>
              <w:rPr>
                <w:color w:val="auto"/>
                <w:szCs w:val="24"/>
                <w:highlight w:val="none"/>
                <w:vertAlign w:val="subscript"/>
              </w:rPr>
              <w:t>oct</w:t>
            </w:r>
            <w:r>
              <w:rPr>
                <w:color w:val="auto"/>
                <w:szCs w:val="24"/>
                <w:highlight w:val="none"/>
              </w:rPr>
              <w:t>=</w:t>
            </w:r>
            <w:r>
              <w:rPr>
                <w:rFonts w:hint="eastAsia"/>
                <w:color w:val="auto"/>
                <w:szCs w:val="24"/>
                <w:highlight w:val="none"/>
              </w:rPr>
              <w:t>20</w:t>
            </w:r>
            <w:r>
              <w:rPr>
                <w:color w:val="auto"/>
                <w:szCs w:val="24"/>
                <w:highlight w:val="none"/>
              </w:rPr>
              <w:t>dB（A）。</w:t>
            </w:r>
          </w:p>
          <w:p>
            <w:pPr>
              <w:spacing w:line="500" w:lineRule="exact"/>
              <w:ind w:firstLine="480"/>
              <w:rPr>
                <w:bCs/>
                <w:color w:val="auto"/>
                <w:highlight w:val="none"/>
              </w:rPr>
            </w:pPr>
            <w:r>
              <w:rPr>
                <w:bCs/>
                <w:color w:val="auto"/>
                <w:highlight w:val="none"/>
              </w:rPr>
              <w:t>（</w:t>
            </w:r>
            <w:r>
              <w:rPr>
                <w:rFonts w:hint="eastAsia"/>
                <w:bCs/>
                <w:color w:val="auto"/>
                <w:highlight w:val="none"/>
                <w:lang w:val="en-US" w:eastAsia="zh-CN"/>
              </w:rPr>
              <w:t>3</w:t>
            </w:r>
            <w:r>
              <w:rPr>
                <w:bCs/>
                <w:color w:val="auto"/>
                <w:highlight w:val="none"/>
              </w:rPr>
              <w:t>）预测方法</w:t>
            </w:r>
          </w:p>
          <w:p>
            <w:pPr>
              <w:spacing w:line="500" w:lineRule="exact"/>
              <w:ind w:firstLine="480"/>
              <w:rPr>
                <w:bCs/>
                <w:color w:val="auto"/>
                <w:szCs w:val="24"/>
                <w:highlight w:val="none"/>
              </w:rPr>
            </w:pPr>
            <w:r>
              <w:rPr>
                <w:bCs/>
                <w:color w:val="auto"/>
                <w:szCs w:val="22"/>
                <w:highlight w:val="none"/>
              </w:rPr>
              <w:t>本次预测采用网格法进行预测，根据场地总平面布置中所确定的各个噪声源及其与厂界的相对位置，利用上述预测模式和确定的各设备的声级值，对厂界噪声级进行预测计算。</w:t>
            </w:r>
          </w:p>
          <w:p>
            <w:pPr>
              <w:spacing w:line="500" w:lineRule="exact"/>
              <w:ind w:firstLine="480"/>
              <w:rPr>
                <w:bCs/>
                <w:color w:val="auto"/>
                <w:highlight w:val="none"/>
              </w:rPr>
            </w:pPr>
            <w:r>
              <w:rPr>
                <w:bCs/>
                <w:color w:val="auto"/>
                <w:highlight w:val="none"/>
              </w:rPr>
              <w:t>（</w:t>
            </w:r>
            <w:r>
              <w:rPr>
                <w:rFonts w:hint="eastAsia"/>
                <w:bCs/>
                <w:color w:val="auto"/>
                <w:highlight w:val="none"/>
                <w:lang w:val="en-US" w:eastAsia="zh-CN"/>
              </w:rPr>
              <w:t>4</w:t>
            </w:r>
            <w:r>
              <w:rPr>
                <w:bCs/>
                <w:color w:val="auto"/>
                <w:highlight w:val="none"/>
              </w:rPr>
              <w:t>）预测结果</w:t>
            </w:r>
          </w:p>
          <w:p>
            <w:pPr>
              <w:spacing w:line="500" w:lineRule="exact"/>
              <w:ind w:firstLine="480"/>
              <w:rPr>
                <w:bCs/>
                <w:color w:val="auto"/>
                <w:szCs w:val="24"/>
                <w:highlight w:val="none"/>
              </w:rPr>
            </w:pPr>
            <w:r>
              <w:rPr>
                <w:bCs/>
                <w:color w:val="auto"/>
                <w:szCs w:val="22"/>
                <w:highlight w:val="none"/>
              </w:rPr>
              <w:t>本项目正常运行工况下，厂区内各噪声衰减预测结果见表</w:t>
            </w:r>
            <w:r>
              <w:rPr>
                <w:rFonts w:hint="eastAsia"/>
                <w:bCs/>
                <w:color w:val="auto"/>
                <w:szCs w:val="22"/>
                <w:highlight w:val="none"/>
              </w:rPr>
              <w:t>4-13</w:t>
            </w:r>
            <w:r>
              <w:rPr>
                <w:bCs/>
                <w:color w:val="auto"/>
                <w:szCs w:val="22"/>
                <w:highlight w:val="none"/>
              </w:rPr>
              <w:t>。</w:t>
            </w:r>
          </w:p>
          <w:p>
            <w:pPr>
              <w:spacing w:line="460" w:lineRule="exact"/>
              <w:ind w:firstLine="422"/>
              <w:jc w:val="center"/>
              <w:rPr>
                <w:color w:val="auto"/>
                <w:sz w:val="21"/>
                <w:szCs w:val="16"/>
                <w:highlight w:val="none"/>
              </w:rPr>
            </w:pPr>
            <w:bookmarkStart w:id="9" w:name="_Toc1205"/>
            <w:r>
              <w:rPr>
                <w:rFonts w:hint="eastAsia"/>
                <w:b/>
                <w:color w:val="auto"/>
                <w:sz w:val="21"/>
                <w:szCs w:val="18"/>
                <w:highlight w:val="none"/>
              </w:rPr>
              <w:t xml:space="preserve">表4-13  </w:t>
            </w:r>
            <w:r>
              <w:rPr>
                <w:b/>
                <w:color w:val="auto"/>
                <w:sz w:val="21"/>
                <w:szCs w:val="18"/>
                <w:highlight w:val="none"/>
              </w:rPr>
              <w:t>厂界噪声影响预测结果</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026"/>
              <w:gridCol w:w="1065"/>
              <w:gridCol w:w="836"/>
              <w:gridCol w:w="1063"/>
              <w:gridCol w:w="815"/>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85"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监测点位</w:t>
                  </w:r>
                </w:p>
              </w:tc>
              <w:tc>
                <w:tcPr>
                  <w:tcW w:w="1617" w:type="dxa"/>
                  <w:vMerge w:val="restart"/>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叠加后噪声值</w:t>
                  </w:r>
                </w:p>
                <w:p>
                  <w:pPr>
                    <w:spacing w:line="240" w:lineRule="auto"/>
                    <w:ind w:firstLine="0" w:firstLineChars="0"/>
                    <w:jc w:val="center"/>
                    <w:rPr>
                      <w:b/>
                      <w:bCs/>
                      <w:color w:val="auto"/>
                      <w:sz w:val="21"/>
                      <w:szCs w:val="21"/>
                      <w:highlight w:val="none"/>
                    </w:rPr>
                  </w:pPr>
                  <w:r>
                    <w:rPr>
                      <w:b/>
                      <w:color w:val="auto"/>
                      <w:sz w:val="21"/>
                      <w:szCs w:val="21"/>
                      <w:highlight w:val="none"/>
                    </w:rPr>
                    <w:t>dB（A）</w:t>
                  </w:r>
                </w:p>
              </w:tc>
              <w:tc>
                <w:tcPr>
                  <w:tcW w:w="1683"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治理后噪声值</w:t>
                  </w:r>
                </w:p>
                <w:p>
                  <w:pPr>
                    <w:spacing w:line="240" w:lineRule="auto"/>
                    <w:ind w:firstLine="0" w:firstLineChars="0"/>
                    <w:jc w:val="center"/>
                    <w:rPr>
                      <w:b/>
                      <w:color w:val="auto"/>
                      <w:sz w:val="21"/>
                      <w:szCs w:val="21"/>
                      <w:highlight w:val="none"/>
                    </w:rPr>
                  </w:pPr>
                  <w:r>
                    <w:rPr>
                      <w:b/>
                      <w:color w:val="auto"/>
                      <w:sz w:val="21"/>
                      <w:szCs w:val="21"/>
                      <w:highlight w:val="none"/>
                    </w:rPr>
                    <w:t>dB（A）</w:t>
                  </w:r>
                </w:p>
              </w:tc>
              <w:tc>
                <w:tcPr>
                  <w:tcW w:w="1287"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距离</w:t>
                  </w:r>
                </w:p>
              </w:tc>
              <w:tc>
                <w:tcPr>
                  <w:tcW w:w="1680"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贡献值</w:t>
                  </w:r>
                </w:p>
                <w:p>
                  <w:pPr>
                    <w:spacing w:line="240" w:lineRule="auto"/>
                    <w:ind w:firstLine="0" w:firstLineChars="0"/>
                    <w:jc w:val="center"/>
                    <w:rPr>
                      <w:b/>
                      <w:color w:val="auto"/>
                      <w:sz w:val="21"/>
                      <w:szCs w:val="21"/>
                      <w:highlight w:val="none"/>
                    </w:rPr>
                  </w:pPr>
                  <w:r>
                    <w:rPr>
                      <w:b/>
                      <w:color w:val="auto"/>
                      <w:sz w:val="21"/>
                      <w:szCs w:val="21"/>
                      <w:highlight w:val="none"/>
                    </w:rPr>
                    <w:t>dB（A）</w:t>
                  </w:r>
                </w:p>
              </w:tc>
              <w:tc>
                <w:tcPr>
                  <w:tcW w:w="4354" w:type="dxa"/>
                  <w:gridSpan w:val="2"/>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标准值</w:t>
                  </w:r>
                  <w:r>
                    <w:rPr>
                      <w:b/>
                      <w:color w:val="auto"/>
                      <w:sz w:val="21"/>
                      <w:szCs w:val="21"/>
                      <w:highlight w:val="none"/>
                    </w:rPr>
                    <w:t>dB（A</w:t>
                  </w: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2985" w:type="dxa"/>
                  <w:vMerge w:val="continue"/>
                  <w:vAlign w:val="center"/>
                </w:tcPr>
                <w:p>
                  <w:pPr>
                    <w:spacing w:line="240" w:lineRule="auto"/>
                    <w:ind w:firstLine="0" w:firstLineChars="0"/>
                    <w:jc w:val="center"/>
                    <w:rPr>
                      <w:bCs/>
                      <w:color w:val="auto"/>
                      <w:sz w:val="21"/>
                      <w:szCs w:val="21"/>
                      <w:highlight w:val="none"/>
                    </w:rPr>
                  </w:pPr>
                </w:p>
              </w:tc>
              <w:tc>
                <w:tcPr>
                  <w:tcW w:w="1617" w:type="dxa"/>
                  <w:vMerge w:val="continue"/>
                  <w:vAlign w:val="center"/>
                </w:tcPr>
                <w:p>
                  <w:pPr>
                    <w:spacing w:line="240" w:lineRule="auto"/>
                    <w:ind w:firstLine="0" w:firstLineChars="0"/>
                    <w:jc w:val="center"/>
                    <w:rPr>
                      <w:bCs/>
                      <w:color w:val="auto"/>
                      <w:sz w:val="21"/>
                      <w:szCs w:val="21"/>
                      <w:highlight w:val="none"/>
                    </w:rPr>
                  </w:pPr>
                </w:p>
              </w:tc>
              <w:tc>
                <w:tcPr>
                  <w:tcW w:w="1683" w:type="dxa"/>
                  <w:vMerge w:val="continue"/>
                  <w:vAlign w:val="center"/>
                </w:tcPr>
                <w:p>
                  <w:pPr>
                    <w:spacing w:line="240" w:lineRule="auto"/>
                    <w:ind w:firstLine="0" w:firstLineChars="0"/>
                    <w:jc w:val="center"/>
                    <w:rPr>
                      <w:bCs/>
                      <w:color w:val="auto"/>
                      <w:sz w:val="21"/>
                      <w:szCs w:val="21"/>
                      <w:highlight w:val="none"/>
                    </w:rPr>
                  </w:pPr>
                </w:p>
              </w:tc>
              <w:tc>
                <w:tcPr>
                  <w:tcW w:w="1287" w:type="dxa"/>
                  <w:vMerge w:val="continue"/>
                  <w:tcBorders>
                    <w:bottom w:val="single" w:color="auto" w:sz="2" w:space="0"/>
                  </w:tcBorders>
                  <w:vAlign w:val="center"/>
                </w:tcPr>
                <w:p>
                  <w:pPr>
                    <w:spacing w:line="240" w:lineRule="auto"/>
                    <w:ind w:firstLine="0" w:firstLineChars="0"/>
                    <w:jc w:val="center"/>
                    <w:rPr>
                      <w:bCs/>
                      <w:color w:val="auto"/>
                      <w:sz w:val="21"/>
                      <w:szCs w:val="21"/>
                      <w:highlight w:val="none"/>
                    </w:rPr>
                  </w:pPr>
                </w:p>
              </w:tc>
              <w:tc>
                <w:tcPr>
                  <w:tcW w:w="1680" w:type="dxa"/>
                  <w:vMerge w:val="continue"/>
                  <w:vAlign w:val="center"/>
                </w:tcPr>
                <w:p>
                  <w:pPr>
                    <w:spacing w:line="240" w:lineRule="auto"/>
                    <w:ind w:firstLine="0" w:firstLineChars="0"/>
                    <w:jc w:val="center"/>
                    <w:rPr>
                      <w:bCs/>
                      <w:color w:val="auto"/>
                      <w:sz w:val="21"/>
                      <w:szCs w:val="21"/>
                      <w:highlight w:val="none"/>
                    </w:rPr>
                  </w:pPr>
                </w:p>
              </w:tc>
              <w:tc>
                <w:tcPr>
                  <w:tcW w:w="4354" w:type="dxa"/>
                  <w:gridSpan w:val="2"/>
                  <w:tcBorders>
                    <w:bottom w:val="single" w:color="auto" w:sz="4" w:space="0"/>
                  </w:tcBorders>
                  <w:vAlign w:val="center"/>
                </w:tcPr>
                <w:p>
                  <w:pPr>
                    <w:spacing w:line="240" w:lineRule="auto"/>
                    <w:ind w:firstLine="0" w:firstLineChars="0"/>
                    <w:jc w:val="center"/>
                    <w:rPr>
                      <w:bCs/>
                      <w:color w:val="auto"/>
                      <w:sz w:val="21"/>
                      <w:szCs w:val="21"/>
                      <w:highlight w:val="none"/>
                    </w:rPr>
                  </w:pPr>
                  <w:r>
                    <w:rPr>
                      <w:bCs/>
                      <w:color w:val="auto"/>
                      <w:sz w:val="21"/>
                      <w:szCs w:val="21"/>
                      <w:highlight w:val="none"/>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98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厂界东</w:t>
                  </w:r>
                </w:p>
              </w:tc>
              <w:tc>
                <w:tcPr>
                  <w:tcW w:w="1617"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108.1</w:t>
                  </w:r>
                </w:p>
              </w:tc>
              <w:tc>
                <w:tcPr>
                  <w:tcW w:w="1683"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88.1</w:t>
                  </w:r>
                </w:p>
              </w:tc>
              <w:tc>
                <w:tcPr>
                  <w:tcW w:w="1287"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18</w:t>
                  </w:r>
                </w:p>
              </w:tc>
              <w:tc>
                <w:tcPr>
                  <w:tcW w:w="1680"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 xml:space="preserve">63.0 </w:t>
                  </w:r>
                </w:p>
              </w:tc>
              <w:tc>
                <w:tcPr>
                  <w:tcW w:w="1250"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65</w:t>
                  </w:r>
                </w:p>
              </w:tc>
              <w:tc>
                <w:tcPr>
                  <w:tcW w:w="3104"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8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厂界南</w:t>
                  </w:r>
                </w:p>
              </w:tc>
              <w:tc>
                <w:tcPr>
                  <w:tcW w:w="1617" w:type="dxa"/>
                  <w:vMerge w:val="continue"/>
                  <w:vAlign w:val="center"/>
                </w:tcPr>
                <w:p>
                  <w:pPr>
                    <w:spacing w:line="240" w:lineRule="auto"/>
                    <w:ind w:firstLine="0" w:firstLineChars="0"/>
                    <w:jc w:val="center"/>
                    <w:rPr>
                      <w:color w:val="auto"/>
                      <w:sz w:val="21"/>
                      <w:szCs w:val="21"/>
                      <w:highlight w:val="none"/>
                    </w:rPr>
                  </w:pPr>
                </w:p>
              </w:tc>
              <w:tc>
                <w:tcPr>
                  <w:tcW w:w="1683" w:type="dxa"/>
                  <w:vMerge w:val="continue"/>
                  <w:vAlign w:val="center"/>
                </w:tcPr>
                <w:p>
                  <w:pPr>
                    <w:spacing w:line="240" w:lineRule="auto"/>
                    <w:ind w:firstLine="0" w:firstLineChars="0"/>
                    <w:jc w:val="center"/>
                    <w:rPr>
                      <w:color w:val="auto"/>
                      <w:sz w:val="21"/>
                      <w:szCs w:val="21"/>
                      <w:highlight w:val="none"/>
                    </w:rPr>
                  </w:pPr>
                </w:p>
              </w:tc>
              <w:tc>
                <w:tcPr>
                  <w:tcW w:w="1287"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61</w:t>
                  </w:r>
                </w:p>
              </w:tc>
              <w:tc>
                <w:tcPr>
                  <w:tcW w:w="1680"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 xml:space="preserve">52.4 </w:t>
                  </w:r>
                </w:p>
              </w:tc>
              <w:tc>
                <w:tcPr>
                  <w:tcW w:w="1250" w:type="dxa"/>
                  <w:vMerge w:val="continue"/>
                  <w:vAlign w:val="center"/>
                </w:tcPr>
                <w:p>
                  <w:pPr>
                    <w:spacing w:line="240" w:lineRule="auto"/>
                    <w:ind w:firstLine="0" w:firstLineChars="0"/>
                    <w:jc w:val="center"/>
                    <w:rPr>
                      <w:bCs/>
                      <w:color w:val="auto"/>
                      <w:sz w:val="21"/>
                      <w:szCs w:val="21"/>
                      <w:highlight w:val="none"/>
                    </w:rPr>
                  </w:pPr>
                </w:p>
              </w:tc>
              <w:tc>
                <w:tcPr>
                  <w:tcW w:w="3104"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8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厂界西</w:t>
                  </w:r>
                </w:p>
              </w:tc>
              <w:tc>
                <w:tcPr>
                  <w:tcW w:w="1617" w:type="dxa"/>
                  <w:vMerge w:val="continue"/>
                  <w:vAlign w:val="center"/>
                </w:tcPr>
                <w:p>
                  <w:pPr>
                    <w:spacing w:line="240" w:lineRule="auto"/>
                    <w:ind w:firstLine="0" w:firstLineChars="0"/>
                    <w:jc w:val="center"/>
                    <w:rPr>
                      <w:color w:val="auto"/>
                      <w:sz w:val="21"/>
                      <w:szCs w:val="21"/>
                      <w:highlight w:val="none"/>
                    </w:rPr>
                  </w:pPr>
                </w:p>
              </w:tc>
              <w:tc>
                <w:tcPr>
                  <w:tcW w:w="1683" w:type="dxa"/>
                  <w:vMerge w:val="continue"/>
                  <w:vAlign w:val="center"/>
                </w:tcPr>
                <w:p>
                  <w:pPr>
                    <w:spacing w:line="240" w:lineRule="auto"/>
                    <w:ind w:firstLine="0" w:firstLineChars="0"/>
                    <w:jc w:val="center"/>
                    <w:rPr>
                      <w:color w:val="auto"/>
                      <w:sz w:val="21"/>
                      <w:szCs w:val="21"/>
                      <w:highlight w:val="none"/>
                    </w:rPr>
                  </w:pPr>
                </w:p>
              </w:tc>
              <w:tc>
                <w:tcPr>
                  <w:tcW w:w="1287" w:type="dxa"/>
                  <w:tcBorders>
                    <w:bottom w:val="single" w:color="auto" w:sz="4" w:space="0"/>
                  </w:tcBorders>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53</w:t>
                  </w:r>
                </w:p>
              </w:tc>
              <w:tc>
                <w:tcPr>
                  <w:tcW w:w="1680"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 xml:space="preserve">53.6 </w:t>
                  </w:r>
                </w:p>
              </w:tc>
              <w:tc>
                <w:tcPr>
                  <w:tcW w:w="1250" w:type="dxa"/>
                  <w:vMerge w:val="continue"/>
                  <w:vAlign w:val="center"/>
                </w:tcPr>
                <w:p>
                  <w:pPr>
                    <w:spacing w:line="240" w:lineRule="auto"/>
                    <w:ind w:firstLine="0" w:firstLineChars="0"/>
                    <w:jc w:val="center"/>
                    <w:rPr>
                      <w:bCs/>
                      <w:color w:val="auto"/>
                      <w:sz w:val="21"/>
                      <w:szCs w:val="21"/>
                      <w:highlight w:val="none"/>
                    </w:rPr>
                  </w:pPr>
                </w:p>
              </w:tc>
              <w:tc>
                <w:tcPr>
                  <w:tcW w:w="3104"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8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厂界北</w:t>
                  </w:r>
                </w:p>
              </w:tc>
              <w:tc>
                <w:tcPr>
                  <w:tcW w:w="1617" w:type="dxa"/>
                  <w:vMerge w:val="continue"/>
                  <w:vAlign w:val="center"/>
                </w:tcPr>
                <w:p>
                  <w:pPr>
                    <w:spacing w:line="240" w:lineRule="auto"/>
                    <w:ind w:firstLine="0" w:firstLineChars="0"/>
                    <w:jc w:val="center"/>
                    <w:rPr>
                      <w:color w:val="auto"/>
                      <w:sz w:val="21"/>
                      <w:szCs w:val="21"/>
                      <w:highlight w:val="none"/>
                    </w:rPr>
                  </w:pPr>
                </w:p>
              </w:tc>
              <w:tc>
                <w:tcPr>
                  <w:tcW w:w="1683" w:type="dxa"/>
                  <w:vMerge w:val="continue"/>
                  <w:vAlign w:val="center"/>
                </w:tcPr>
                <w:p>
                  <w:pPr>
                    <w:spacing w:line="240" w:lineRule="auto"/>
                    <w:ind w:firstLine="0" w:firstLineChars="0"/>
                    <w:jc w:val="center"/>
                    <w:rPr>
                      <w:color w:val="auto"/>
                      <w:sz w:val="21"/>
                      <w:szCs w:val="21"/>
                      <w:highlight w:val="none"/>
                    </w:rPr>
                  </w:pPr>
                </w:p>
              </w:tc>
              <w:tc>
                <w:tcPr>
                  <w:tcW w:w="1287" w:type="dxa"/>
                  <w:tcBorders>
                    <w:top w:val="single" w:color="auto" w:sz="4" w:space="0"/>
                    <w:bottom w:val="single" w:color="auto" w:sz="4" w:space="0"/>
                  </w:tcBorders>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54</w:t>
                  </w:r>
                </w:p>
              </w:tc>
              <w:tc>
                <w:tcPr>
                  <w:tcW w:w="1680"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 xml:space="preserve">53.5 </w:t>
                  </w:r>
                </w:p>
              </w:tc>
              <w:tc>
                <w:tcPr>
                  <w:tcW w:w="1250" w:type="dxa"/>
                  <w:vMerge w:val="continue"/>
                  <w:vAlign w:val="center"/>
                </w:tcPr>
                <w:p>
                  <w:pPr>
                    <w:spacing w:line="240" w:lineRule="auto"/>
                    <w:ind w:firstLine="0" w:firstLineChars="0"/>
                    <w:jc w:val="center"/>
                    <w:rPr>
                      <w:bCs/>
                      <w:color w:val="auto"/>
                      <w:sz w:val="21"/>
                      <w:szCs w:val="21"/>
                      <w:highlight w:val="none"/>
                    </w:rPr>
                  </w:pPr>
                </w:p>
              </w:tc>
              <w:tc>
                <w:tcPr>
                  <w:tcW w:w="3104"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8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西南侧敏感点</w:t>
                  </w:r>
                </w:p>
              </w:tc>
              <w:tc>
                <w:tcPr>
                  <w:tcW w:w="1617" w:type="dxa"/>
                  <w:vMerge w:val="continue"/>
                  <w:vAlign w:val="center"/>
                </w:tcPr>
                <w:p>
                  <w:pPr>
                    <w:spacing w:line="240" w:lineRule="auto"/>
                    <w:ind w:firstLine="0" w:firstLineChars="0"/>
                    <w:jc w:val="center"/>
                    <w:rPr>
                      <w:color w:val="auto"/>
                      <w:sz w:val="21"/>
                      <w:szCs w:val="21"/>
                      <w:highlight w:val="none"/>
                    </w:rPr>
                  </w:pPr>
                </w:p>
              </w:tc>
              <w:tc>
                <w:tcPr>
                  <w:tcW w:w="1683" w:type="dxa"/>
                  <w:vMerge w:val="continue"/>
                  <w:vAlign w:val="center"/>
                </w:tcPr>
                <w:p>
                  <w:pPr>
                    <w:spacing w:line="240" w:lineRule="auto"/>
                    <w:ind w:firstLine="0" w:firstLineChars="0"/>
                    <w:jc w:val="center"/>
                    <w:rPr>
                      <w:color w:val="auto"/>
                      <w:sz w:val="21"/>
                      <w:szCs w:val="21"/>
                      <w:highlight w:val="none"/>
                    </w:rPr>
                  </w:pPr>
                </w:p>
              </w:tc>
              <w:tc>
                <w:tcPr>
                  <w:tcW w:w="1287" w:type="dxa"/>
                  <w:tcBorders>
                    <w:top w:val="single" w:color="auto" w:sz="4" w:space="0"/>
                    <w:bottom w:val="single" w:color="auto" w:sz="4" w:space="0"/>
                  </w:tcBorders>
                  <w:vAlign w:val="center"/>
                </w:tcPr>
                <w:p>
                  <w:pPr>
                    <w:widowControl/>
                    <w:spacing w:line="240" w:lineRule="auto"/>
                    <w:ind w:firstLine="0" w:firstLineChars="0"/>
                    <w:jc w:val="center"/>
                    <w:textAlignment w:val="center"/>
                    <w:rPr>
                      <w:color w:val="auto"/>
                      <w:kern w:val="0"/>
                      <w:sz w:val="21"/>
                      <w:szCs w:val="21"/>
                      <w:highlight w:val="none"/>
                    </w:rPr>
                  </w:pPr>
                  <w:r>
                    <w:rPr>
                      <w:rFonts w:hint="eastAsia"/>
                      <w:color w:val="auto"/>
                      <w:kern w:val="0"/>
                      <w:sz w:val="21"/>
                      <w:szCs w:val="21"/>
                      <w:highlight w:val="none"/>
                    </w:rPr>
                    <w:t>30</w:t>
                  </w:r>
                </w:p>
              </w:tc>
              <w:tc>
                <w:tcPr>
                  <w:tcW w:w="1680" w:type="dxa"/>
                  <w:vAlign w:val="center"/>
                </w:tcPr>
                <w:p>
                  <w:pPr>
                    <w:widowControl/>
                    <w:spacing w:line="240" w:lineRule="auto"/>
                    <w:ind w:firstLine="0" w:firstLineChars="0"/>
                    <w:jc w:val="center"/>
                    <w:textAlignment w:val="center"/>
                    <w:rPr>
                      <w:color w:val="auto"/>
                      <w:kern w:val="0"/>
                      <w:sz w:val="21"/>
                      <w:szCs w:val="21"/>
                      <w:highlight w:val="none"/>
                    </w:rPr>
                  </w:pPr>
                  <w:r>
                    <w:rPr>
                      <w:rFonts w:hint="eastAsia"/>
                      <w:color w:val="auto"/>
                      <w:kern w:val="0"/>
                      <w:sz w:val="21"/>
                      <w:szCs w:val="21"/>
                      <w:highlight w:val="none"/>
                    </w:rPr>
                    <w:t>58.6</w:t>
                  </w:r>
                </w:p>
              </w:tc>
              <w:tc>
                <w:tcPr>
                  <w:tcW w:w="125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60</w:t>
                  </w:r>
                </w:p>
              </w:tc>
              <w:tc>
                <w:tcPr>
                  <w:tcW w:w="310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达标</w:t>
                  </w:r>
                </w:p>
              </w:tc>
            </w:tr>
          </w:tbl>
          <w:p>
            <w:pPr>
              <w:spacing w:line="460" w:lineRule="exact"/>
              <w:ind w:firstLine="420"/>
              <w:rPr>
                <w:color w:val="auto"/>
                <w:sz w:val="21"/>
                <w:szCs w:val="16"/>
                <w:highlight w:val="none"/>
              </w:rPr>
            </w:pPr>
            <w:r>
              <w:rPr>
                <w:rFonts w:hint="eastAsia"/>
                <w:color w:val="auto"/>
                <w:sz w:val="21"/>
                <w:szCs w:val="16"/>
                <w:highlight w:val="none"/>
              </w:rPr>
              <w:t>注：夜间不生产。</w:t>
            </w:r>
          </w:p>
          <w:p>
            <w:pPr>
              <w:spacing w:line="500" w:lineRule="exact"/>
              <w:ind w:firstLine="480"/>
              <w:rPr>
                <w:color w:val="auto"/>
                <w:highlight w:val="none"/>
              </w:rPr>
            </w:pPr>
            <w:r>
              <w:rPr>
                <w:color w:val="auto"/>
                <w:highlight w:val="none"/>
                <w:lang w:val="zh-CN"/>
              </w:rPr>
              <w:t>根据预测结果，</w:t>
            </w:r>
            <w:r>
              <w:rPr>
                <w:color w:val="auto"/>
                <w:highlight w:val="none"/>
              </w:rPr>
              <w:t>厂界</w:t>
            </w:r>
            <w:r>
              <w:rPr>
                <w:rFonts w:hint="eastAsia"/>
                <w:color w:val="auto"/>
                <w:highlight w:val="none"/>
              </w:rPr>
              <w:t>昼间</w:t>
            </w:r>
            <w:r>
              <w:rPr>
                <w:color w:val="auto"/>
                <w:highlight w:val="none"/>
              </w:rPr>
              <w:t>噪声</w:t>
            </w:r>
            <w:r>
              <w:rPr>
                <w:rFonts w:hint="eastAsia"/>
                <w:color w:val="auto"/>
                <w:highlight w:val="none"/>
              </w:rPr>
              <w:t>排放</w:t>
            </w:r>
            <w:r>
              <w:rPr>
                <w:color w:val="auto"/>
                <w:highlight w:val="none"/>
              </w:rPr>
              <w:t>均能够达到《工业企业厂界环境噪声排放标准》</w:t>
            </w:r>
            <w:r>
              <w:rPr>
                <w:rFonts w:hint="eastAsia"/>
                <w:color w:val="auto"/>
                <w:highlight w:val="none"/>
              </w:rPr>
              <w:t>（</w:t>
            </w:r>
            <w:r>
              <w:rPr>
                <w:color w:val="auto"/>
                <w:highlight w:val="none"/>
              </w:rPr>
              <w:t>GB12348-2008</w:t>
            </w:r>
            <w:r>
              <w:rPr>
                <w:rFonts w:hint="eastAsia"/>
                <w:color w:val="auto"/>
                <w:highlight w:val="none"/>
              </w:rPr>
              <w:t>）</w:t>
            </w:r>
            <w:r>
              <w:rPr>
                <w:color w:val="auto"/>
                <w:highlight w:val="none"/>
              </w:rPr>
              <w:t>中的</w:t>
            </w:r>
            <w:r>
              <w:rPr>
                <w:rFonts w:hint="eastAsia"/>
                <w:color w:val="auto"/>
                <w:highlight w:val="none"/>
              </w:rPr>
              <w:t>3</w:t>
            </w:r>
            <w:r>
              <w:rPr>
                <w:color w:val="auto"/>
                <w:highlight w:val="none"/>
              </w:rPr>
              <w:t>类标准</w:t>
            </w:r>
            <w:r>
              <w:rPr>
                <w:rFonts w:hint="eastAsia"/>
                <w:color w:val="auto"/>
                <w:highlight w:val="none"/>
              </w:rPr>
              <w:t>，西南侧敏感点昼间噪声排放能够达到《</w:t>
            </w:r>
            <w:r>
              <w:rPr>
                <w:color w:val="auto"/>
                <w:highlight w:val="none"/>
              </w:rPr>
              <w:t>工业企业厂界环境噪声排放标准》</w:t>
            </w:r>
            <w:r>
              <w:rPr>
                <w:rFonts w:hint="eastAsia"/>
                <w:color w:val="auto"/>
                <w:highlight w:val="none"/>
              </w:rPr>
              <w:t>（</w:t>
            </w:r>
            <w:r>
              <w:rPr>
                <w:color w:val="auto"/>
                <w:highlight w:val="none"/>
              </w:rPr>
              <w:t>GB12348-2008</w:t>
            </w:r>
            <w:r>
              <w:rPr>
                <w:rFonts w:hint="eastAsia"/>
                <w:color w:val="auto"/>
                <w:highlight w:val="none"/>
              </w:rPr>
              <w:t>）中的2类标准，</w:t>
            </w:r>
            <w:r>
              <w:rPr>
                <w:color w:val="auto"/>
                <w:highlight w:val="none"/>
              </w:rPr>
              <w:t>对周围声环境质量的影响不大。</w:t>
            </w:r>
            <w:bookmarkEnd w:id="9"/>
          </w:p>
          <w:p>
            <w:pPr>
              <w:spacing w:line="500" w:lineRule="exact"/>
              <w:ind w:firstLine="480"/>
              <w:rPr>
                <w:color w:val="auto"/>
                <w:highlight w:val="none"/>
              </w:rPr>
            </w:pPr>
            <w:r>
              <w:rPr>
                <w:rFonts w:hint="eastAsia"/>
                <w:color w:val="auto"/>
                <w:highlight w:val="none"/>
              </w:rPr>
              <w:t>4、监测计划</w:t>
            </w:r>
          </w:p>
          <w:tbl>
            <w:tblPr>
              <w:tblStyle w:val="31"/>
              <w:tblpPr w:leftFromText="180" w:rightFromText="180" w:vertAnchor="text" w:horzAnchor="page" w:tblpXSpec="center" w:tblpY="1507"/>
              <w:tblOverlap w:val="never"/>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698"/>
              <w:gridCol w:w="2518"/>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3"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类别</w:t>
                  </w:r>
                </w:p>
              </w:tc>
              <w:tc>
                <w:tcPr>
                  <w:tcW w:w="169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监测点位</w:t>
                  </w:r>
                </w:p>
              </w:tc>
              <w:tc>
                <w:tcPr>
                  <w:tcW w:w="2518" w:type="dxa"/>
                  <w:tcBorders>
                    <w:right w:val="single" w:color="auto" w:sz="4" w:space="0"/>
                  </w:tcBorders>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监测项目</w:t>
                  </w:r>
                </w:p>
              </w:tc>
              <w:tc>
                <w:tcPr>
                  <w:tcW w:w="2525" w:type="dxa"/>
                  <w:tcBorders>
                    <w:top w:val="single" w:color="auto" w:sz="4" w:space="0"/>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3"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厂界噪声</w:t>
                  </w:r>
                </w:p>
              </w:tc>
              <w:tc>
                <w:tcPr>
                  <w:tcW w:w="169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厂界</w:t>
                  </w:r>
                </w:p>
              </w:tc>
              <w:tc>
                <w:tcPr>
                  <w:tcW w:w="2518" w:type="dxa"/>
                  <w:tcBorders>
                    <w:right w:val="single" w:color="auto" w:sz="4" w:space="0"/>
                  </w:tcBorders>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等效连续A声级</w:t>
                  </w:r>
                </w:p>
              </w:tc>
              <w:tc>
                <w:tcPr>
                  <w:tcW w:w="2525" w:type="dxa"/>
                  <w:tcBorders>
                    <w:left w:val="single" w:color="auto" w:sz="4" w:space="0"/>
                    <w:bottom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1次/季度，昼间一次</w:t>
                  </w:r>
                </w:p>
              </w:tc>
            </w:tr>
          </w:tbl>
          <w:p>
            <w:pPr>
              <w:spacing w:line="500" w:lineRule="exact"/>
              <w:ind w:firstLine="480"/>
              <w:rPr>
                <w:color w:val="auto"/>
                <w:highlight w:val="none"/>
              </w:rPr>
            </w:pPr>
            <w:r>
              <w:rPr>
                <w:bCs/>
                <w:snapToGrid w:val="0"/>
                <w:color w:val="auto"/>
                <w:szCs w:val="24"/>
                <w:highlight w:val="none"/>
              </w:rPr>
              <w:t>根据</w:t>
            </w:r>
            <w:r>
              <w:rPr>
                <w:color w:val="auto"/>
                <w:szCs w:val="24"/>
                <w:highlight w:val="none"/>
              </w:rPr>
              <w:t>根据导则及《排污单位自行监测技术指南总则》（HJ819-2017）要求，</w:t>
            </w:r>
            <w:r>
              <w:rPr>
                <w:rFonts w:hint="eastAsia"/>
                <w:color w:val="auto"/>
                <w:highlight w:val="none"/>
              </w:rPr>
              <w:t>制定本项目噪声监测计划如下：</w:t>
            </w:r>
          </w:p>
          <w:p>
            <w:pPr>
              <w:adjustRightInd w:val="0"/>
              <w:snapToGrid w:val="0"/>
              <w:spacing w:line="460" w:lineRule="exact"/>
              <w:ind w:firstLine="422"/>
              <w:jc w:val="center"/>
              <w:rPr>
                <w:b/>
                <w:bCs/>
                <w:color w:val="auto"/>
                <w:sz w:val="21"/>
                <w:szCs w:val="21"/>
                <w:highlight w:val="none"/>
              </w:rPr>
            </w:pPr>
            <w:r>
              <w:rPr>
                <w:b/>
                <w:bCs/>
                <w:color w:val="auto"/>
                <w:sz w:val="21"/>
                <w:szCs w:val="21"/>
                <w:highlight w:val="none"/>
              </w:rPr>
              <w:t>表</w:t>
            </w:r>
            <w:r>
              <w:rPr>
                <w:rFonts w:hint="eastAsia"/>
                <w:b/>
                <w:bCs/>
                <w:color w:val="auto"/>
                <w:sz w:val="21"/>
                <w:szCs w:val="21"/>
                <w:highlight w:val="none"/>
              </w:rPr>
              <w:t>4-14项目噪声监测计划表</w:t>
            </w:r>
          </w:p>
          <w:p>
            <w:pPr>
              <w:spacing w:line="500" w:lineRule="exact"/>
              <w:ind w:firstLine="0" w:firstLineChars="0"/>
              <w:rPr>
                <w:b/>
                <w:bCs/>
                <w:color w:val="auto"/>
                <w:highlight w:val="none"/>
              </w:rPr>
            </w:pPr>
            <w:r>
              <w:rPr>
                <w:rFonts w:hint="eastAsia"/>
                <w:b/>
                <w:bCs/>
                <w:color w:val="auto"/>
                <w:highlight w:val="none"/>
              </w:rPr>
              <w:t>4.2.4固体废物</w:t>
            </w:r>
          </w:p>
          <w:p>
            <w:pPr>
              <w:spacing w:line="500" w:lineRule="exact"/>
              <w:ind w:firstLine="480"/>
              <w:rPr>
                <w:color w:val="auto"/>
                <w:highlight w:val="none"/>
              </w:rPr>
            </w:pPr>
            <w:r>
              <w:rPr>
                <w:rFonts w:hint="eastAsia"/>
                <w:color w:val="auto"/>
                <w:highlight w:val="none"/>
              </w:rPr>
              <w:t>1、固体废物产生情况</w:t>
            </w:r>
          </w:p>
          <w:p>
            <w:pPr>
              <w:spacing w:line="500" w:lineRule="exact"/>
              <w:ind w:firstLine="480"/>
              <w:rPr>
                <w:color w:val="auto"/>
                <w:szCs w:val="24"/>
                <w:highlight w:val="none"/>
              </w:rPr>
            </w:pPr>
            <w:r>
              <w:rPr>
                <w:color w:val="auto"/>
                <w:szCs w:val="24"/>
                <w:highlight w:val="none"/>
              </w:rPr>
              <w:t>项目运营期产生的固体废物主要为生活垃圾、</w:t>
            </w:r>
            <w:r>
              <w:rPr>
                <w:rFonts w:hint="eastAsia"/>
                <w:snapToGrid w:val="0"/>
                <w:color w:val="auto"/>
                <w:kern w:val="0"/>
                <w:szCs w:val="24"/>
                <w:highlight w:val="none"/>
              </w:rPr>
              <w:t>收集的粉尘和废包装袋</w:t>
            </w:r>
            <w:r>
              <w:rPr>
                <w:color w:val="auto"/>
                <w:szCs w:val="24"/>
                <w:highlight w:val="none"/>
              </w:rPr>
              <w:t>。</w:t>
            </w:r>
          </w:p>
          <w:p>
            <w:pPr>
              <w:spacing w:line="500" w:lineRule="exact"/>
              <w:ind w:firstLine="480"/>
              <w:rPr>
                <w:color w:val="auto"/>
                <w:szCs w:val="24"/>
                <w:highlight w:val="none"/>
              </w:rPr>
            </w:pPr>
            <w:r>
              <w:rPr>
                <w:color w:val="auto"/>
                <w:szCs w:val="24"/>
                <w:highlight w:val="none"/>
              </w:rPr>
              <w:t>（1）生活</w:t>
            </w:r>
            <w:r>
              <w:rPr>
                <w:rFonts w:hint="eastAsia"/>
                <w:color w:val="auto"/>
                <w:szCs w:val="24"/>
                <w:highlight w:val="none"/>
              </w:rPr>
              <w:t>垃圾</w:t>
            </w:r>
          </w:p>
          <w:p>
            <w:pPr>
              <w:spacing w:line="500" w:lineRule="exact"/>
              <w:ind w:firstLine="480"/>
              <w:rPr>
                <w:color w:val="auto"/>
                <w:szCs w:val="24"/>
                <w:highlight w:val="none"/>
              </w:rPr>
            </w:pPr>
            <w:r>
              <w:rPr>
                <w:color w:val="auto"/>
                <w:szCs w:val="24"/>
                <w:highlight w:val="none"/>
              </w:rPr>
              <w:t>本项目职工定员</w:t>
            </w:r>
            <w:r>
              <w:rPr>
                <w:rFonts w:hint="eastAsia"/>
                <w:color w:val="auto"/>
                <w:szCs w:val="24"/>
                <w:highlight w:val="none"/>
              </w:rPr>
              <w:t>10</w:t>
            </w:r>
            <w:r>
              <w:rPr>
                <w:color w:val="auto"/>
                <w:szCs w:val="24"/>
                <w:highlight w:val="none"/>
              </w:rPr>
              <w:t>人，按每人每天产生1.0kg计，年生产天数为300d，则每年生活垃圾产生量</w:t>
            </w:r>
            <w:r>
              <w:rPr>
                <w:rFonts w:hint="eastAsia"/>
                <w:color w:val="auto"/>
                <w:szCs w:val="24"/>
                <w:highlight w:val="none"/>
              </w:rPr>
              <w:t>3</w:t>
            </w:r>
            <w:r>
              <w:rPr>
                <w:color w:val="auto"/>
                <w:szCs w:val="24"/>
                <w:highlight w:val="none"/>
              </w:rPr>
              <w:t>t，委托当地环卫部门清运，不排放。</w:t>
            </w:r>
          </w:p>
          <w:p>
            <w:pPr>
              <w:spacing w:line="500" w:lineRule="exact"/>
              <w:ind w:firstLine="480"/>
              <w:rPr>
                <w:color w:val="auto"/>
                <w:szCs w:val="24"/>
                <w:highlight w:val="none"/>
              </w:rPr>
            </w:pPr>
            <w:r>
              <w:rPr>
                <w:rFonts w:hint="eastAsia"/>
                <w:color w:val="auto"/>
                <w:szCs w:val="24"/>
                <w:highlight w:val="none"/>
              </w:rPr>
              <w:t>（2）</w:t>
            </w:r>
            <w:r>
              <w:rPr>
                <w:rFonts w:hint="eastAsia"/>
                <w:snapToGrid w:val="0"/>
                <w:color w:val="auto"/>
                <w:kern w:val="0"/>
                <w:szCs w:val="24"/>
                <w:highlight w:val="none"/>
              </w:rPr>
              <w:t>收集的粉尘</w:t>
            </w:r>
          </w:p>
          <w:p>
            <w:pPr>
              <w:spacing w:line="500" w:lineRule="exact"/>
              <w:ind w:firstLine="480"/>
              <w:rPr>
                <w:color w:val="auto"/>
                <w:szCs w:val="24"/>
                <w:highlight w:val="none"/>
              </w:rPr>
            </w:pPr>
            <w:r>
              <w:rPr>
                <w:rFonts w:hint="eastAsia"/>
                <w:snapToGrid w:val="0"/>
                <w:color w:val="auto"/>
                <w:kern w:val="0"/>
                <w:szCs w:val="24"/>
                <w:highlight w:val="none"/>
              </w:rPr>
              <w:t>本项目营运期使用脉冲布袋除尘设施去除产生的粉尘，定期清理布袋中的粉尘，</w:t>
            </w:r>
            <w:r>
              <w:rPr>
                <w:color w:val="auto"/>
                <w:spacing w:val="-4"/>
                <w:szCs w:val="24"/>
                <w:highlight w:val="none"/>
              </w:rPr>
              <w:t>根据前述工艺粉尘源强分析</w:t>
            </w:r>
            <w:r>
              <w:rPr>
                <w:rFonts w:hint="eastAsia"/>
                <w:snapToGrid w:val="0"/>
                <w:color w:val="auto"/>
                <w:kern w:val="0"/>
                <w:szCs w:val="24"/>
                <w:highlight w:val="none"/>
              </w:rPr>
              <w:t>，其布袋中粉尘产生量为20.898t/a，</w:t>
            </w:r>
            <w:r>
              <w:rPr>
                <w:color w:val="auto"/>
                <w:spacing w:val="-4"/>
                <w:szCs w:val="24"/>
                <w:highlight w:val="none"/>
              </w:rPr>
              <w:t>集中收集后可作为原料回用于特种砂浆生产</w:t>
            </w:r>
            <w:r>
              <w:rPr>
                <w:snapToGrid w:val="0"/>
                <w:color w:val="auto"/>
                <w:kern w:val="0"/>
                <w:szCs w:val="24"/>
                <w:highlight w:val="none"/>
              </w:rPr>
              <w:t>，不排放。</w:t>
            </w:r>
          </w:p>
          <w:p>
            <w:pPr>
              <w:spacing w:line="500" w:lineRule="exact"/>
              <w:ind w:firstLine="480"/>
              <w:rPr>
                <w:color w:val="auto"/>
                <w:szCs w:val="24"/>
                <w:highlight w:val="none"/>
              </w:rPr>
            </w:pPr>
            <w:r>
              <w:rPr>
                <w:rFonts w:hint="eastAsia"/>
                <w:color w:val="auto"/>
                <w:szCs w:val="24"/>
                <w:highlight w:val="none"/>
              </w:rPr>
              <w:t>（3）</w:t>
            </w:r>
            <w:r>
              <w:rPr>
                <w:rFonts w:hint="eastAsia"/>
                <w:snapToGrid w:val="0"/>
                <w:color w:val="auto"/>
                <w:kern w:val="0"/>
                <w:szCs w:val="24"/>
                <w:highlight w:val="none"/>
              </w:rPr>
              <w:t>废包装袋</w:t>
            </w:r>
          </w:p>
          <w:p>
            <w:pPr>
              <w:pStyle w:val="4"/>
              <w:spacing w:line="500" w:lineRule="exact"/>
              <w:ind w:firstLine="480"/>
              <w:rPr>
                <w:rFonts w:ascii="Times New Roman" w:cs="Times New Roman"/>
                <w:b w:val="0"/>
                <w:bCs w:val="0"/>
                <w:color w:val="auto"/>
                <w:highlight w:val="none"/>
                <w:lang w:val="en-US" w:bidi="ar-SA"/>
              </w:rPr>
            </w:pPr>
            <w:r>
              <w:rPr>
                <w:rFonts w:ascii="Times New Roman" w:cs="Times New Roman"/>
                <w:b w:val="0"/>
                <w:bCs w:val="0"/>
                <w:color w:val="auto"/>
                <w:highlight w:val="none"/>
                <w:lang w:val="en-US" w:bidi="ar-SA"/>
              </w:rPr>
              <w:t>本项目营运期原材料在使用完毕后会产生一定量的废包装材料，主要为编织袋，类比同类型项目，其废包装袋产生量为2t/a，集中收集后出售给废旧物资回收公司，不排放。</w:t>
            </w:r>
          </w:p>
          <w:p>
            <w:pPr>
              <w:spacing w:line="500" w:lineRule="exact"/>
              <w:ind w:firstLine="480"/>
              <w:rPr>
                <w:rFonts w:hAnsi="宋体"/>
                <w:color w:val="auto"/>
                <w:szCs w:val="24"/>
                <w:highlight w:val="none"/>
              </w:rPr>
            </w:pPr>
            <w:r>
              <w:rPr>
                <w:rFonts w:hint="eastAsia" w:hAnsi="宋体"/>
                <w:color w:val="auto"/>
                <w:szCs w:val="24"/>
                <w:highlight w:val="none"/>
              </w:rPr>
              <w:t>（4）废机油</w:t>
            </w:r>
          </w:p>
          <w:p>
            <w:pPr>
              <w:pStyle w:val="4"/>
              <w:spacing w:line="500" w:lineRule="exact"/>
              <w:ind w:firstLine="480"/>
              <w:rPr>
                <w:rFonts w:cs="Times New Roman"/>
                <w:b w:val="0"/>
                <w:bCs w:val="0"/>
                <w:color w:val="auto"/>
                <w:highlight w:val="none"/>
                <w:lang w:val="en-US" w:bidi="ar-SA"/>
              </w:rPr>
            </w:pPr>
            <w:r>
              <w:rPr>
                <w:rFonts w:hint="eastAsia" w:cs="Times New Roman"/>
                <w:b w:val="0"/>
                <w:bCs w:val="0"/>
                <w:color w:val="auto"/>
                <w:highlight w:val="none"/>
                <w:lang w:val="en-US" w:bidi="ar-SA"/>
              </w:rPr>
              <w:t>本项目营运期会对机械设备定期进行维修保养，其保养过程中会产生一定量的废机油，类比同类型项目，其产生量约</w:t>
            </w:r>
            <w:r>
              <w:rPr>
                <w:rFonts w:ascii="Times New Roman" w:hAnsi="Times New Roman" w:cs="Times New Roman"/>
                <w:b w:val="0"/>
                <w:bCs w:val="0"/>
                <w:color w:val="auto"/>
                <w:highlight w:val="none"/>
                <w:lang w:val="en-US" w:bidi="ar-SA"/>
              </w:rPr>
              <w:t>为</w:t>
            </w:r>
            <w:r>
              <w:rPr>
                <w:rFonts w:hint="eastAsia" w:ascii="Times New Roman" w:hAnsi="Times New Roman" w:cs="Times New Roman"/>
                <w:b w:val="0"/>
                <w:bCs w:val="0"/>
                <w:color w:val="auto"/>
                <w:highlight w:val="none"/>
                <w:lang w:val="en-US" w:bidi="ar-SA"/>
              </w:rPr>
              <w:t>1</w:t>
            </w:r>
            <w:r>
              <w:rPr>
                <w:rFonts w:ascii="Times New Roman" w:hAnsi="Times New Roman" w:cs="Times New Roman"/>
                <w:b w:val="0"/>
                <w:bCs w:val="0"/>
                <w:color w:val="auto"/>
                <w:highlight w:val="none"/>
                <w:lang w:val="en-US" w:bidi="ar-SA"/>
              </w:rPr>
              <w:t>t/a。对照《国家危险废物名录》，该固废属于危险固废，废物类别为HW08废矿物油与含矿物油废物，废物代码为900-249-08，通过集</w:t>
            </w:r>
            <w:r>
              <w:rPr>
                <w:rFonts w:hint="eastAsia" w:cs="Times New Roman"/>
                <w:b w:val="0"/>
                <w:bCs w:val="0"/>
                <w:color w:val="auto"/>
                <w:highlight w:val="none"/>
                <w:lang w:val="en-US" w:bidi="ar-SA"/>
              </w:rPr>
              <w:t>中收集后委托资质单位进行处置，不排放。</w:t>
            </w:r>
          </w:p>
          <w:p>
            <w:pPr>
              <w:ind w:firstLine="480"/>
              <w:rPr>
                <w:color w:val="auto"/>
                <w:szCs w:val="24"/>
                <w:highlight w:val="none"/>
              </w:rPr>
            </w:pPr>
            <w:r>
              <w:rPr>
                <w:rFonts w:hint="eastAsia"/>
                <w:color w:val="auto"/>
                <w:szCs w:val="24"/>
                <w:highlight w:val="none"/>
              </w:rPr>
              <w:t>（5）废包装桶</w:t>
            </w:r>
          </w:p>
          <w:p>
            <w:pPr>
              <w:pStyle w:val="4"/>
              <w:ind w:firstLine="480"/>
              <w:rPr>
                <w:rFonts w:ascii="Times New Roman" w:hAnsi="Times New Roman" w:cs="Times New Roman"/>
                <w:b w:val="0"/>
                <w:bCs w:val="0"/>
                <w:color w:val="auto"/>
                <w:highlight w:val="none"/>
                <w:lang w:val="en-US" w:bidi="ar-SA"/>
              </w:rPr>
            </w:pPr>
            <w:r>
              <w:rPr>
                <w:rFonts w:hint="eastAsia" w:cs="Times New Roman"/>
                <w:b w:val="0"/>
                <w:bCs w:val="0"/>
                <w:color w:val="auto"/>
                <w:highlight w:val="none"/>
                <w:lang w:val="en-US" w:bidi="ar-SA"/>
              </w:rPr>
              <w:t>本项目维修保养过程使用的机油会产生一定量的废包装桶，类比同类型项目，其废包装桶的产生量约为</w:t>
            </w:r>
            <w:r>
              <w:rPr>
                <w:rFonts w:ascii="Times New Roman" w:hAnsi="Times New Roman" w:cs="Times New Roman"/>
                <w:b w:val="0"/>
                <w:bCs w:val="0"/>
                <w:color w:val="auto"/>
                <w:highlight w:val="none"/>
                <w:lang w:val="en-US" w:bidi="ar-SA"/>
              </w:rPr>
              <w:t>0.1t</w:t>
            </w:r>
            <w:r>
              <w:rPr>
                <w:rFonts w:hint="eastAsia" w:cs="Times New Roman"/>
                <w:b w:val="0"/>
                <w:bCs w:val="0"/>
                <w:color w:val="auto"/>
                <w:highlight w:val="none"/>
                <w:lang w:val="en-US" w:bidi="ar-SA"/>
              </w:rPr>
              <w:t>，</w:t>
            </w:r>
            <w:r>
              <w:rPr>
                <w:rFonts w:ascii="Times New Roman" w:hAnsi="Times New Roman" w:cs="Times New Roman"/>
                <w:b w:val="0"/>
                <w:bCs w:val="0"/>
                <w:color w:val="auto"/>
                <w:highlight w:val="none"/>
                <w:lang w:val="en-US" w:bidi="ar-SA"/>
              </w:rPr>
              <w:t>对照《国家危险废物名录》，该固废属于危险固废，废物类别为HW</w:t>
            </w:r>
            <w:r>
              <w:rPr>
                <w:rFonts w:hint="eastAsia" w:ascii="Times New Roman" w:hAnsi="Times New Roman" w:cs="Times New Roman"/>
                <w:b w:val="0"/>
                <w:bCs w:val="0"/>
                <w:color w:val="auto"/>
                <w:highlight w:val="none"/>
                <w:lang w:val="en-US" w:bidi="ar-SA"/>
              </w:rPr>
              <w:t>49其他</w:t>
            </w:r>
            <w:r>
              <w:rPr>
                <w:rFonts w:ascii="Times New Roman" w:hAnsi="Times New Roman" w:cs="Times New Roman"/>
                <w:b w:val="0"/>
                <w:bCs w:val="0"/>
                <w:color w:val="auto"/>
                <w:highlight w:val="none"/>
                <w:lang w:val="en-US" w:bidi="ar-SA"/>
              </w:rPr>
              <w:t>废物，废物代码为</w:t>
            </w:r>
            <w:r>
              <w:rPr>
                <w:rFonts w:hint="eastAsia" w:ascii="Times New Roman" w:hAnsi="Times New Roman" w:cs="Times New Roman"/>
                <w:b w:val="0"/>
                <w:bCs w:val="0"/>
                <w:color w:val="auto"/>
                <w:highlight w:val="none"/>
                <w:lang w:val="en-US" w:bidi="ar-SA"/>
              </w:rPr>
              <w:t>900-041-49</w:t>
            </w:r>
            <w:r>
              <w:rPr>
                <w:rFonts w:ascii="Times New Roman" w:hAnsi="Times New Roman" w:cs="Times New Roman"/>
                <w:b w:val="0"/>
                <w:bCs w:val="0"/>
                <w:color w:val="auto"/>
                <w:highlight w:val="none"/>
                <w:lang w:val="en-US" w:bidi="ar-SA"/>
              </w:rPr>
              <w:t>，通过集</w:t>
            </w:r>
            <w:r>
              <w:rPr>
                <w:rFonts w:hint="eastAsia" w:cs="Times New Roman"/>
                <w:b w:val="0"/>
                <w:bCs w:val="0"/>
                <w:color w:val="auto"/>
                <w:highlight w:val="none"/>
                <w:lang w:val="en-US" w:bidi="ar-SA"/>
              </w:rPr>
              <w:t>中收集后委托资质单位进行处置，不排</w:t>
            </w:r>
            <w:r>
              <w:rPr>
                <w:rFonts w:hint="eastAsia" w:ascii="Times New Roman" w:hAnsi="Times New Roman" w:cs="Times New Roman"/>
                <w:b w:val="0"/>
                <w:bCs w:val="0"/>
                <w:color w:val="auto"/>
                <w:highlight w:val="none"/>
                <w:lang w:val="en-US" w:bidi="ar-SA"/>
              </w:rPr>
              <w:t>放。</w:t>
            </w:r>
          </w:p>
          <w:p>
            <w:pPr>
              <w:pStyle w:val="4"/>
              <w:ind w:firstLine="480"/>
              <w:rPr>
                <w:rFonts w:hint="eastAsia" w:ascii="Times New Roman" w:hAnsi="Times New Roman" w:cs="Times New Roman"/>
                <w:b w:val="0"/>
                <w:bCs w:val="0"/>
                <w:color w:val="auto"/>
                <w:highlight w:val="none"/>
                <w:lang w:val="en-US" w:bidi="ar-SA"/>
              </w:rPr>
            </w:pPr>
            <w:r>
              <w:rPr>
                <w:rFonts w:hint="eastAsia" w:ascii="Times New Roman" w:hAnsi="Times New Roman" w:cs="Times New Roman"/>
                <w:b w:val="0"/>
                <w:bCs w:val="0"/>
                <w:color w:val="auto"/>
                <w:highlight w:val="none"/>
                <w:lang w:val="en-US" w:bidi="ar-SA"/>
              </w:rPr>
              <w:t>综上所诉，本项目固体废物产排情况见表4-15。</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602"/>
              <w:gridCol w:w="635"/>
              <w:gridCol w:w="651"/>
              <w:gridCol w:w="911"/>
              <w:gridCol w:w="716"/>
              <w:gridCol w:w="545"/>
              <w:gridCol w:w="452"/>
              <w:gridCol w:w="736"/>
              <w:gridCol w:w="648"/>
              <w:gridCol w:w="570"/>
              <w:gridCol w:w="390"/>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8" w:type="dxa"/>
                  <w:noWrap/>
                  <w:vAlign w:val="center"/>
                </w:tcPr>
                <w:p>
                  <w:pPr>
                    <w:pStyle w:val="53"/>
                    <w:spacing w:line="240" w:lineRule="auto"/>
                    <w:rPr>
                      <w:b w:val="0"/>
                      <w:bCs/>
                      <w:color w:val="auto"/>
                      <w:sz w:val="21"/>
                      <w:szCs w:val="21"/>
                      <w:highlight w:val="none"/>
                    </w:rPr>
                  </w:pPr>
                  <w:r>
                    <w:rPr>
                      <w:b w:val="0"/>
                      <w:bCs/>
                      <w:color w:val="auto"/>
                      <w:sz w:val="21"/>
                      <w:szCs w:val="21"/>
                      <w:highlight w:val="none"/>
                    </w:rPr>
                    <w:t>序号</w:t>
                  </w:r>
                </w:p>
              </w:tc>
              <w:tc>
                <w:tcPr>
                  <w:tcW w:w="584" w:type="dxa"/>
                  <w:noWrap/>
                  <w:vAlign w:val="center"/>
                </w:tcPr>
                <w:p>
                  <w:pPr>
                    <w:pStyle w:val="53"/>
                    <w:spacing w:line="240" w:lineRule="auto"/>
                    <w:rPr>
                      <w:b w:val="0"/>
                      <w:bCs/>
                      <w:color w:val="auto"/>
                      <w:sz w:val="21"/>
                      <w:szCs w:val="21"/>
                      <w:highlight w:val="none"/>
                    </w:rPr>
                  </w:pPr>
                  <w:r>
                    <w:rPr>
                      <w:b w:val="0"/>
                      <w:bCs/>
                      <w:color w:val="auto"/>
                      <w:sz w:val="21"/>
                      <w:szCs w:val="21"/>
                      <w:highlight w:val="none"/>
                    </w:rPr>
                    <w:t>固废名称</w:t>
                  </w:r>
                </w:p>
              </w:tc>
              <w:tc>
                <w:tcPr>
                  <w:tcW w:w="616" w:type="dxa"/>
                  <w:noWrap/>
                  <w:vAlign w:val="center"/>
                </w:tcPr>
                <w:p>
                  <w:pPr>
                    <w:pStyle w:val="53"/>
                    <w:spacing w:line="240" w:lineRule="auto"/>
                    <w:rPr>
                      <w:b w:val="0"/>
                      <w:bCs/>
                      <w:color w:val="auto"/>
                      <w:sz w:val="21"/>
                      <w:szCs w:val="21"/>
                      <w:highlight w:val="none"/>
                    </w:rPr>
                  </w:pPr>
                  <w:r>
                    <w:rPr>
                      <w:b w:val="0"/>
                      <w:bCs/>
                      <w:color w:val="auto"/>
                      <w:sz w:val="21"/>
                      <w:szCs w:val="21"/>
                      <w:highlight w:val="none"/>
                    </w:rPr>
                    <w:t>属性</w:t>
                  </w:r>
                </w:p>
              </w:tc>
              <w:tc>
                <w:tcPr>
                  <w:tcW w:w="632" w:type="dxa"/>
                  <w:noWrap/>
                  <w:vAlign w:val="center"/>
                </w:tcPr>
                <w:p>
                  <w:pPr>
                    <w:pStyle w:val="53"/>
                    <w:spacing w:line="240" w:lineRule="auto"/>
                    <w:rPr>
                      <w:b w:val="0"/>
                      <w:bCs/>
                      <w:color w:val="auto"/>
                      <w:sz w:val="21"/>
                      <w:szCs w:val="21"/>
                      <w:highlight w:val="none"/>
                    </w:rPr>
                  </w:pPr>
                  <w:r>
                    <w:rPr>
                      <w:b w:val="0"/>
                      <w:bCs/>
                      <w:color w:val="auto"/>
                      <w:sz w:val="21"/>
                      <w:szCs w:val="21"/>
                      <w:highlight w:val="none"/>
                    </w:rPr>
                    <w:t>废物类别</w:t>
                  </w:r>
                </w:p>
              </w:tc>
              <w:tc>
                <w:tcPr>
                  <w:tcW w:w="884" w:type="dxa"/>
                  <w:noWrap/>
                  <w:vAlign w:val="center"/>
                </w:tcPr>
                <w:p>
                  <w:pPr>
                    <w:pStyle w:val="53"/>
                    <w:spacing w:line="240" w:lineRule="auto"/>
                    <w:rPr>
                      <w:b w:val="0"/>
                      <w:bCs/>
                      <w:color w:val="auto"/>
                      <w:sz w:val="21"/>
                      <w:szCs w:val="21"/>
                      <w:highlight w:val="none"/>
                    </w:rPr>
                  </w:pPr>
                  <w:r>
                    <w:rPr>
                      <w:b w:val="0"/>
                      <w:bCs/>
                      <w:color w:val="auto"/>
                      <w:sz w:val="21"/>
                      <w:szCs w:val="21"/>
                      <w:highlight w:val="none"/>
                    </w:rPr>
                    <w:t>废物代码</w:t>
                  </w:r>
                </w:p>
              </w:tc>
              <w:tc>
                <w:tcPr>
                  <w:tcW w:w="695" w:type="dxa"/>
                  <w:noWrap/>
                  <w:vAlign w:val="center"/>
                </w:tcPr>
                <w:p>
                  <w:pPr>
                    <w:pStyle w:val="53"/>
                    <w:spacing w:line="240" w:lineRule="auto"/>
                    <w:rPr>
                      <w:b w:val="0"/>
                      <w:bCs/>
                      <w:color w:val="auto"/>
                      <w:sz w:val="21"/>
                      <w:szCs w:val="21"/>
                      <w:highlight w:val="none"/>
                    </w:rPr>
                  </w:pPr>
                  <w:r>
                    <w:rPr>
                      <w:b w:val="0"/>
                      <w:bCs/>
                      <w:color w:val="auto"/>
                      <w:sz w:val="21"/>
                      <w:szCs w:val="21"/>
                      <w:highlight w:val="none"/>
                    </w:rPr>
                    <w:t>产生量（t/a）</w:t>
                  </w:r>
                </w:p>
              </w:tc>
              <w:tc>
                <w:tcPr>
                  <w:tcW w:w="529" w:type="dxa"/>
                  <w:noWrap/>
                  <w:vAlign w:val="center"/>
                </w:tcPr>
                <w:p>
                  <w:pPr>
                    <w:pStyle w:val="53"/>
                    <w:spacing w:line="240" w:lineRule="auto"/>
                    <w:rPr>
                      <w:b w:val="0"/>
                      <w:bCs/>
                      <w:color w:val="auto"/>
                      <w:sz w:val="21"/>
                      <w:szCs w:val="21"/>
                      <w:highlight w:val="none"/>
                    </w:rPr>
                  </w:pPr>
                  <w:r>
                    <w:rPr>
                      <w:b w:val="0"/>
                      <w:bCs/>
                      <w:color w:val="auto"/>
                      <w:sz w:val="21"/>
                      <w:szCs w:val="21"/>
                      <w:highlight w:val="none"/>
                    </w:rPr>
                    <w:t>产生工序</w:t>
                  </w:r>
                </w:p>
              </w:tc>
              <w:tc>
                <w:tcPr>
                  <w:tcW w:w="439" w:type="dxa"/>
                  <w:noWrap/>
                  <w:vAlign w:val="center"/>
                </w:tcPr>
                <w:p>
                  <w:pPr>
                    <w:pStyle w:val="53"/>
                    <w:spacing w:line="240" w:lineRule="auto"/>
                    <w:rPr>
                      <w:b w:val="0"/>
                      <w:bCs/>
                      <w:color w:val="auto"/>
                      <w:sz w:val="21"/>
                      <w:szCs w:val="21"/>
                      <w:highlight w:val="none"/>
                    </w:rPr>
                  </w:pPr>
                  <w:r>
                    <w:rPr>
                      <w:b w:val="0"/>
                      <w:bCs/>
                      <w:color w:val="auto"/>
                      <w:sz w:val="21"/>
                      <w:szCs w:val="21"/>
                      <w:highlight w:val="none"/>
                    </w:rPr>
                    <w:t>形态</w:t>
                  </w:r>
                </w:p>
              </w:tc>
              <w:tc>
                <w:tcPr>
                  <w:tcW w:w="714" w:type="dxa"/>
                  <w:noWrap/>
                  <w:vAlign w:val="center"/>
                </w:tcPr>
                <w:p>
                  <w:pPr>
                    <w:pStyle w:val="53"/>
                    <w:spacing w:line="240" w:lineRule="auto"/>
                    <w:rPr>
                      <w:b w:val="0"/>
                      <w:bCs/>
                      <w:color w:val="auto"/>
                      <w:sz w:val="21"/>
                      <w:szCs w:val="21"/>
                      <w:highlight w:val="none"/>
                    </w:rPr>
                  </w:pPr>
                  <w:r>
                    <w:rPr>
                      <w:b w:val="0"/>
                      <w:bCs/>
                      <w:color w:val="auto"/>
                      <w:sz w:val="21"/>
                      <w:szCs w:val="21"/>
                      <w:highlight w:val="none"/>
                    </w:rPr>
                    <w:t>主要成分</w:t>
                  </w:r>
                </w:p>
              </w:tc>
              <w:tc>
                <w:tcPr>
                  <w:tcW w:w="629" w:type="dxa"/>
                  <w:noWrap/>
                  <w:vAlign w:val="center"/>
                </w:tcPr>
                <w:p>
                  <w:pPr>
                    <w:pStyle w:val="53"/>
                    <w:spacing w:line="240" w:lineRule="auto"/>
                    <w:rPr>
                      <w:b w:val="0"/>
                      <w:bCs/>
                      <w:color w:val="auto"/>
                      <w:sz w:val="21"/>
                      <w:szCs w:val="21"/>
                      <w:highlight w:val="none"/>
                    </w:rPr>
                  </w:pPr>
                  <w:r>
                    <w:rPr>
                      <w:b w:val="0"/>
                      <w:bCs/>
                      <w:color w:val="auto"/>
                      <w:sz w:val="21"/>
                      <w:szCs w:val="21"/>
                      <w:highlight w:val="none"/>
                    </w:rPr>
                    <w:t>有害成份</w:t>
                  </w:r>
                </w:p>
              </w:tc>
              <w:tc>
                <w:tcPr>
                  <w:tcW w:w="553" w:type="dxa"/>
                  <w:noWrap/>
                  <w:vAlign w:val="center"/>
                </w:tcPr>
                <w:p>
                  <w:pPr>
                    <w:pStyle w:val="53"/>
                    <w:spacing w:line="240" w:lineRule="auto"/>
                    <w:rPr>
                      <w:b w:val="0"/>
                      <w:bCs/>
                      <w:color w:val="auto"/>
                      <w:sz w:val="21"/>
                      <w:szCs w:val="21"/>
                      <w:highlight w:val="none"/>
                    </w:rPr>
                  </w:pPr>
                  <w:r>
                    <w:rPr>
                      <w:b w:val="0"/>
                      <w:bCs/>
                      <w:color w:val="auto"/>
                      <w:sz w:val="21"/>
                      <w:szCs w:val="21"/>
                      <w:highlight w:val="none"/>
                    </w:rPr>
                    <w:t>产废</w:t>
                  </w:r>
                </w:p>
                <w:p>
                  <w:pPr>
                    <w:pStyle w:val="53"/>
                    <w:spacing w:line="240" w:lineRule="auto"/>
                    <w:rPr>
                      <w:b w:val="0"/>
                      <w:bCs/>
                      <w:color w:val="auto"/>
                      <w:sz w:val="21"/>
                      <w:szCs w:val="21"/>
                      <w:highlight w:val="none"/>
                    </w:rPr>
                  </w:pPr>
                  <w:r>
                    <w:rPr>
                      <w:b w:val="0"/>
                      <w:bCs/>
                      <w:color w:val="auto"/>
                      <w:sz w:val="21"/>
                      <w:szCs w:val="21"/>
                      <w:highlight w:val="none"/>
                    </w:rPr>
                    <w:t>周期</w:t>
                  </w:r>
                </w:p>
              </w:tc>
              <w:tc>
                <w:tcPr>
                  <w:tcW w:w="379" w:type="dxa"/>
                  <w:noWrap/>
                  <w:vAlign w:val="center"/>
                </w:tcPr>
                <w:p>
                  <w:pPr>
                    <w:pStyle w:val="53"/>
                    <w:spacing w:line="240" w:lineRule="auto"/>
                    <w:rPr>
                      <w:b w:val="0"/>
                      <w:bCs/>
                      <w:color w:val="auto"/>
                      <w:sz w:val="21"/>
                      <w:szCs w:val="21"/>
                      <w:highlight w:val="none"/>
                    </w:rPr>
                  </w:pPr>
                  <w:r>
                    <w:rPr>
                      <w:b w:val="0"/>
                      <w:bCs/>
                      <w:color w:val="auto"/>
                      <w:sz w:val="21"/>
                      <w:szCs w:val="21"/>
                      <w:highlight w:val="none"/>
                    </w:rPr>
                    <w:t>危险特性</w:t>
                  </w:r>
                </w:p>
              </w:tc>
              <w:tc>
                <w:tcPr>
                  <w:tcW w:w="1143" w:type="dxa"/>
                  <w:noWrap/>
                  <w:vAlign w:val="center"/>
                </w:tcPr>
                <w:p>
                  <w:pPr>
                    <w:pStyle w:val="53"/>
                    <w:spacing w:line="240" w:lineRule="auto"/>
                    <w:rPr>
                      <w:b w:val="0"/>
                      <w:bCs/>
                      <w:color w:val="auto"/>
                      <w:sz w:val="21"/>
                      <w:szCs w:val="21"/>
                      <w:highlight w:val="none"/>
                    </w:rPr>
                  </w:pPr>
                  <w:r>
                    <w:rPr>
                      <w:b w:val="0"/>
                      <w:bCs/>
                      <w:color w:val="auto"/>
                      <w:sz w:val="21"/>
                      <w:szCs w:val="21"/>
                      <w:highlight w:val="none"/>
                    </w:rPr>
                    <w:t>污染防制措施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8" w:type="dxa"/>
                  <w:noWrap/>
                  <w:vAlign w:val="center"/>
                </w:tcPr>
                <w:p>
                  <w:pPr>
                    <w:pStyle w:val="53"/>
                    <w:spacing w:line="240" w:lineRule="auto"/>
                    <w:rPr>
                      <w:b w:val="0"/>
                      <w:bCs/>
                      <w:color w:val="auto"/>
                      <w:sz w:val="21"/>
                      <w:szCs w:val="21"/>
                      <w:highlight w:val="none"/>
                    </w:rPr>
                  </w:pPr>
                  <w:r>
                    <w:rPr>
                      <w:b w:val="0"/>
                      <w:bCs/>
                      <w:color w:val="auto"/>
                      <w:sz w:val="21"/>
                      <w:szCs w:val="21"/>
                      <w:highlight w:val="none"/>
                    </w:rPr>
                    <w:t>1</w:t>
                  </w:r>
                </w:p>
              </w:tc>
              <w:tc>
                <w:tcPr>
                  <w:tcW w:w="584" w:type="dxa"/>
                  <w:noWrap/>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生活垃圾</w:t>
                  </w:r>
                </w:p>
              </w:tc>
              <w:tc>
                <w:tcPr>
                  <w:tcW w:w="616"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生活垃圾</w:t>
                  </w:r>
                </w:p>
              </w:tc>
              <w:tc>
                <w:tcPr>
                  <w:tcW w:w="632"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884"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695"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w:t>
                  </w:r>
                  <w:r>
                    <w:rPr>
                      <w:color w:val="auto"/>
                      <w:sz w:val="21"/>
                      <w:szCs w:val="21"/>
                      <w:highlight w:val="none"/>
                    </w:rPr>
                    <w:t>t/a</w:t>
                  </w:r>
                </w:p>
              </w:tc>
              <w:tc>
                <w:tcPr>
                  <w:tcW w:w="52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职工生活</w:t>
                  </w:r>
                </w:p>
              </w:tc>
              <w:tc>
                <w:tcPr>
                  <w:tcW w:w="439" w:type="dxa"/>
                  <w:noWrap/>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固态</w:t>
                  </w:r>
                </w:p>
              </w:tc>
              <w:tc>
                <w:tcPr>
                  <w:tcW w:w="714"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生活垃圾</w:t>
                  </w:r>
                </w:p>
              </w:tc>
              <w:tc>
                <w:tcPr>
                  <w:tcW w:w="62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553"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每天</w:t>
                  </w:r>
                </w:p>
              </w:tc>
              <w:tc>
                <w:tcPr>
                  <w:tcW w:w="37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1143" w:type="dxa"/>
                  <w:noWrap/>
                  <w:vAlign w:val="center"/>
                </w:tcPr>
                <w:p>
                  <w:pPr>
                    <w:adjustRightInd w:val="0"/>
                    <w:snapToGrid w:val="0"/>
                    <w:spacing w:line="240" w:lineRule="auto"/>
                    <w:ind w:firstLine="0" w:firstLineChars="0"/>
                    <w:jc w:val="left"/>
                    <w:rPr>
                      <w:bCs/>
                      <w:color w:val="auto"/>
                      <w:sz w:val="21"/>
                      <w:szCs w:val="21"/>
                      <w:highlight w:val="none"/>
                    </w:rPr>
                  </w:pPr>
                  <w:r>
                    <w:rPr>
                      <w:color w:val="auto"/>
                      <w:sz w:val="21"/>
                      <w:szCs w:val="21"/>
                      <w:highlight w:val="none"/>
                    </w:rPr>
                    <w:t>收集后委托当地环卫部门清运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8" w:type="dxa"/>
                  <w:noWrap/>
                  <w:vAlign w:val="center"/>
                </w:tcPr>
                <w:p>
                  <w:pPr>
                    <w:pStyle w:val="53"/>
                    <w:spacing w:line="240" w:lineRule="auto"/>
                    <w:rPr>
                      <w:b w:val="0"/>
                      <w:bCs/>
                      <w:color w:val="auto"/>
                      <w:sz w:val="21"/>
                      <w:szCs w:val="21"/>
                      <w:highlight w:val="none"/>
                    </w:rPr>
                  </w:pPr>
                  <w:r>
                    <w:rPr>
                      <w:b w:val="0"/>
                      <w:bCs/>
                      <w:color w:val="auto"/>
                      <w:sz w:val="21"/>
                      <w:szCs w:val="21"/>
                      <w:highlight w:val="none"/>
                    </w:rPr>
                    <w:t>2</w:t>
                  </w:r>
                </w:p>
              </w:tc>
              <w:tc>
                <w:tcPr>
                  <w:tcW w:w="58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收集的粉尘</w:t>
                  </w:r>
                </w:p>
              </w:tc>
              <w:tc>
                <w:tcPr>
                  <w:tcW w:w="616" w:type="dxa"/>
                  <w:noWrap/>
                  <w:vAlign w:val="center"/>
                </w:tcPr>
                <w:p>
                  <w:pPr>
                    <w:spacing w:line="240" w:lineRule="auto"/>
                    <w:ind w:firstLine="0" w:firstLineChars="0"/>
                    <w:jc w:val="center"/>
                    <w:rPr>
                      <w:bCs/>
                      <w:color w:val="auto"/>
                      <w:sz w:val="21"/>
                      <w:szCs w:val="21"/>
                      <w:highlight w:val="none"/>
                    </w:rPr>
                  </w:pPr>
                  <w:r>
                    <w:rPr>
                      <w:bCs/>
                      <w:color w:val="auto"/>
                      <w:sz w:val="21"/>
                      <w:szCs w:val="21"/>
                      <w:highlight w:val="none"/>
                    </w:rPr>
                    <w:t>一般固废</w:t>
                  </w:r>
                </w:p>
              </w:tc>
              <w:tc>
                <w:tcPr>
                  <w:tcW w:w="632"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66</w:t>
                  </w:r>
                </w:p>
              </w:tc>
              <w:tc>
                <w:tcPr>
                  <w:tcW w:w="884" w:type="dxa"/>
                  <w:noWrap/>
                  <w:vAlign w:val="center"/>
                </w:tcPr>
                <w:p>
                  <w:pPr>
                    <w:pStyle w:val="52"/>
                    <w:spacing w:line="240" w:lineRule="auto"/>
                    <w:ind w:firstLine="0" w:firstLineChars="0"/>
                    <w:rPr>
                      <w:rFonts w:ascii="Times New Roman" w:hAnsi="Times New Roman" w:cs="Times New Roman"/>
                      <w:bCs/>
                      <w:color w:val="auto"/>
                      <w:sz w:val="21"/>
                      <w:szCs w:val="21"/>
                      <w:highlight w:val="none"/>
                      <w:lang w:val="en-US"/>
                    </w:rPr>
                  </w:pPr>
                  <w:r>
                    <w:rPr>
                      <w:rFonts w:hint="eastAsia" w:ascii="Times New Roman" w:hAnsi="Times New Roman" w:cs="Times New Roman"/>
                      <w:bCs/>
                      <w:color w:val="auto"/>
                      <w:sz w:val="21"/>
                      <w:szCs w:val="21"/>
                      <w:highlight w:val="none"/>
                      <w:lang w:val="en-US"/>
                    </w:rPr>
                    <w:t>302-001-66</w:t>
                  </w:r>
                </w:p>
              </w:tc>
              <w:tc>
                <w:tcPr>
                  <w:tcW w:w="695"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20.898</w:t>
                  </w:r>
                  <w:r>
                    <w:rPr>
                      <w:color w:val="auto"/>
                      <w:sz w:val="21"/>
                      <w:szCs w:val="21"/>
                      <w:highlight w:val="none"/>
                    </w:rPr>
                    <w:t>t/a</w:t>
                  </w:r>
                </w:p>
              </w:tc>
              <w:tc>
                <w:tcPr>
                  <w:tcW w:w="52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废气处理</w:t>
                  </w:r>
                </w:p>
              </w:tc>
              <w:tc>
                <w:tcPr>
                  <w:tcW w:w="439" w:type="dxa"/>
                  <w:noWrap/>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固态</w:t>
                  </w:r>
                </w:p>
              </w:tc>
              <w:tc>
                <w:tcPr>
                  <w:tcW w:w="71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粉尘</w:t>
                  </w:r>
                </w:p>
              </w:tc>
              <w:tc>
                <w:tcPr>
                  <w:tcW w:w="62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553"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每月</w:t>
                  </w:r>
                </w:p>
              </w:tc>
              <w:tc>
                <w:tcPr>
                  <w:tcW w:w="37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1143" w:type="dxa"/>
                  <w:noWrap/>
                  <w:vAlign w:val="center"/>
                </w:tcPr>
                <w:p>
                  <w:pPr>
                    <w:adjustRightInd w:val="0"/>
                    <w:snapToGrid w:val="0"/>
                    <w:spacing w:line="240" w:lineRule="auto"/>
                    <w:ind w:firstLine="0" w:firstLineChars="0"/>
                    <w:jc w:val="left"/>
                    <w:rPr>
                      <w:bCs/>
                      <w:color w:val="auto"/>
                      <w:sz w:val="21"/>
                      <w:szCs w:val="21"/>
                      <w:highlight w:val="none"/>
                    </w:rPr>
                  </w:pPr>
                  <w:r>
                    <w:rPr>
                      <w:rFonts w:hint="eastAsia"/>
                      <w:bCs/>
                      <w:color w:val="auto"/>
                      <w:sz w:val="21"/>
                      <w:szCs w:val="21"/>
                      <w:highlight w:val="none"/>
                    </w:rPr>
                    <w:t>回用于特种砂浆的生产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8" w:type="dxa"/>
                  <w:noWrap/>
                  <w:vAlign w:val="center"/>
                </w:tcPr>
                <w:p>
                  <w:pPr>
                    <w:pStyle w:val="53"/>
                    <w:spacing w:line="240" w:lineRule="auto"/>
                    <w:rPr>
                      <w:b w:val="0"/>
                      <w:bCs/>
                      <w:color w:val="auto"/>
                      <w:sz w:val="21"/>
                      <w:szCs w:val="21"/>
                      <w:highlight w:val="none"/>
                    </w:rPr>
                  </w:pPr>
                  <w:r>
                    <w:rPr>
                      <w:b w:val="0"/>
                      <w:bCs/>
                      <w:color w:val="auto"/>
                      <w:sz w:val="21"/>
                      <w:szCs w:val="21"/>
                      <w:highlight w:val="none"/>
                    </w:rPr>
                    <w:t>3</w:t>
                  </w:r>
                </w:p>
              </w:tc>
              <w:tc>
                <w:tcPr>
                  <w:tcW w:w="58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废包装袋</w:t>
                  </w:r>
                </w:p>
              </w:tc>
              <w:tc>
                <w:tcPr>
                  <w:tcW w:w="616" w:type="dxa"/>
                  <w:noWrap/>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一般固废</w:t>
                  </w:r>
                </w:p>
              </w:tc>
              <w:tc>
                <w:tcPr>
                  <w:tcW w:w="632"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07</w:t>
                  </w:r>
                </w:p>
              </w:tc>
              <w:tc>
                <w:tcPr>
                  <w:tcW w:w="884" w:type="dxa"/>
                  <w:noWrap/>
                  <w:vAlign w:val="center"/>
                </w:tcPr>
                <w:p>
                  <w:pPr>
                    <w:pStyle w:val="52"/>
                    <w:spacing w:line="240" w:lineRule="auto"/>
                    <w:ind w:firstLine="0" w:firstLineChars="0"/>
                    <w:rPr>
                      <w:rFonts w:ascii="Times New Roman" w:hAnsi="Times New Roman" w:cs="Times New Roman"/>
                      <w:bCs/>
                      <w:color w:val="auto"/>
                      <w:sz w:val="21"/>
                      <w:szCs w:val="21"/>
                      <w:highlight w:val="none"/>
                      <w:lang w:val="en-US"/>
                    </w:rPr>
                  </w:pPr>
                  <w:r>
                    <w:rPr>
                      <w:rFonts w:hint="eastAsia" w:ascii="Times New Roman" w:hAnsi="Times New Roman" w:cs="Times New Roman"/>
                      <w:bCs/>
                      <w:color w:val="auto"/>
                      <w:sz w:val="21"/>
                      <w:szCs w:val="21"/>
                      <w:highlight w:val="none"/>
                      <w:lang w:val="en-US"/>
                    </w:rPr>
                    <w:t>302-001-07</w:t>
                  </w:r>
                </w:p>
              </w:tc>
              <w:tc>
                <w:tcPr>
                  <w:tcW w:w="695"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c>
                <w:tcPr>
                  <w:tcW w:w="52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原料使用</w:t>
                  </w:r>
                </w:p>
              </w:tc>
              <w:tc>
                <w:tcPr>
                  <w:tcW w:w="439"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固态</w:t>
                  </w:r>
                </w:p>
              </w:tc>
              <w:tc>
                <w:tcPr>
                  <w:tcW w:w="71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废包装袋</w:t>
                  </w:r>
                </w:p>
              </w:tc>
              <w:tc>
                <w:tcPr>
                  <w:tcW w:w="62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553"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每月</w:t>
                  </w:r>
                </w:p>
              </w:tc>
              <w:tc>
                <w:tcPr>
                  <w:tcW w:w="37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w:t>
                  </w:r>
                </w:p>
              </w:tc>
              <w:tc>
                <w:tcPr>
                  <w:tcW w:w="1143" w:type="dxa"/>
                  <w:noWrap/>
                  <w:vAlign w:val="center"/>
                </w:tcPr>
                <w:p>
                  <w:pPr>
                    <w:adjustRightInd w:val="0"/>
                    <w:snapToGrid w:val="0"/>
                    <w:spacing w:line="240" w:lineRule="auto"/>
                    <w:ind w:firstLine="0" w:firstLineChars="0"/>
                    <w:jc w:val="left"/>
                    <w:rPr>
                      <w:color w:val="auto"/>
                      <w:sz w:val="21"/>
                      <w:szCs w:val="21"/>
                      <w:highlight w:val="none"/>
                    </w:rPr>
                  </w:pPr>
                  <w:r>
                    <w:rPr>
                      <w:rFonts w:hint="eastAsia"/>
                      <w:color w:val="auto"/>
                      <w:sz w:val="21"/>
                      <w:szCs w:val="21"/>
                      <w:highlight w:val="none"/>
                    </w:rPr>
                    <w:t>收集后出售给废旧物资回收公司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8"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4</w:t>
                  </w:r>
                </w:p>
              </w:tc>
              <w:tc>
                <w:tcPr>
                  <w:tcW w:w="58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废机油</w:t>
                  </w:r>
                </w:p>
              </w:tc>
              <w:tc>
                <w:tcPr>
                  <w:tcW w:w="616" w:type="dxa"/>
                  <w:noWrap/>
                  <w:vAlign w:val="center"/>
                </w:tcPr>
                <w:p>
                  <w:pPr>
                    <w:spacing w:line="240" w:lineRule="auto"/>
                    <w:ind w:firstLine="0" w:firstLineChars="0"/>
                    <w:jc w:val="center"/>
                    <w:rPr>
                      <w:rFonts w:hint="eastAsia" w:eastAsia="宋体"/>
                      <w:bCs/>
                      <w:color w:val="auto"/>
                      <w:sz w:val="21"/>
                      <w:szCs w:val="21"/>
                      <w:highlight w:val="none"/>
                      <w:lang w:eastAsia="zh-CN"/>
                    </w:rPr>
                  </w:pPr>
                  <w:r>
                    <w:rPr>
                      <w:rFonts w:hint="eastAsia"/>
                      <w:bCs/>
                      <w:color w:val="auto"/>
                      <w:sz w:val="21"/>
                      <w:szCs w:val="21"/>
                      <w:highlight w:val="none"/>
                    </w:rPr>
                    <w:t>危险</w:t>
                  </w:r>
                  <w:r>
                    <w:rPr>
                      <w:rFonts w:hint="eastAsia"/>
                      <w:bCs/>
                      <w:color w:val="auto"/>
                      <w:sz w:val="21"/>
                      <w:szCs w:val="21"/>
                      <w:highlight w:val="none"/>
                      <w:lang w:val="en-US" w:eastAsia="zh-CN"/>
                    </w:rPr>
                    <w:t>废物</w:t>
                  </w:r>
                </w:p>
              </w:tc>
              <w:tc>
                <w:tcPr>
                  <w:tcW w:w="632"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HW08</w:t>
                  </w:r>
                </w:p>
              </w:tc>
              <w:tc>
                <w:tcPr>
                  <w:tcW w:w="884" w:type="dxa"/>
                  <w:noWrap/>
                  <w:vAlign w:val="center"/>
                </w:tcPr>
                <w:p>
                  <w:pPr>
                    <w:pStyle w:val="52"/>
                    <w:spacing w:line="240" w:lineRule="auto"/>
                    <w:ind w:firstLine="0" w:firstLineChars="0"/>
                    <w:rPr>
                      <w:rFonts w:ascii="Times New Roman" w:hAnsi="Times New Roman" w:cs="Times New Roman"/>
                      <w:bCs/>
                      <w:color w:val="auto"/>
                      <w:sz w:val="21"/>
                      <w:szCs w:val="21"/>
                      <w:highlight w:val="none"/>
                      <w:lang w:val="en-US"/>
                    </w:rPr>
                  </w:pPr>
                  <w:r>
                    <w:rPr>
                      <w:rFonts w:hint="eastAsia" w:ascii="Times New Roman" w:hAnsi="Times New Roman" w:cs="Times New Roman"/>
                      <w:bCs/>
                      <w:color w:val="auto"/>
                      <w:sz w:val="21"/>
                      <w:szCs w:val="21"/>
                      <w:highlight w:val="none"/>
                      <w:lang w:val="en-US"/>
                    </w:rPr>
                    <w:t>900-249-08</w:t>
                  </w:r>
                </w:p>
              </w:tc>
              <w:tc>
                <w:tcPr>
                  <w:tcW w:w="695"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1t/a</w:t>
                  </w:r>
                </w:p>
              </w:tc>
              <w:tc>
                <w:tcPr>
                  <w:tcW w:w="52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维修保养</w:t>
                  </w:r>
                </w:p>
              </w:tc>
              <w:tc>
                <w:tcPr>
                  <w:tcW w:w="439"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液态</w:t>
                  </w:r>
                </w:p>
              </w:tc>
              <w:tc>
                <w:tcPr>
                  <w:tcW w:w="71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废机油</w:t>
                  </w:r>
                </w:p>
              </w:tc>
              <w:tc>
                <w:tcPr>
                  <w:tcW w:w="62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废机油</w:t>
                  </w:r>
                </w:p>
              </w:tc>
              <w:tc>
                <w:tcPr>
                  <w:tcW w:w="553"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每年</w:t>
                  </w:r>
                </w:p>
              </w:tc>
              <w:tc>
                <w:tcPr>
                  <w:tcW w:w="37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T，I</w:t>
                  </w:r>
                </w:p>
              </w:tc>
              <w:tc>
                <w:tcPr>
                  <w:tcW w:w="1143" w:type="dxa"/>
                  <w:noWrap/>
                  <w:vAlign w:val="center"/>
                </w:tcPr>
                <w:p>
                  <w:pPr>
                    <w:adjustRightInd w:val="0"/>
                    <w:snapToGrid w:val="0"/>
                    <w:spacing w:line="240" w:lineRule="auto"/>
                    <w:ind w:firstLine="0" w:firstLineChars="0"/>
                    <w:jc w:val="left"/>
                    <w:rPr>
                      <w:color w:val="auto"/>
                      <w:sz w:val="21"/>
                      <w:szCs w:val="21"/>
                      <w:highlight w:val="none"/>
                    </w:rPr>
                  </w:pPr>
                  <w:r>
                    <w:rPr>
                      <w:rFonts w:hint="eastAsia"/>
                      <w:color w:val="auto"/>
                      <w:sz w:val="21"/>
                      <w:szCs w:val="21"/>
                      <w:highlight w:val="none"/>
                    </w:rPr>
                    <w:t>委托资质单位进行处置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8"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5</w:t>
                  </w:r>
                </w:p>
              </w:tc>
              <w:tc>
                <w:tcPr>
                  <w:tcW w:w="58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废包装桶</w:t>
                  </w:r>
                </w:p>
              </w:tc>
              <w:tc>
                <w:tcPr>
                  <w:tcW w:w="616" w:type="dxa"/>
                  <w:noWrap/>
                  <w:vAlign w:val="center"/>
                </w:tcPr>
                <w:p>
                  <w:pPr>
                    <w:spacing w:line="240" w:lineRule="auto"/>
                    <w:ind w:firstLine="0" w:firstLineChars="0"/>
                    <w:jc w:val="center"/>
                    <w:rPr>
                      <w:rFonts w:hint="eastAsia" w:eastAsia="宋体"/>
                      <w:bCs/>
                      <w:color w:val="auto"/>
                      <w:sz w:val="21"/>
                      <w:szCs w:val="21"/>
                      <w:highlight w:val="none"/>
                      <w:lang w:eastAsia="zh-CN"/>
                    </w:rPr>
                  </w:pPr>
                  <w:r>
                    <w:rPr>
                      <w:rFonts w:hint="eastAsia"/>
                      <w:bCs/>
                      <w:color w:val="auto"/>
                      <w:sz w:val="21"/>
                      <w:szCs w:val="21"/>
                      <w:highlight w:val="none"/>
                    </w:rPr>
                    <w:t>危险</w:t>
                  </w:r>
                  <w:r>
                    <w:rPr>
                      <w:rFonts w:hint="eastAsia"/>
                      <w:bCs/>
                      <w:color w:val="auto"/>
                      <w:sz w:val="21"/>
                      <w:szCs w:val="21"/>
                      <w:highlight w:val="none"/>
                      <w:lang w:val="en-US" w:eastAsia="zh-CN"/>
                    </w:rPr>
                    <w:t>废物</w:t>
                  </w:r>
                </w:p>
              </w:tc>
              <w:tc>
                <w:tcPr>
                  <w:tcW w:w="632" w:type="dxa"/>
                  <w:noWrap/>
                  <w:vAlign w:val="center"/>
                </w:tcPr>
                <w:p>
                  <w:pPr>
                    <w:topLinePunct/>
                    <w:adjustRightInd w:val="0"/>
                    <w:snapToGrid w:val="0"/>
                    <w:spacing w:line="240" w:lineRule="auto"/>
                    <w:ind w:firstLine="0" w:firstLineChars="0"/>
                    <w:jc w:val="center"/>
                    <w:rPr>
                      <w:color w:val="auto"/>
                      <w:sz w:val="21"/>
                      <w:szCs w:val="21"/>
                      <w:highlight w:val="none"/>
                    </w:rPr>
                  </w:pPr>
                  <w:r>
                    <w:rPr>
                      <w:color w:val="auto"/>
                      <w:sz w:val="21"/>
                      <w:szCs w:val="21"/>
                      <w:highlight w:val="none"/>
                    </w:rPr>
                    <w:t>HW49</w:t>
                  </w:r>
                </w:p>
              </w:tc>
              <w:tc>
                <w:tcPr>
                  <w:tcW w:w="884" w:type="dxa"/>
                  <w:noWrap/>
                  <w:vAlign w:val="center"/>
                </w:tcPr>
                <w:p>
                  <w:pPr>
                    <w:spacing w:line="240" w:lineRule="auto"/>
                    <w:ind w:firstLine="0" w:firstLineChars="0"/>
                    <w:jc w:val="center"/>
                    <w:rPr>
                      <w:color w:val="auto"/>
                      <w:sz w:val="21"/>
                      <w:highlight w:val="none"/>
                    </w:rPr>
                  </w:pPr>
                  <w:r>
                    <w:rPr>
                      <w:color w:val="auto"/>
                      <w:highlight w:val="none"/>
                    </w:rPr>
                    <w:t>900-041-49</w:t>
                  </w:r>
                </w:p>
              </w:tc>
              <w:tc>
                <w:tcPr>
                  <w:tcW w:w="695"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0.1t/a</w:t>
                  </w:r>
                </w:p>
              </w:tc>
              <w:tc>
                <w:tcPr>
                  <w:tcW w:w="529"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机油使用</w:t>
                  </w:r>
                </w:p>
              </w:tc>
              <w:tc>
                <w:tcPr>
                  <w:tcW w:w="439"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固态</w:t>
                  </w:r>
                </w:p>
              </w:tc>
              <w:tc>
                <w:tcPr>
                  <w:tcW w:w="71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废包装桶</w:t>
                  </w:r>
                </w:p>
              </w:tc>
              <w:tc>
                <w:tcPr>
                  <w:tcW w:w="62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废机油</w:t>
                  </w:r>
                </w:p>
              </w:tc>
              <w:tc>
                <w:tcPr>
                  <w:tcW w:w="553"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每年</w:t>
                  </w:r>
                </w:p>
              </w:tc>
              <w:tc>
                <w:tcPr>
                  <w:tcW w:w="379" w:type="dxa"/>
                  <w:noWrap/>
                  <w:vAlign w:val="center"/>
                </w:tcPr>
                <w:p>
                  <w:pPr>
                    <w:pStyle w:val="53"/>
                    <w:spacing w:line="240" w:lineRule="auto"/>
                    <w:rPr>
                      <w:b w:val="0"/>
                      <w:bCs/>
                      <w:color w:val="auto"/>
                      <w:sz w:val="21"/>
                      <w:szCs w:val="21"/>
                      <w:highlight w:val="none"/>
                    </w:rPr>
                  </w:pPr>
                  <w:r>
                    <w:rPr>
                      <w:rFonts w:hint="eastAsia"/>
                      <w:b w:val="0"/>
                      <w:bCs/>
                      <w:color w:val="auto"/>
                      <w:sz w:val="21"/>
                      <w:szCs w:val="21"/>
                      <w:highlight w:val="none"/>
                    </w:rPr>
                    <w:t>T/In</w:t>
                  </w:r>
                </w:p>
              </w:tc>
              <w:tc>
                <w:tcPr>
                  <w:tcW w:w="1143" w:type="dxa"/>
                  <w:noWrap/>
                  <w:vAlign w:val="center"/>
                </w:tcPr>
                <w:p>
                  <w:pPr>
                    <w:adjustRightInd w:val="0"/>
                    <w:snapToGrid w:val="0"/>
                    <w:spacing w:line="240" w:lineRule="auto"/>
                    <w:ind w:firstLine="0" w:firstLineChars="0"/>
                    <w:jc w:val="left"/>
                    <w:rPr>
                      <w:color w:val="auto"/>
                      <w:sz w:val="21"/>
                      <w:szCs w:val="21"/>
                      <w:highlight w:val="none"/>
                    </w:rPr>
                  </w:pPr>
                  <w:r>
                    <w:rPr>
                      <w:rFonts w:hint="eastAsia"/>
                      <w:color w:val="auto"/>
                      <w:sz w:val="21"/>
                      <w:szCs w:val="21"/>
                      <w:highlight w:val="none"/>
                    </w:rPr>
                    <w:t>委托资质单位进行处置</w:t>
                  </w:r>
                </w:p>
              </w:tc>
            </w:tr>
          </w:tbl>
          <w:p>
            <w:pPr>
              <w:spacing w:line="500" w:lineRule="exact"/>
              <w:ind w:firstLine="480"/>
              <w:rPr>
                <w:color w:val="auto"/>
                <w:szCs w:val="24"/>
                <w:highlight w:val="none"/>
              </w:rPr>
            </w:pPr>
            <w:r>
              <w:rPr>
                <w:rFonts w:hint="eastAsia"/>
                <w:color w:val="auto"/>
                <w:szCs w:val="24"/>
                <w:highlight w:val="none"/>
              </w:rPr>
              <w:t>2、处置去向及环境管理要求</w:t>
            </w:r>
          </w:p>
          <w:p>
            <w:pPr>
              <w:spacing w:line="500" w:lineRule="exact"/>
              <w:ind w:firstLine="480"/>
              <w:rPr>
                <w:color w:val="auto"/>
                <w:szCs w:val="24"/>
                <w:highlight w:val="none"/>
              </w:rPr>
            </w:pPr>
            <w:r>
              <w:rPr>
                <w:rFonts w:hint="eastAsia"/>
                <w:color w:val="auto"/>
                <w:szCs w:val="24"/>
                <w:highlight w:val="none"/>
              </w:rPr>
              <w:t>生活垃圾集中收集后委托当地环卫部门进行清运，收集的粉尘回用于特种砂浆的生产，废包装袋集中收集后出售给废旧物资回收公司。废机油废和包装桶集中收集后委托资质单位进行处置。</w:t>
            </w:r>
          </w:p>
          <w:p>
            <w:pPr>
              <w:spacing w:line="500" w:lineRule="exact"/>
              <w:ind w:firstLine="480"/>
              <w:rPr>
                <w:color w:val="auto"/>
                <w:highlight w:val="none"/>
              </w:rPr>
            </w:pPr>
            <w:r>
              <w:rPr>
                <w:rFonts w:hint="eastAsia"/>
                <w:color w:val="auto"/>
                <w:highlight w:val="none"/>
              </w:rPr>
              <w:t>本项目所在厂区</w:t>
            </w:r>
            <w:r>
              <w:rPr>
                <w:color w:val="auto"/>
                <w:highlight w:val="none"/>
              </w:rPr>
              <w:t>应建立统一的固废分类收集、统一堆放场地制度。堆放场所须按防雨淋、防渗漏等要求设置，各类废物由密闭容器收集后暂存在暂存场地内，不得露天放置。放置场所做好地面的硬化防腐，并设置明显的标志。在厂区内设置一般废物暂存</w:t>
            </w:r>
            <w:r>
              <w:rPr>
                <w:rFonts w:hint="eastAsia"/>
                <w:color w:val="auto"/>
                <w:highlight w:val="none"/>
              </w:rPr>
              <w:t>场所</w:t>
            </w:r>
            <w:r>
              <w:rPr>
                <w:color w:val="auto"/>
                <w:highlight w:val="none"/>
              </w:rPr>
              <w:t>，必须按照《</w:t>
            </w:r>
            <w:r>
              <w:rPr>
                <w:rFonts w:hint="eastAsia"/>
                <w:color w:val="auto"/>
                <w:szCs w:val="24"/>
                <w:highlight w:val="none"/>
              </w:rPr>
              <w:t>一般工业固体废物贮存和填埋污染控制标准</w:t>
            </w:r>
            <w:r>
              <w:rPr>
                <w:color w:val="auto"/>
                <w:highlight w:val="none"/>
              </w:rPr>
              <w:t>》</w:t>
            </w:r>
            <w:r>
              <w:rPr>
                <w:rFonts w:hint="eastAsia"/>
                <w:color w:val="auto"/>
                <w:highlight w:val="none"/>
              </w:rPr>
              <w:t>（</w:t>
            </w:r>
            <w:r>
              <w:rPr>
                <w:color w:val="auto"/>
                <w:highlight w:val="none"/>
              </w:rPr>
              <w:t>GB18599</w:t>
            </w:r>
            <w:r>
              <w:rPr>
                <w:b/>
                <w:color w:val="auto"/>
                <w:highlight w:val="none"/>
              </w:rPr>
              <w:t>-</w:t>
            </w:r>
            <w:r>
              <w:rPr>
                <w:color w:val="auto"/>
                <w:highlight w:val="none"/>
              </w:rPr>
              <w:t>20</w:t>
            </w:r>
            <w:r>
              <w:rPr>
                <w:rFonts w:hint="eastAsia"/>
                <w:color w:val="auto"/>
                <w:highlight w:val="none"/>
                <w:lang w:val="en-US" w:eastAsia="zh-CN"/>
              </w:rPr>
              <w:t>20</w:t>
            </w:r>
            <w:r>
              <w:rPr>
                <w:rFonts w:hint="eastAsia"/>
                <w:color w:val="auto"/>
                <w:highlight w:val="none"/>
              </w:rPr>
              <w:t>）</w:t>
            </w:r>
            <w:r>
              <w:rPr>
                <w:color w:val="auto"/>
                <w:highlight w:val="none"/>
              </w:rPr>
              <w:t>中有关要求设置贮存场所，严禁乱堆乱放和随便倾倒。</w:t>
            </w:r>
          </w:p>
          <w:p>
            <w:pPr>
              <w:spacing w:line="500" w:lineRule="exact"/>
              <w:ind w:firstLine="480"/>
              <w:rPr>
                <w:color w:val="auto"/>
                <w:highlight w:val="none"/>
              </w:rPr>
            </w:pPr>
            <w:r>
              <w:rPr>
                <w:color w:val="auto"/>
                <w:highlight w:val="none"/>
              </w:rPr>
              <w:t>本项目一般</w:t>
            </w:r>
            <w:r>
              <w:rPr>
                <w:rFonts w:hint="eastAsia"/>
                <w:color w:val="auto"/>
                <w:highlight w:val="none"/>
              </w:rPr>
              <w:t>固废</w:t>
            </w:r>
            <w:r>
              <w:rPr>
                <w:color w:val="auto"/>
                <w:highlight w:val="none"/>
              </w:rPr>
              <w:t>暂存</w:t>
            </w:r>
            <w:r>
              <w:rPr>
                <w:rFonts w:hint="eastAsia"/>
                <w:color w:val="auto"/>
                <w:highlight w:val="none"/>
              </w:rPr>
              <w:t>场所</w:t>
            </w:r>
            <w:r>
              <w:rPr>
                <w:color w:val="auto"/>
                <w:highlight w:val="none"/>
              </w:rPr>
              <w:t>设置于</w:t>
            </w:r>
            <w:r>
              <w:rPr>
                <w:rFonts w:hint="eastAsia"/>
                <w:color w:val="auto"/>
                <w:highlight w:val="none"/>
              </w:rPr>
              <w:t>生产车间东北侧单独区域内</w:t>
            </w:r>
            <w:r>
              <w:rPr>
                <w:color w:val="auto"/>
                <w:highlight w:val="none"/>
              </w:rPr>
              <w:t>，面积约</w:t>
            </w:r>
            <w:r>
              <w:rPr>
                <w:rFonts w:hint="eastAsia"/>
                <w:color w:val="auto"/>
                <w:highlight w:val="none"/>
              </w:rPr>
              <w:t>40</w:t>
            </w:r>
            <w:r>
              <w:rPr>
                <w:color w:val="auto"/>
                <w:highlight w:val="none"/>
              </w:rPr>
              <w:t>m</w:t>
            </w:r>
            <w:r>
              <w:rPr>
                <w:color w:val="auto"/>
                <w:highlight w:val="none"/>
                <w:vertAlign w:val="superscript"/>
              </w:rPr>
              <w:t>2</w:t>
            </w:r>
            <w:r>
              <w:rPr>
                <w:color w:val="auto"/>
                <w:highlight w:val="none"/>
              </w:rPr>
              <w:t>，暂存点为水泥地面，能做到防扬散、防流失、防止雨水的冲刷及防渗漏等相关要求，各类一般废物定置分类存放。一般固废在运输过程中要防止散落地面，以免产生二次污染。</w:t>
            </w:r>
          </w:p>
          <w:p>
            <w:pPr>
              <w:spacing w:line="500" w:lineRule="exact"/>
              <w:ind w:firstLine="480"/>
              <w:rPr>
                <w:color w:val="auto"/>
                <w:highlight w:val="none"/>
              </w:rPr>
            </w:pPr>
            <w:r>
              <w:rPr>
                <w:color w:val="auto"/>
                <w:highlight w:val="none"/>
              </w:rPr>
              <w:t>本项目危险固废</w:t>
            </w:r>
            <w:r>
              <w:rPr>
                <w:rFonts w:hint="eastAsia"/>
                <w:color w:val="auto"/>
                <w:highlight w:val="none"/>
              </w:rPr>
              <w:t>贮存场所设置于生产车间东北侧单独房间内</w:t>
            </w:r>
            <w:r>
              <w:rPr>
                <w:color w:val="auto"/>
                <w:highlight w:val="none"/>
              </w:rPr>
              <w:t>，</w:t>
            </w:r>
            <w:r>
              <w:rPr>
                <w:rFonts w:hint="eastAsia"/>
                <w:color w:val="auto"/>
                <w:highlight w:val="none"/>
              </w:rPr>
              <w:t>占地</w:t>
            </w:r>
            <w:r>
              <w:rPr>
                <w:color w:val="auto"/>
                <w:highlight w:val="none"/>
              </w:rPr>
              <w:t>面积约</w:t>
            </w:r>
            <w:r>
              <w:rPr>
                <w:rFonts w:hint="eastAsia"/>
                <w:color w:val="auto"/>
                <w:highlight w:val="none"/>
              </w:rPr>
              <w:t>10</w:t>
            </w:r>
            <w:r>
              <w:rPr>
                <w:color w:val="auto"/>
                <w:highlight w:val="none"/>
              </w:rPr>
              <w:t>m</w:t>
            </w:r>
            <w:r>
              <w:rPr>
                <w:color w:val="auto"/>
                <w:highlight w:val="none"/>
                <w:vertAlign w:val="superscript"/>
              </w:rPr>
              <w:t>2</w:t>
            </w:r>
            <w:r>
              <w:rPr>
                <w:color w:val="auto"/>
                <w:highlight w:val="none"/>
              </w:rPr>
              <w:t>，所有危险固废的收集和暂存都应按《危险废物贮存污染控制标准》</w:t>
            </w:r>
            <w:r>
              <w:rPr>
                <w:rFonts w:hint="eastAsia"/>
                <w:color w:val="auto"/>
                <w:highlight w:val="none"/>
              </w:rPr>
              <w:t>（</w:t>
            </w:r>
            <w:r>
              <w:rPr>
                <w:color w:val="auto"/>
                <w:highlight w:val="none"/>
              </w:rPr>
              <w:t>GB18597-2001</w:t>
            </w:r>
            <w:r>
              <w:rPr>
                <w:rFonts w:hint="eastAsia"/>
                <w:color w:val="auto"/>
                <w:highlight w:val="none"/>
              </w:rPr>
              <w:t>）</w:t>
            </w:r>
            <w:r>
              <w:rPr>
                <w:color w:val="auto"/>
                <w:highlight w:val="none"/>
              </w:rPr>
              <w:t>和国家环保部2013年第36号公告发布的修改单内容执行，暂存点为水泥防腐地面，能做到</w:t>
            </w:r>
            <w:r>
              <w:rPr>
                <w:rFonts w:hint="eastAsia"/>
                <w:color w:val="auto"/>
                <w:highlight w:val="none"/>
              </w:rPr>
              <w:t>“四防”</w:t>
            </w:r>
            <w:r>
              <w:rPr>
                <w:color w:val="auto"/>
                <w:highlight w:val="none"/>
              </w:rPr>
              <w:t>（防风、防雨、防晒、防渗漏）等相关要求。</w:t>
            </w:r>
          </w:p>
          <w:p>
            <w:pPr>
              <w:spacing w:line="500" w:lineRule="exact"/>
              <w:ind w:firstLine="480"/>
              <w:rPr>
                <w:color w:val="auto"/>
                <w:highlight w:val="none"/>
              </w:rPr>
            </w:pPr>
            <w:r>
              <w:rPr>
                <w:rFonts w:hint="eastAsia"/>
                <w:color w:val="auto"/>
                <w:highlight w:val="none"/>
              </w:rPr>
              <w:t>3、</w:t>
            </w:r>
            <w:r>
              <w:rPr>
                <w:color w:val="auto"/>
                <w:szCs w:val="24"/>
                <w:highlight w:val="none"/>
              </w:rPr>
              <w:t>分区防渗措施</w:t>
            </w:r>
          </w:p>
          <w:p>
            <w:pPr>
              <w:spacing w:line="500" w:lineRule="exact"/>
              <w:ind w:firstLine="480"/>
              <w:rPr>
                <w:bCs/>
                <w:color w:val="auto"/>
                <w:szCs w:val="24"/>
                <w:highlight w:val="none"/>
              </w:rPr>
            </w:pPr>
            <w:r>
              <w:rPr>
                <w:bCs/>
                <w:color w:val="auto"/>
                <w:szCs w:val="24"/>
                <w:highlight w:val="none"/>
              </w:rPr>
              <w:t>厂区应划分为非污染区和污染区，污染区分为一般污染区、重点污染区及特殊污染区。非污染区可不进行防渗处理，污染区则应按照不同分区要求，采取不同等级的防渗措施，并确保其可靠性和有效性。一般污染区的防渗设计应满足</w:t>
            </w:r>
            <w:r>
              <w:rPr>
                <w:color w:val="auto"/>
                <w:highlight w:val="none"/>
              </w:rPr>
              <w:t>《</w:t>
            </w:r>
            <w:r>
              <w:rPr>
                <w:rFonts w:hint="eastAsia"/>
                <w:color w:val="auto"/>
                <w:szCs w:val="24"/>
                <w:highlight w:val="none"/>
              </w:rPr>
              <w:t>一般工业固体废物贮存和填埋污染控制标准</w:t>
            </w:r>
            <w:r>
              <w:rPr>
                <w:color w:val="auto"/>
                <w:highlight w:val="none"/>
              </w:rPr>
              <w:t>》（GB18599</w:t>
            </w:r>
            <w:r>
              <w:rPr>
                <w:b/>
                <w:color w:val="auto"/>
                <w:highlight w:val="none"/>
              </w:rPr>
              <w:t>-</w:t>
            </w:r>
            <w:r>
              <w:rPr>
                <w:color w:val="auto"/>
                <w:highlight w:val="none"/>
              </w:rPr>
              <w:t>20</w:t>
            </w:r>
            <w:r>
              <w:rPr>
                <w:rFonts w:hint="eastAsia"/>
                <w:color w:val="auto"/>
                <w:highlight w:val="none"/>
              </w:rPr>
              <w:t>20</w:t>
            </w:r>
            <w:r>
              <w:rPr>
                <w:color w:val="auto"/>
                <w:highlight w:val="none"/>
              </w:rPr>
              <w:t>）</w:t>
            </w:r>
            <w:r>
              <w:rPr>
                <w:rFonts w:hint="eastAsia"/>
                <w:color w:val="auto"/>
                <w:highlight w:val="none"/>
              </w:rPr>
              <w:t>中</w:t>
            </w:r>
            <w:r>
              <w:rPr>
                <w:color w:val="auto"/>
                <w:highlight w:val="none"/>
              </w:rPr>
              <w:t>内容要求</w:t>
            </w:r>
            <w:r>
              <w:rPr>
                <w:bCs/>
                <w:color w:val="auto"/>
                <w:szCs w:val="24"/>
                <w:highlight w:val="none"/>
              </w:rPr>
              <w:t>，重点及特殊污染区的防渗设计应满足</w:t>
            </w:r>
            <w:r>
              <w:rPr>
                <w:color w:val="auto"/>
                <w:highlight w:val="none"/>
              </w:rPr>
              <w:t>《危险废物贮存污染物控制标准》（GB18597-2001）和国家环保部2013年第36号公告发布的修改单内容要求</w:t>
            </w:r>
            <w:r>
              <w:rPr>
                <w:bCs/>
                <w:color w:val="auto"/>
                <w:szCs w:val="24"/>
                <w:highlight w:val="none"/>
              </w:rPr>
              <w:t>。厂区污染防治区分布见表</w:t>
            </w:r>
            <w:r>
              <w:rPr>
                <w:rFonts w:hint="eastAsia"/>
                <w:bCs/>
                <w:color w:val="auto"/>
                <w:szCs w:val="24"/>
                <w:highlight w:val="none"/>
              </w:rPr>
              <w:t>4-20</w:t>
            </w:r>
            <w:r>
              <w:rPr>
                <w:bCs/>
                <w:color w:val="auto"/>
                <w:szCs w:val="24"/>
                <w:highlight w:val="none"/>
              </w:rPr>
              <w:t>。</w:t>
            </w:r>
          </w:p>
          <w:p>
            <w:pPr>
              <w:spacing w:line="460" w:lineRule="exact"/>
              <w:ind w:firstLine="0" w:firstLineChars="0"/>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4-20</w:t>
            </w:r>
            <w:r>
              <w:rPr>
                <w:b/>
                <w:color w:val="auto"/>
                <w:sz w:val="21"/>
                <w:szCs w:val="18"/>
                <w:highlight w:val="none"/>
              </w:rPr>
              <w:t xml:space="preserve">  污染区划分及防渗等级一览表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192"/>
              <w:gridCol w:w="1131"/>
              <w:gridCol w:w="1556"/>
              <w:gridCol w:w="171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防渗</w:t>
                  </w:r>
                </w:p>
                <w:p>
                  <w:pPr>
                    <w:spacing w:line="240" w:lineRule="auto"/>
                    <w:ind w:firstLine="0" w:firstLineChars="0"/>
                    <w:jc w:val="center"/>
                    <w:rPr>
                      <w:b/>
                      <w:bCs/>
                      <w:color w:val="auto"/>
                      <w:sz w:val="21"/>
                      <w:szCs w:val="21"/>
                      <w:highlight w:val="none"/>
                    </w:rPr>
                  </w:pPr>
                  <w:r>
                    <w:rPr>
                      <w:b/>
                      <w:bCs/>
                      <w:color w:val="auto"/>
                      <w:sz w:val="21"/>
                      <w:szCs w:val="21"/>
                      <w:highlight w:val="none"/>
                    </w:rPr>
                    <w:t>分区</w:t>
                  </w:r>
                </w:p>
              </w:tc>
              <w:tc>
                <w:tcPr>
                  <w:tcW w:w="1181"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天然包气带防污性能</w:t>
                  </w:r>
                </w:p>
              </w:tc>
              <w:tc>
                <w:tcPr>
                  <w:tcW w:w="112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污染控制难易程度</w:t>
                  </w:r>
                </w:p>
              </w:tc>
              <w:tc>
                <w:tcPr>
                  <w:tcW w:w="1488"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污染物类型</w:t>
                  </w:r>
                </w:p>
              </w:tc>
              <w:tc>
                <w:tcPr>
                  <w:tcW w:w="164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厂区分区</w:t>
                  </w:r>
                </w:p>
              </w:tc>
              <w:tc>
                <w:tcPr>
                  <w:tcW w:w="176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重点防渗区</w:t>
                  </w: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488"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重金属、持久性污染物</w:t>
                  </w:r>
                </w:p>
              </w:tc>
              <w:tc>
                <w:tcPr>
                  <w:tcW w:w="1640" w:type="dxa"/>
                  <w:vMerge w:val="restart"/>
                  <w:noWrap/>
                  <w:vAlign w:val="center"/>
                </w:tcPr>
                <w:p>
                  <w:pPr>
                    <w:spacing w:line="240" w:lineRule="auto"/>
                    <w:ind w:firstLine="0" w:firstLineChars="0"/>
                    <w:jc w:val="center"/>
                    <w:rPr>
                      <w:b/>
                      <w:color w:val="auto"/>
                      <w:sz w:val="21"/>
                      <w:szCs w:val="21"/>
                      <w:highlight w:val="none"/>
                    </w:rPr>
                  </w:pPr>
                  <w:r>
                    <w:rPr>
                      <w:color w:val="auto"/>
                      <w:sz w:val="21"/>
                      <w:szCs w:val="21"/>
                      <w:highlight w:val="none"/>
                    </w:rPr>
                    <w:t>无</w:t>
                  </w:r>
                </w:p>
              </w:tc>
              <w:tc>
                <w:tcPr>
                  <w:tcW w:w="1760" w:type="dxa"/>
                  <w:vMerge w:val="restart"/>
                  <w:noWrap/>
                  <w:vAlign w:val="center"/>
                </w:tcPr>
                <w:p>
                  <w:pPr>
                    <w:spacing w:line="240" w:lineRule="auto"/>
                    <w:ind w:firstLine="0" w:firstLineChars="0"/>
                    <w:jc w:val="center"/>
                    <w:rPr>
                      <w:b/>
                      <w:color w:val="auto"/>
                      <w:sz w:val="21"/>
                      <w:szCs w:val="21"/>
                      <w:highlight w:val="none"/>
                    </w:rPr>
                  </w:pPr>
                  <w:r>
                    <w:rPr>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一般防渗区</w:t>
                  </w: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易-难</w:t>
                  </w:r>
                </w:p>
              </w:tc>
              <w:tc>
                <w:tcPr>
                  <w:tcW w:w="148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其他类型</w:t>
                  </w:r>
                </w:p>
              </w:tc>
              <w:tc>
                <w:tcPr>
                  <w:tcW w:w="164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固体废物</w:t>
                  </w:r>
                </w:p>
                <w:p>
                  <w:pPr>
                    <w:spacing w:line="240" w:lineRule="auto"/>
                    <w:ind w:firstLine="0" w:firstLineChars="0"/>
                    <w:jc w:val="center"/>
                    <w:rPr>
                      <w:b/>
                      <w:color w:val="auto"/>
                      <w:sz w:val="21"/>
                      <w:szCs w:val="21"/>
                      <w:highlight w:val="none"/>
                    </w:rPr>
                  </w:pPr>
                  <w:r>
                    <w:rPr>
                      <w:color w:val="auto"/>
                      <w:sz w:val="21"/>
                      <w:szCs w:val="21"/>
                      <w:highlight w:val="none"/>
                    </w:rPr>
                    <w:t>暂存区、地下管线等</w:t>
                  </w:r>
                </w:p>
              </w:tc>
              <w:tc>
                <w:tcPr>
                  <w:tcW w:w="1760" w:type="dxa"/>
                  <w:noWrap/>
                  <w:vAlign w:val="center"/>
                </w:tcPr>
                <w:p>
                  <w:pPr>
                    <w:spacing w:line="240" w:lineRule="auto"/>
                    <w:ind w:firstLine="0" w:firstLineChars="0"/>
                    <w:jc w:val="center"/>
                    <w:rPr>
                      <w:b/>
                      <w:color w:val="auto"/>
                      <w:sz w:val="21"/>
                      <w:szCs w:val="21"/>
                      <w:highlight w:val="none"/>
                    </w:rPr>
                  </w:pPr>
                  <w:r>
                    <w:rPr>
                      <w:color w:val="auto"/>
                      <w:sz w:val="21"/>
                      <w:szCs w:val="21"/>
                      <w:highlight w:val="none"/>
                    </w:rPr>
                    <w:t>等效黏土防渗层MB≥1.5m，渗透系数≤1.0×10</w:t>
                  </w:r>
                  <w:r>
                    <w:rPr>
                      <w:color w:val="auto"/>
                      <w:sz w:val="21"/>
                      <w:szCs w:val="21"/>
                      <w:highlight w:val="none"/>
                      <w:vertAlign w:val="superscript"/>
                    </w:rPr>
                    <w:t>-7</w:t>
                  </w:r>
                  <w:r>
                    <w:rPr>
                      <w:color w:val="auto"/>
                      <w:sz w:val="21"/>
                      <w:szCs w:val="21"/>
                      <w:highlight w:val="none"/>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488"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重金属、持久性污染物</w:t>
                  </w:r>
                </w:p>
              </w:tc>
              <w:tc>
                <w:tcPr>
                  <w:tcW w:w="1640"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无</w:t>
                  </w:r>
                </w:p>
              </w:tc>
              <w:tc>
                <w:tcPr>
                  <w:tcW w:w="1760" w:type="dxa"/>
                  <w:vMerge w:val="restart"/>
                  <w:noWrap/>
                  <w:vAlign w:val="center"/>
                </w:tcPr>
                <w:p>
                  <w:pPr>
                    <w:spacing w:line="240" w:lineRule="auto"/>
                    <w:ind w:firstLine="0" w:firstLineChars="0"/>
                    <w:jc w:val="center"/>
                    <w:rPr>
                      <w:b/>
                      <w:color w:val="auto"/>
                      <w:sz w:val="21"/>
                      <w:szCs w:val="21"/>
                      <w:highlight w:val="none"/>
                    </w:rPr>
                  </w:pPr>
                  <w:r>
                    <w:rPr>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简单防渗区</w:t>
                  </w: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其他类型</w:t>
                  </w:r>
                </w:p>
              </w:tc>
              <w:tc>
                <w:tcPr>
                  <w:tcW w:w="1640" w:type="dxa"/>
                  <w:noWrap/>
                  <w:vAlign w:val="center"/>
                </w:tcPr>
                <w:p>
                  <w:pPr>
                    <w:spacing w:line="240" w:lineRule="auto"/>
                    <w:ind w:firstLine="0" w:firstLineChars="0"/>
                    <w:jc w:val="center"/>
                    <w:rPr>
                      <w:b/>
                      <w:color w:val="auto"/>
                      <w:sz w:val="21"/>
                      <w:szCs w:val="21"/>
                      <w:highlight w:val="none"/>
                    </w:rPr>
                  </w:pPr>
                  <w:r>
                    <w:rPr>
                      <w:color w:val="auto"/>
                      <w:sz w:val="21"/>
                      <w:szCs w:val="21"/>
                      <w:highlight w:val="none"/>
                    </w:rPr>
                    <w:t>产品仓库等</w:t>
                  </w:r>
                </w:p>
              </w:tc>
              <w:tc>
                <w:tcPr>
                  <w:tcW w:w="1760" w:type="dxa"/>
                  <w:noWrap/>
                  <w:vAlign w:val="center"/>
                </w:tcPr>
                <w:p>
                  <w:pPr>
                    <w:spacing w:line="240" w:lineRule="auto"/>
                    <w:ind w:firstLine="0" w:firstLineChars="0"/>
                    <w:jc w:val="center"/>
                    <w:rPr>
                      <w:b/>
                      <w:color w:val="auto"/>
                      <w:sz w:val="21"/>
                      <w:szCs w:val="21"/>
                      <w:highlight w:val="none"/>
                    </w:rPr>
                  </w:pPr>
                  <w:r>
                    <w:rPr>
                      <w:color w:val="auto"/>
                      <w:sz w:val="21"/>
                      <w:szCs w:val="21"/>
                      <w:highlight w:val="none"/>
                    </w:rPr>
                    <w:t>一般地面硬化</w:t>
                  </w:r>
                </w:p>
              </w:tc>
            </w:tr>
          </w:tbl>
          <w:p>
            <w:pPr>
              <w:pStyle w:val="4"/>
              <w:ind w:firstLine="480"/>
              <w:rPr>
                <w:rFonts w:ascii="Times New Roman" w:hAnsi="Times New Roman" w:cs="Times New Roman"/>
                <w:b w:val="0"/>
                <w:bCs w:val="0"/>
                <w:color w:val="auto"/>
                <w:szCs w:val="20"/>
                <w:highlight w:val="none"/>
                <w:lang w:val="en-US" w:bidi="ar-SA"/>
              </w:rPr>
            </w:pPr>
            <w:r>
              <w:rPr>
                <w:rFonts w:hint="eastAsia" w:ascii="Times New Roman" w:hAnsi="Times New Roman" w:cs="Times New Roman"/>
                <w:b w:val="0"/>
                <w:bCs w:val="0"/>
                <w:color w:val="auto"/>
                <w:szCs w:val="20"/>
                <w:highlight w:val="none"/>
                <w:lang w:val="en-US" w:bidi="ar-SA"/>
              </w:rPr>
              <w:t>综上所述，只要企业落实好各类固体废物，特别是危险固废的收集、贮存、运输、利用、处置等各环节污染防治措施及环境管理措施，以“减量化、资源化、无害化”为基本原则，加强管理，及时处置，则固体废物对环境的影响不大。</w:t>
            </w:r>
          </w:p>
          <w:p>
            <w:pPr>
              <w:spacing w:line="500" w:lineRule="exact"/>
              <w:ind w:firstLine="0" w:firstLineChars="0"/>
              <w:rPr>
                <w:b/>
                <w:bCs/>
                <w:color w:val="auto"/>
                <w:highlight w:val="none"/>
              </w:rPr>
            </w:pPr>
            <w:r>
              <w:rPr>
                <w:rFonts w:hint="eastAsia"/>
                <w:b/>
                <w:bCs/>
                <w:color w:val="auto"/>
                <w:highlight w:val="none"/>
              </w:rPr>
              <w:t>4.2.5地下水、土壤</w:t>
            </w:r>
          </w:p>
          <w:p>
            <w:pPr>
              <w:widowControl/>
              <w:spacing w:line="500" w:lineRule="exact"/>
              <w:ind w:firstLine="480"/>
              <w:jc w:val="left"/>
              <w:rPr>
                <w:color w:val="auto"/>
                <w:highlight w:val="none"/>
              </w:rPr>
            </w:pPr>
            <w:r>
              <w:rPr>
                <w:rFonts w:hint="eastAsia" w:ascii="宋体" w:hAnsi="宋体" w:cs="宋体"/>
                <w:color w:val="auto"/>
                <w:kern w:val="0"/>
                <w:szCs w:val="24"/>
                <w:highlight w:val="none"/>
              </w:rPr>
              <w:t>本项目厂区内排水实行雨污分流制。雨水经厂区雨水收集系统收集后纳入周边市政雨水管排放；生活污水经化粪池预处理后委托槽罐车集中清运至德清县乾元污水处理有限公司集中处理，化粪池及相应管道均做好防渗措施，建设项目对土壤、地下水环境基本不存在污染途径，基本不对土壤及地下水产生不良影响。</w:t>
            </w:r>
          </w:p>
          <w:p>
            <w:pPr>
              <w:spacing w:line="500" w:lineRule="exact"/>
              <w:ind w:firstLine="0" w:firstLineChars="0"/>
              <w:rPr>
                <w:b/>
                <w:bCs/>
                <w:color w:val="auto"/>
                <w:szCs w:val="24"/>
                <w:highlight w:val="none"/>
              </w:rPr>
            </w:pPr>
            <w:r>
              <w:rPr>
                <w:rFonts w:hint="eastAsia"/>
                <w:b/>
                <w:bCs/>
                <w:color w:val="auto"/>
                <w:szCs w:val="24"/>
                <w:highlight w:val="none"/>
              </w:rPr>
              <w:t>4.2.6生态环境影响</w:t>
            </w:r>
          </w:p>
          <w:p>
            <w:pPr>
              <w:spacing w:line="500" w:lineRule="exact"/>
              <w:ind w:firstLine="480"/>
              <w:rPr>
                <w:color w:val="auto"/>
                <w:szCs w:val="24"/>
                <w:highlight w:val="none"/>
              </w:rPr>
            </w:pPr>
            <w:r>
              <w:rPr>
                <w:rFonts w:hint="eastAsia"/>
                <w:color w:val="auto"/>
                <w:szCs w:val="24"/>
                <w:highlight w:val="none"/>
              </w:rPr>
              <w:t>本项目通过租用德清扬泰建筑材料有限公司闲置工业厂房进行生产，项目地块内和周边已是人工生态环境，对生态环境影响较小。</w:t>
            </w:r>
          </w:p>
          <w:p>
            <w:pPr>
              <w:spacing w:line="500" w:lineRule="exact"/>
              <w:ind w:firstLine="0" w:firstLineChars="0"/>
              <w:rPr>
                <w:b/>
                <w:bCs/>
                <w:color w:val="auto"/>
                <w:highlight w:val="none"/>
              </w:rPr>
            </w:pPr>
            <w:r>
              <w:rPr>
                <w:rFonts w:hint="eastAsia"/>
                <w:b/>
                <w:bCs/>
                <w:color w:val="auto"/>
                <w:highlight w:val="none"/>
              </w:rPr>
              <w:t>4.2.7环境风险</w:t>
            </w:r>
          </w:p>
          <w:p>
            <w:pPr>
              <w:pStyle w:val="37"/>
              <w:spacing w:line="500" w:lineRule="exact"/>
              <w:jc w:val="both"/>
              <w:rPr>
                <w:rFonts w:hint="default" w:ascii="Times New Roman" w:hAnsi="Times New Roman"/>
                <w:b/>
                <w:color w:val="auto"/>
                <w:kern w:val="2"/>
                <w:szCs w:val="32"/>
                <w:highlight w:val="none"/>
              </w:rPr>
            </w:pPr>
            <w:r>
              <w:rPr>
                <w:rFonts w:ascii="Times New Roman" w:hAnsi="Times New Roman"/>
                <w:b/>
                <w:color w:val="auto"/>
                <w:kern w:val="2"/>
                <w:szCs w:val="32"/>
                <w:highlight w:val="none"/>
              </w:rPr>
              <w:t>4.2.7.1</w:t>
            </w:r>
            <w:r>
              <w:rPr>
                <w:rFonts w:hint="default" w:ascii="Times New Roman" w:hAnsi="Times New Roman"/>
                <w:b/>
                <w:color w:val="auto"/>
                <w:kern w:val="2"/>
                <w:szCs w:val="32"/>
                <w:highlight w:val="none"/>
              </w:rPr>
              <w:t>风险调查</w:t>
            </w:r>
          </w:p>
          <w:p>
            <w:pPr>
              <w:pStyle w:val="40"/>
              <w:spacing w:line="500" w:lineRule="exact"/>
              <w:ind w:left="238" w:firstLine="480" w:firstLineChars="200"/>
              <w:rPr>
                <w:rFonts w:ascii="Times New Roman"/>
                <w:b w:val="0"/>
                <w:bCs w:val="0"/>
                <w:color w:val="auto"/>
                <w:sz w:val="24"/>
                <w:szCs w:val="24"/>
                <w:highlight w:val="none"/>
              </w:rPr>
            </w:pPr>
            <w:r>
              <w:rPr>
                <w:rFonts w:ascii="Times New Roman"/>
                <w:b w:val="0"/>
                <w:bCs w:val="0"/>
                <w:color w:val="auto"/>
                <w:sz w:val="24"/>
                <w:szCs w:val="24"/>
                <w:highlight w:val="none"/>
              </w:rPr>
              <w:t>本项目生产过程使用的原材料为</w:t>
            </w:r>
            <w:r>
              <w:rPr>
                <w:rFonts w:hint="eastAsia" w:ascii="Times New Roman"/>
                <w:b w:val="0"/>
                <w:bCs w:val="0"/>
                <w:color w:val="auto"/>
                <w:sz w:val="24"/>
                <w:szCs w:val="24"/>
                <w:highlight w:val="none"/>
              </w:rPr>
              <w:t>水泥、机制砂</w:t>
            </w:r>
            <w:r>
              <w:rPr>
                <w:rFonts w:ascii="Times New Roman"/>
                <w:b w:val="0"/>
                <w:bCs w:val="0"/>
                <w:color w:val="auto"/>
                <w:sz w:val="24"/>
                <w:szCs w:val="24"/>
                <w:highlight w:val="none"/>
              </w:rPr>
              <w:t>等，最终产品为</w:t>
            </w:r>
            <w:r>
              <w:rPr>
                <w:rFonts w:hint="eastAsia" w:ascii="Times New Roman"/>
                <w:b w:val="0"/>
                <w:bCs w:val="0"/>
                <w:color w:val="auto"/>
                <w:sz w:val="24"/>
                <w:szCs w:val="24"/>
                <w:highlight w:val="none"/>
              </w:rPr>
              <w:t>特种砂浆</w:t>
            </w:r>
            <w:r>
              <w:rPr>
                <w:rFonts w:ascii="Times New Roman"/>
                <w:b w:val="0"/>
                <w:bCs w:val="0"/>
                <w:color w:val="auto"/>
                <w:sz w:val="24"/>
                <w:szCs w:val="24"/>
                <w:highlight w:val="none"/>
              </w:rPr>
              <w:t>，无中间产品、副产品。</w:t>
            </w:r>
            <w:r>
              <w:rPr>
                <w:rFonts w:hint="eastAsia" w:ascii="Times New Roman"/>
                <w:b w:val="0"/>
                <w:bCs w:val="0"/>
                <w:color w:val="auto"/>
                <w:sz w:val="24"/>
                <w:szCs w:val="24"/>
                <w:highlight w:val="none"/>
              </w:rPr>
              <w:t>本项目使用</w:t>
            </w:r>
            <w:r>
              <w:rPr>
                <w:rFonts w:ascii="Times New Roman"/>
                <w:b w:val="0"/>
                <w:bCs w:val="0"/>
                <w:color w:val="auto"/>
                <w:sz w:val="24"/>
                <w:szCs w:val="24"/>
                <w:highlight w:val="none"/>
              </w:rPr>
              <w:t>各类物料均不属于《危险化学品目录（20</w:t>
            </w:r>
            <w:r>
              <w:rPr>
                <w:rFonts w:hint="eastAsia" w:ascii="Times New Roman"/>
                <w:b w:val="0"/>
                <w:bCs w:val="0"/>
                <w:color w:val="auto"/>
                <w:sz w:val="24"/>
                <w:szCs w:val="24"/>
                <w:highlight w:val="none"/>
              </w:rPr>
              <w:t>18</w:t>
            </w:r>
            <w:r>
              <w:rPr>
                <w:rFonts w:ascii="Times New Roman"/>
                <w:b w:val="0"/>
                <w:bCs w:val="0"/>
                <w:color w:val="auto"/>
                <w:sz w:val="24"/>
                <w:szCs w:val="24"/>
                <w:highlight w:val="none"/>
              </w:rPr>
              <w:t>年版）》、《危险化学品重大危险源辨识》（GB18218-2018）提及的易燃易爆、有毒有害的危险物质，也不属于《建设项目环境风险评价技术导则》（HJ169-2018）</w:t>
            </w:r>
            <w:r>
              <w:rPr>
                <w:rFonts w:hint="eastAsia" w:hAnsi="宋体" w:cs="宋体"/>
                <w:b w:val="0"/>
                <w:bCs w:val="0"/>
                <w:color w:val="auto"/>
                <w:sz w:val="24"/>
                <w:szCs w:val="24"/>
                <w:highlight w:val="none"/>
              </w:rPr>
              <w:t>“</w:t>
            </w:r>
            <w:r>
              <w:rPr>
                <w:rFonts w:ascii="Times New Roman"/>
                <w:b w:val="0"/>
                <w:bCs w:val="0"/>
                <w:color w:val="auto"/>
                <w:sz w:val="24"/>
                <w:szCs w:val="24"/>
                <w:highlight w:val="none"/>
              </w:rPr>
              <w:t>附录B重点关注的危险物质及临界量</w:t>
            </w:r>
            <w:r>
              <w:rPr>
                <w:rFonts w:hint="eastAsia" w:hAnsi="宋体" w:cs="宋体"/>
                <w:b w:val="0"/>
                <w:bCs w:val="0"/>
                <w:color w:val="auto"/>
                <w:sz w:val="24"/>
                <w:szCs w:val="24"/>
                <w:highlight w:val="none"/>
              </w:rPr>
              <w:t>”</w:t>
            </w:r>
            <w:r>
              <w:rPr>
                <w:rFonts w:ascii="Times New Roman"/>
                <w:b w:val="0"/>
                <w:bCs w:val="0"/>
                <w:color w:val="auto"/>
                <w:sz w:val="24"/>
                <w:szCs w:val="24"/>
                <w:highlight w:val="none"/>
              </w:rPr>
              <w:t>所提及的危险物质。</w:t>
            </w:r>
            <w:r>
              <w:rPr>
                <w:rFonts w:hint="eastAsia" w:ascii="Times New Roman"/>
                <w:b w:val="0"/>
                <w:bCs w:val="0"/>
                <w:color w:val="auto"/>
                <w:sz w:val="24"/>
                <w:szCs w:val="24"/>
                <w:highlight w:val="none"/>
              </w:rPr>
              <w:t>本项目主要危险物质为机油。具体见表4-16。</w:t>
            </w:r>
          </w:p>
          <w:p>
            <w:pPr>
              <w:pStyle w:val="4"/>
              <w:keepNext/>
              <w:tabs>
                <w:tab w:val="left" w:pos="3067"/>
              </w:tabs>
              <w:spacing w:line="460" w:lineRule="exact"/>
              <w:ind w:firstLine="0" w:firstLineChars="0"/>
              <w:jc w:val="center"/>
              <w:rPr>
                <w:color w:val="auto"/>
                <w:highlight w:val="none"/>
                <w:lang w:val="en-US"/>
              </w:rPr>
            </w:pPr>
            <w:r>
              <w:rPr>
                <w:color w:val="auto"/>
                <w:sz w:val="21"/>
                <w:szCs w:val="21"/>
                <w:highlight w:val="none"/>
              </w:rPr>
              <w:t>表</w:t>
            </w:r>
            <w:r>
              <w:rPr>
                <w:rFonts w:hint="eastAsia" w:ascii="Times New Roman"/>
                <w:color w:val="auto"/>
                <w:sz w:val="21"/>
                <w:szCs w:val="21"/>
                <w:highlight w:val="none"/>
                <w:lang w:val="en-US"/>
              </w:rPr>
              <w:t>4-16</w:t>
            </w:r>
            <w:r>
              <w:rPr>
                <w:rFonts w:ascii="Times New Roman" w:hAnsi="Times New Roman"/>
                <w:color w:val="auto"/>
                <w:kern w:val="0"/>
                <w:sz w:val="21"/>
                <w:szCs w:val="21"/>
                <w:highlight w:val="none"/>
              </w:rPr>
              <w:t>本项目</w:t>
            </w:r>
            <w:r>
              <w:rPr>
                <w:rFonts w:hint="eastAsia" w:ascii="Times New Roman" w:hAnsi="Times New Roman"/>
                <w:color w:val="auto"/>
                <w:kern w:val="0"/>
                <w:sz w:val="21"/>
                <w:szCs w:val="21"/>
                <w:highlight w:val="none"/>
                <w:lang w:val="en-US"/>
              </w:rPr>
              <w:t>危险物质</w:t>
            </w:r>
            <w:r>
              <w:rPr>
                <w:rFonts w:ascii="Times New Roman" w:hAnsi="Times New Roman"/>
                <w:color w:val="auto"/>
                <w:kern w:val="0"/>
                <w:sz w:val="21"/>
                <w:szCs w:val="21"/>
                <w:highlight w:val="none"/>
              </w:rPr>
              <w:t>Q值计算结果</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484"/>
              <w:gridCol w:w="2504"/>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00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物料名称</w:t>
                  </w:r>
                </w:p>
              </w:tc>
              <w:tc>
                <w:tcPr>
                  <w:tcW w:w="1473"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最大储存量t</w:t>
                  </w:r>
                </w:p>
              </w:tc>
              <w:tc>
                <w:tcPr>
                  <w:tcW w:w="2485"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临界储存量t</w:t>
                  </w:r>
                </w:p>
              </w:tc>
              <w:tc>
                <w:tcPr>
                  <w:tcW w:w="2482"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dxa"/>
                  <w:noWrap/>
                  <w:vAlign w:val="center"/>
                </w:tcPr>
                <w:p>
                  <w:pPr>
                    <w:spacing w:line="240" w:lineRule="auto"/>
                    <w:ind w:firstLine="0" w:firstLineChars="0"/>
                    <w:jc w:val="center"/>
                    <w:rPr>
                      <w:rFonts w:eastAsiaTheme="minorEastAsia"/>
                      <w:color w:val="auto"/>
                      <w:sz w:val="21"/>
                      <w:szCs w:val="21"/>
                      <w:highlight w:val="none"/>
                    </w:rPr>
                  </w:pPr>
                  <w:r>
                    <w:rPr>
                      <w:rFonts w:hint="eastAsia"/>
                      <w:color w:val="auto"/>
                      <w:sz w:val="21"/>
                      <w:szCs w:val="21"/>
                      <w:highlight w:val="none"/>
                    </w:rPr>
                    <w:t>危险废物</w:t>
                  </w:r>
                </w:p>
              </w:tc>
              <w:tc>
                <w:tcPr>
                  <w:tcW w:w="1473" w:type="dxa"/>
                  <w:noWrap/>
                  <w:vAlign w:val="center"/>
                </w:tcPr>
                <w:p>
                  <w:pPr>
                    <w:pStyle w:val="17"/>
                    <w:spacing w:line="240" w:lineRule="auto"/>
                    <w:ind w:firstLineChars="0"/>
                    <w:jc w:val="center"/>
                    <w:rPr>
                      <w:rFonts w:eastAsiaTheme="minorEastAsia"/>
                      <w:color w:val="auto"/>
                      <w:sz w:val="21"/>
                      <w:szCs w:val="21"/>
                      <w:highlight w:val="none"/>
                    </w:rPr>
                  </w:pPr>
                  <w:r>
                    <w:rPr>
                      <w:rFonts w:hint="eastAsia"/>
                      <w:color w:val="auto"/>
                      <w:kern w:val="0"/>
                      <w:sz w:val="21"/>
                      <w:szCs w:val="21"/>
                      <w:highlight w:val="none"/>
                    </w:rPr>
                    <w:t>6</w:t>
                  </w:r>
                </w:p>
              </w:tc>
              <w:tc>
                <w:tcPr>
                  <w:tcW w:w="2485" w:type="dxa"/>
                  <w:noWrap/>
                  <w:vAlign w:val="center"/>
                </w:tcPr>
                <w:p>
                  <w:pPr>
                    <w:pStyle w:val="17"/>
                    <w:spacing w:line="240" w:lineRule="auto"/>
                    <w:ind w:firstLineChars="0"/>
                    <w:jc w:val="center"/>
                    <w:rPr>
                      <w:rFonts w:eastAsiaTheme="minorEastAsia"/>
                      <w:color w:val="auto"/>
                      <w:sz w:val="21"/>
                      <w:szCs w:val="21"/>
                      <w:highlight w:val="none"/>
                    </w:rPr>
                  </w:pPr>
                  <w:r>
                    <w:rPr>
                      <w:rFonts w:hint="eastAsia"/>
                      <w:color w:val="auto"/>
                      <w:sz w:val="21"/>
                      <w:szCs w:val="21"/>
                      <w:highlight w:val="none"/>
                    </w:rPr>
                    <w:t>/</w:t>
                  </w:r>
                </w:p>
              </w:tc>
              <w:tc>
                <w:tcPr>
                  <w:tcW w:w="2482" w:type="dxa"/>
                  <w:noWrap/>
                  <w:vAlign w:val="center"/>
                </w:tcPr>
                <w:p>
                  <w:pPr>
                    <w:spacing w:line="240" w:lineRule="auto"/>
                    <w:ind w:firstLine="0" w:firstLineChars="0"/>
                    <w:jc w:val="center"/>
                    <w:rPr>
                      <w:rFonts w:eastAsiaTheme="minorEastAsia"/>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dxa"/>
                  <w:noWrap/>
                  <w:vAlign w:val="center"/>
                </w:tcPr>
                <w:p>
                  <w:pPr>
                    <w:spacing w:line="240" w:lineRule="auto"/>
                    <w:ind w:firstLine="0" w:firstLineChars="0"/>
                    <w:jc w:val="center"/>
                    <w:rPr>
                      <w:rFonts w:eastAsiaTheme="minorEastAsia"/>
                      <w:color w:val="auto"/>
                      <w:sz w:val="21"/>
                      <w:szCs w:val="21"/>
                      <w:highlight w:val="none"/>
                    </w:rPr>
                  </w:pPr>
                  <w:r>
                    <w:rPr>
                      <w:rFonts w:hint="eastAsia"/>
                      <w:color w:val="auto"/>
                      <w:sz w:val="21"/>
                      <w:szCs w:val="21"/>
                      <w:highlight w:val="none"/>
                    </w:rPr>
                    <w:t>机油</w:t>
                  </w:r>
                </w:p>
              </w:tc>
              <w:tc>
                <w:tcPr>
                  <w:tcW w:w="1473" w:type="dxa"/>
                  <w:noWrap/>
                  <w:vAlign w:val="center"/>
                </w:tcPr>
                <w:p>
                  <w:pPr>
                    <w:pStyle w:val="17"/>
                    <w:spacing w:line="240" w:lineRule="auto"/>
                    <w:ind w:firstLineChars="0"/>
                    <w:jc w:val="center"/>
                    <w:rPr>
                      <w:color w:val="auto"/>
                      <w:kern w:val="0"/>
                      <w:sz w:val="21"/>
                      <w:szCs w:val="21"/>
                      <w:highlight w:val="none"/>
                    </w:rPr>
                  </w:pPr>
                  <w:r>
                    <w:rPr>
                      <w:rFonts w:hint="eastAsia"/>
                      <w:color w:val="auto"/>
                      <w:kern w:val="0"/>
                      <w:sz w:val="21"/>
                      <w:szCs w:val="21"/>
                      <w:highlight w:val="none"/>
                    </w:rPr>
                    <w:t>1</w:t>
                  </w:r>
                </w:p>
              </w:tc>
              <w:tc>
                <w:tcPr>
                  <w:tcW w:w="2485" w:type="dxa"/>
                  <w:noWrap/>
                  <w:vAlign w:val="center"/>
                </w:tcPr>
                <w:p>
                  <w:pPr>
                    <w:pStyle w:val="17"/>
                    <w:spacing w:line="240" w:lineRule="auto"/>
                    <w:ind w:firstLineChars="0"/>
                    <w:jc w:val="center"/>
                    <w:rPr>
                      <w:color w:val="auto"/>
                      <w:sz w:val="21"/>
                      <w:szCs w:val="21"/>
                      <w:highlight w:val="none"/>
                    </w:rPr>
                  </w:pPr>
                  <w:r>
                    <w:rPr>
                      <w:rFonts w:hint="eastAsia"/>
                      <w:color w:val="auto"/>
                      <w:sz w:val="21"/>
                      <w:szCs w:val="21"/>
                      <w:highlight w:val="none"/>
                    </w:rPr>
                    <w:t>2500</w:t>
                  </w:r>
                </w:p>
              </w:tc>
              <w:tc>
                <w:tcPr>
                  <w:tcW w:w="248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58" w:type="dxa"/>
                  <w:gridSpan w:val="3"/>
                  <w:noWrap/>
                  <w:vAlign w:val="center"/>
                </w:tcPr>
                <w:p>
                  <w:pPr>
                    <w:spacing w:line="240" w:lineRule="auto"/>
                    <w:ind w:firstLine="0" w:firstLineChars="0"/>
                    <w:jc w:val="center"/>
                    <w:rPr>
                      <w:color w:val="auto"/>
                      <w:sz w:val="21"/>
                      <w:szCs w:val="21"/>
                      <w:highlight w:val="none"/>
                    </w:rPr>
                  </w:pPr>
                  <w:r>
                    <w:rPr>
                      <w:color w:val="auto"/>
                      <w:sz w:val="21"/>
                      <w:szCs w:val="21"/>
                      <w:highlight w:val="none"/>
                    </w:rPr>
                    <w:t>合计</w:t>
                  </w:r>
                </w:p>
              </w:tc>
              <w:tc>
                <w:tcPr>
                  <w:tcW w:w="2482" w:type="dxa"/>
                  <w:noWrap/>
                  <w:vAlign w:val="center"/>
                </w:tcPr>
                <w:p>
                  <w:pPr>
                    <w:spacing w:line="240" w:lineRule="auto"/>
                    <w:ind w:firstLine="0" w:firstLineChars="0"/>
                    <w:jc w:val="center"/>
                    <w:rPr>
                      <w:rFonts w:eastAsiaTheme="minorEastAsia"/>
                      <w:color w:val="auto"/>
                      <w:sz w:val="21"/>
                      <w:szCs w:val="21"/>
                      <w:highlight w:val="none"/>
                    </w:rPr>
                  </w:pPr>
                  <w:r>
                    <w:rPr>
                      <w:rFonts w:hint="eastAsia"/>
                      <w:color w:val="auto"/>
                      <w:sz w:val="21"/>
                      <w:szCs w:val="21"/>
                      <w:highlight w:val="none"/>
                    </w:rPr>
                    <w:t>0.0004</w:t>
                  </w:r>
                </w:p>
              </w:tc>
            </w:tr>
          </w:tbl>
          <w:p>
            <w:pPr>
              <w:pStyle w:val="80"/>
              <w:spacing w:line="500" w:lineRule="exact"/>
              <w:ind w:left="0" w:firstLine="480"/>
              <w:rPr>
                <w:rFonts w:ascii="Times New Roman" w:hAnsi="Times New Roman" w:eastAsia="宋体"/>
                <w:bCs w:val="0"/>
                <w:color w:val="auto"/>
                <w:highlight w:val="none"/>
              </w:rPr>
            </w:pPr>
            <w:r>
              <w:rPr>
                <w:rFonts w:ascii="Times New Roman" w:hAnsi="Times New Roman" w:eastAsia="宋体"/>
                <w:bCs w:val="0"/>
                <w:color w:val="auto"/>
                <w:highlight w:val="none"/>
              </w:rPr>
              <w:t>根据以上分析，项目Q值小于1，风险物质未超其临界量</w:t>
            </w:r>
            <w:r>
              <w:rPr>
                <w:rFonts w:hint="eastAsia" w:ascii="Times New Roman" w:hAnsi="Times New Roman" w:eastAsia="宋体"/>
                <w:bCs w:val="0"/>
                <w:color w:val="auto"/>
                <w:highlight w:val="none"/>
              </w:rPr>
              <w:t>，无需设置环境风险专项评价</w:t>
            </w:r>
            <w:r>
              <w:rPr>
                <w:rFonts w:ascii="Times New Roman" w:hAnsi="Times New Roman" w:eastAsia="宋体"/>
                <w:bCs w:val="0"/>
                <w:color w:val="auto"/>
                <w:highlight w:val="none"/>
              </w:rPr>
              <w:t>。</w:t>
            </w:r>
          </w:p>
          <w:p>
            <w:pPr>
              <w:pStyle w:val="80"/>
              <w:spacing w:line="500" w:lineRule="exact"/>
              <w:ind w:left="0" w:firstLine="0" w:firstLineChars="0"/>
              <w:rPr>
                <w:rFonts w:ascii="Times New Roman" w:hAnsi="Times New Roman" w:eastAsia="宋体"/>
                <w:b/>
                <w:bCs w:val="0"/>
                <w:color w:val="auto"/>
                <w:highlight w:val="none"/>
              </w:rPr>
            </w:pPr>
            <w:r>
              <w:rPr>
                <w:rFonts w:ascii="Times New Roman" w:hAnsi="Times New Roman" w:eastAsia="宋体"/>
                <w:b/>
                <w:bCs w:val="0"/>
                <w:color w:val="auto"/>
                <w:highlight w:val="none"/>
              </w:rPr>
              <w:t>4.2.7.2环境风险源分布情况</w:t>
            </w:r>
          </w:p>
          <w:p>
            <w:pPr>
              <w:pStyle w:val="81"/>
              <w:spacing w:line="500" w:lineRule="exact"/>
              <w:ind w:firstLine="480"/>
              <w:rPr>
                <w:rFonts w:ascii="Times New Roman" w:hAnsi="Times New Roman"/>
                <w:color w:val="auto"/>
                <w:highlight w:val="none"/>
              </w:rPr>
            </w:pPr>
            <w:r>
              <w:rPr>
                <w:rFonts w:ascii="Times New Roman" w:hAnsi="Times New Roman"/>
                <w:color w:val="auto"/>
                <w:highlight w:val="none"/>
              </w:rPr>
              <w:t>经分析，本项目风险源分布主要为危废</w:t>
            </w:r>
            <w:r>
              <w:rPr>
                <w:rFonts w:hint="eastAsia" w:ascii="Times New Roman" w:hAnsi="Times New Roman"/>
                <w:color w:val="auto"/>
                <w:highlight w:val="none"/>
              </w:rPr>
              <w:t>仓库和化学品暂存区</w:t>
            </w:r>
            <w:r>
              <w:rPr>
                <w:rFonts w:ascii="Times New Roman" w:hAnsi="Times New Roman"/>
                <w:color w:val="auto"/>
                <w:highlight w:val="none"/>
              </w:rPr>
              <w:t>等，见表4-</w:t>
            </w:r>
            <w:r>
              <w:rPr>
                <w:rFonts w:hint="eastAsia" w:ascii="Times New Roman" w:hAnsi="Times New Roman"/>
                <w:color w:val="auto"/>
                <w:highlight w:val="none"/>
              </w:rPr>
              <w:t>16</w:t>
            </w:r>
            <w:r>
              <w:rPr>
                <w:rFonts w:ascii="Times New Roman" w:hAnsi="Times New Roman"/>
                <w:color w:val="auto"/>
                <w:highlight w:val="none"/>
              </w:rPr>
              <w:t>。</w:t>
            </w:r>
          </w:p>
          <w:p>
            <w:pPr>
              <w:pStyle w:val="81"/>
              <w:spacing w:line="460" w:lineRule="exact"/>
              <w:ind w:firstLine="422"/>
              <w:jc w:val="center"/>
              <w:rPr>
                <w:rFonts w:ascii="Times New Roman" w:hAnsi="Times New Roman"/>
                <w:b/>
                <w:bCs/>
                <w:color w:val="auto"/>
                <w:sz w:val="21"/>
                <w:szCs w:val="21"/>
                <w:highlight w:val="none"/>
              </w:rPr>
            </w:pPr>
            <w:r>
              <w:rPr>
                <w:rFonts w:ascii="Times New Roman" w:hAnsi="Times New Roman"/>
                <w:b/>
                <w:bCs/>
                <w:color w:val="auto"/>
                <w:sz w:val="21"/>
                <w:szCs w:val="21"/>
                <w:highlight w:val="none"/>
              </w:rPr>
              <w:t>表4-</w:t>
            </w:r>
            <w:r>
              <w:rPr>
                <w:rFonts w:hint="eastAsia" w:ascii="Times New Roman" w:hAnsi="Times New Roman"/>
                <w:b/>
                <w:bCs/>
                <w:color w:val="auto"/>
                <w:sz w:val="21"/>
                <w:szCs w:val="21"/>
                <w:highlight w:val="none"/>
              </w:rPr>
              <w:t xml:space="preserve">16  </w:t>
            </w:r>
            <w:r>
              <w:rPr>
                <w:rFonts w:ascii="Times New Roman" w:hAnsi="Times New Roman"/>
                <w:b/>
                <w:bCs/>
                <w:color w:val="auto"/>
                <w:sz w:val="21"/>
                <w:szCs w:val="21"/>
                <w:highlight w:val="none"/>
              </w:rPr>
              <w:t>风险源分布一览表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81"/>
              <w:gridCol w:w="2401"/>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b/>
                      <w:bCs/>
                      <w:color w:val="auto"/>
                      <w:sz w:val="21"/>
                      <w:szCs w:val="21"/>
                      <w:highlight w:val="none"/>
                      <w:lang w:val="zh-CN"/>
                    </w:rPr>
                  </w:pPr>
                  <w:r>
                    <w:rPr>
                      <w:b/>
                      <w:bCs/>
                      <w:color w:val="auto"/>
                      <w:sz w:val="21"/>
                      <w:szCs w:val="21"/>
                      <w:highlight w:val="none"/>
                      <w:lang w:val="zh-CN"/>
                    </w:rPr>
                    <w:t>序号</w:t>
                  </w:r>
                </w:p>
              </w:tc>
              <w:tc>
                <w:tcPr>
                  <w:tcW w:w="1164" w:type="pct"/>
                  <w:noWrap/>
                  <w:vAlign w:val="center"/>
                </w:tcPr>
                <w:p>
                  <w:pPr>
                    <w:autoSpaceDE w:val="0"/>
                    <w:autoSpaceDN w:val="0"/>
                    <w:adjustRightInd w:val="0"/>
                    <w:spacing w:line="240" w:lineRule="auto"/>
                    <w:ind w:firstLine="0" w:firstLineChars="0"/>
                    <w:jc w:val="center"/>
                    <w:rPr>
                      <w:b/>
                      <w:bCs/>
                      <w:color w:val="auto"/>
                      <w:sz w:val="21"/>
                      <w:szCs w:val="21"/>
                      <w:highlight w:val="none"/>
                      <w:lang w:val="zh-CN"/>
                    </w:rPr>
                  </w:pPr>
                  <w:r>
                    <w:rPr>
                      <w:b/>
                      <w:bCs/>
                      <w:color w:val="auto"/>
                      <w:sz w:val="21"/>
                      <w:szCs w:val="21"/>
                      <w:highlight w:val="none"/>
                      <w:lang w:val="zh-CN"/>
                    </w:rPr>
                    <w:t>风险源</w:t>
                  </w:r>
                </w:p>
              </w:tc>
              <w:tc>
                <w:tcPr>
                  <w:tcW w:w="1411" w:type="pct"/>
                  <w:noWrap/>
                  <w:vAlign w:val="center"/>
                </w:tcPr>
                <w:p>
                  <w:pPr>
                    <w:autoSpaceDE w:val="0"/>
                    <w:autoSpaceDN w:val="0"/>
                    <w:adjustRightInd w:val="0"/>
                    <w:spacing w:line="240" w:lineRule="auto"/>
                    <w:ind w:firstLine="0" w:firstLineChars="0"/>
                    <w:jc w:val="center"/>
                    <w:rPr>
                      <w:b/>
                      <w:bCs/>
                      <w:color w:val="auto"/>
                      <w:sz w:val="21"/>
                      <w:szCs w:val="21"/>
                      <w:highlight w:val="none"/>
                    </w:rPr>
                  </w:pPr>
                  <w:r>
                    <w:rPr>
                      <w:b/>
                      <w:bCs/>
                      <w:color w:val="auto"/>
                      <w:sz w:val="21"/>
                      <w:szCs w:val="21"/>
                      <w:highlight w:val="none"/>
                    </w:rPr>
                    <w:t>潜在环境风险</w:t>
                  </w:r>
                </w:p>
              </w:tc>
              <w:tc>
                <w:tcPr>
                  <w:tcW w:w="1960" w:type="pct"/>
                  <w:noWrap/>
                  <w:vAlign w:val="center"/>
                </w:tcPr>
                <w:p>
                  <w:pPr>
                    <w:autoSpaceDE w:val="0"/>
                    <w:autoSpaceDN w:val="0"/>
                    <w:adjustRightInd w:val="0"/>
                    <w:spacing w:line="240" w:lineRule="auto"/>
                    <w:ind w:firstLine="0" w:firstLineChars="0"/>
                    <w:jc w:val="center"/>
                    <w:rPr>
                      <w:b/>
                      <w:bCs/>
                      <w:color w:val="auto"/>
                      <w:sz w:val="21"/>
                      <w:szCs w:val="21"/>
                      <w:highlight w:val="none"/>
                    </w:rPr>
                  </w:pPr>
                  <w:r>
                    <w:rPr>
                      <w:b/>
                      <w:bCs/>
                      <w:color w:val="auto"/>
                      <w:sz w:val="21"/>
                      <w:szCs w:val="21"/>
                      <w:highlight w:val="none"/>
                    </w:rPr>
                    <w:t>主要风险物质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1</w:t>
                  </w:r>
                </w:p>
              </w:tc>
              <w:tc>
                <w:tcPr>
                  <w:tcW w:w="1164" w:type="pct"/>
                  <w:noWrap/>
                  <w:vAlign w:val="center"/>
                </w:tcPr>
                <w:p>
                  <w:pPr>
                    <w:autoSpaceDE w:val="0"/>
                    <w:autoSpaceDN w:val="0"/>
                    <w:adjustRightInd w:val="0"/>
                    <w:spacing w:line="240" w:lineRule="auto"/>
                    <w:ind w:firstLine="0" w:firstLineChars="0"/>
                    <w:jc w:val="center"/>
                    <w:rPr>
                      <w:color w:val="auto"/>
                      <w:sz w:val="21"/>
                      <w:szCs w:val="21"/>
                      <w:highlight w:val="none"/>
                      <w:lang w:val="zh-CN"/>
                    </w:rPr>
                  </w:pPr>
                  <w:r>
                    <w:rPr>
                      <w:rFonts w:hint="eastAsia"/>
                      <w:color w:val="auto"/>
                      <w:sz w:val="21"/>
                      <w:szCs w:val="21"/>
                      <w:highlight w:val="none"/>
                    </w:rPr>
                    <w:t>化学品暂存区</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泄漏</w:t>
                  </w:r>
                </w:p>
              </w:tc>
              <w:tc>
                <w:tcPr>
                  <w:tcW w:w="1960" w:type="pct"/>
                  <w:noWrap/>
                  <w:vAlign w:val="center"/>
                </w:tcPr>
                <w:p>
                  <w:pPr>
                    <w:autoSpaceDE w:val="0"/>
                    <w:autoSpaceDN w:val="0"/>
                    <w:adjustRightInd w:val="0"/>
                    <w:spacing w:line="240" w:lineRule="auto"/>
                    <w:ind w:firstLine="0" w:firstLineChars="0"/>
                    <w:jc w:val="center"/>
                    <w:rPr>
                      <w:color w:val="auto"/>
                      <w:sz w:val="21"/>
                      <w:szCs w:val="21"/>
                      <w:highlight w:val="none"/>
                    </w:rPr>
                  </w:pPr>
                  <w:r>
                    <w:rPr>
                      <w:rFonts w:hint="eastAsia"/>
                      <w:color w:val="auto"/>
                      <w:sz w:val="21"/>
                      <w:szCs w:val="21"/>
                      <w:highlight w:val="none"/>
                    </w:rPr>
                    <w:t>机油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164" w:type="pct"/>
                  <w:noWrap/>
                  <w:vAlign w:val="center"/>
                </w:tcPr>
                <w:p>
                  <w:pPr>
                    <w:autoSpaceDE w:val="0"/>
                    <w:autoSpaceDN w:val="0"/>
                    <w:adjustRightInd w:val="0"/>
                    <w:spacing w:line="240" w:lineRule="auto"/>
                    <w:ind w:firstLine="0" w:firstLineChars="0"/>
                    <w:jc w:val="center"/>
                    <w:rPr>
                      <w:rFonts w:eastAsiaTheme="minorEastAsia"/>
                      <w:color w:val="auto"/>
                      <w:sz w:val="21"/>
                      <w:szCs w:val="21"/>
                      <w:highlight w:val="none"/>
                    </w:rPr>
                  </w:pPr>
                  <w:r>
                    <w:rPr>
                      <w:color w:val="auto"/>
                      <w:sz w:val="21"/>
                      <w:szCs w:val="21"/>
                      <w:highlight w:val="none"/>
                      <w:lang w:val="zh-CN"/>
                    </w:rPr>
                    <w:t>危废</w:t>
                  </w:r>
                  <w:r>
                    <w:rPr>
                      <w:rFonts w:hint="eastAsia"/>
                      <w:color w:val="auto"/>
                      <w:sz w:val="21"/>
                      <w:szCs w:val="21"/>
                      <w:highlight w:val="none"/>
                    </w:rPr>
                    <w:t>仓库</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泄漏</w:t>
                  </w:r>
                </w:p>
              </w:tc>
              <w:tc>
                <w:tcPr>
                  <w:tcW w:w="1960"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危</w:t>
                  </w:r>
                  <w:r>
                    <w:rPr>
                      <w:rFonts w:hint="eastAsia"/>
                      <w:color w:val="auto"/>
                      <w:sz w:val="21"/>
                      <w:szCs w:val="21"/>
                      <w:highlight w:val="none"/>
                    </w:rPr>
                    <w:t>险</w:t>
                  </w:r>
                  <w:r>
                    <w:rPr>
                      <w:color w:val="auto"/>
                      <w:sz w:val="21"/>
                      <w:szCs w:val="21"/>
                      <w:highlight w:val="none"/>
                    </w:rPr>
                    <w:t>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rFonts w:eastAsiaTheme="minorEastAsia"/>
                      <w:color w:val="auto"/>
                      <w:sz w:val="21"/>
                      <w:szCs w:val="21"/>
                      <w:highlight w:val="none"/>
                    </w:rPr>
                  </w:pPr>
                  <w:r>
                    <w:rPr>
                      <w:color w:val="auto"/>
                      <w:sz w:val="21"/>
                      <w:szCs w:val="21"/>
                      <w:highlight w:val="none"/>
                    </w:rPr>
                    <w:t>2</w:t>
                  </w:r>
                </w:p>
              </w:tc>
              <w:tc>
                <w:tcPr>
                  <w:tcW w:w="1164" w:type="pct"/>
                  <w:noWrap/>
                  <w:vAlign w:val="center"/>
                </w:tcPr>
                <w:p>
                  <w:pPr>
                    <w:autoSpaceDE w:val="0"/>
                    <w:autoSpaceDN w:val="0"/>
                    <w:adjustRightInd w:val="0"/>
                    <w:spacing w:line="240" w:lineRule="auto"/>
                    <w:ind w:firstLine="0" w:firstLineChars="0"/>
                    <w:jc w:val="center"/>
                    <w:rPr>
                      <w:color w:val="auto"/>
                      <w:sz w:val="21"/>
                      <w:szCs w:val="21"/>
                      <w:highlight w:val="none"/>
                      <w:lang w:val="zh-CN"/>
                    </w:rPr>
                  </w:pPr>
                  <w:r>
                    <w:rPr>
                      <w:color w:val="auto"/>
                      <w:sz w:val="21"/>
                      <w:szCs w:val="21"/>
                      <w:highlight w:val="none"/>
                      <w:lang w:val="zh-CN"/>
                    </w:rPr>
                    <w:t>废气治理设施</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设施故障，非正常排放</w:t>
                  </w:r>
                </w:p>
              </w:tc>
              <w:tc>
                <w:tcPr>
                  <w:tcW w:w="1960"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rFonts w:eastAsiaTheme="minorEastAsia"/>
                      <w:color w:val="auto"/>
                      <w:sz w:val="21"/>
                      <w:szCs w:val="21"/>
                      <w:highlight w:val="none"/>
                    </w:rPr>
                  </w:pPr>
                  <w:r>
                    <w:rPr>
                      <w:color w:val="auto"/>
                      <w:sz w:val="21"/>
                      <w:szCs w:val="21"/>
                      <w:highlight w:val="none"/>
                    </w:rPr>
                    <w:t>3</w:t>
                  </w:r>
                </w:p>
              </w:tc>
              <w:tc>
                <w:tcPr>
                  <w:tcW w:w="1164"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lang w:val="zh-CN"/>
                    </w:rPr>
                    <w:t>化粪池</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设施故障，非正常排放</w:t>
                  </w:r>
                </w:p>
              </w:tc>
              <w:tc>
                <w:tcPr>
                  <w:tcW w:w="1960"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rFonts w:eastAsiaTheme="minorEastAsia"/>
                      <w:color w:val="auto"/>
                      <w:sz w:val="21"/>
                      <w:szCs w:val="21"/>
                      <w:highlight w:val="none"/>
                    </w:rPr>
                  </w:pPr>
                  <w:r>
                    <w:rPr>
                      <w:color w:val="auto"/>
                      <w:sz w:val="21"/>
                      <w:szCs w:val="21"/>
                      <w:highlight w:val="none"/>
                    </w:rPr>
                    <w:t>4</w:t>
                  </w:r>
                </w:p>
              </w:tc>
              <w:tc>
                <w:tcPr>
                  <w:tcW w:w="1164"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恶劣天气、火灾等</w:t>
                  </w:r>
                </w:p>
              </w:tc>
              <w:tc>
                <w:tcPr>
                  <w:tcW w:w="1960"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厂内所有风险物质</w:t>
                  </w:r>
                </w:p>
              </w:tc>
            </w:tr>
          </w:tbl>
          <w:p>
            <w:pPr>
              <w:pStyle w:val="26"/>
              <w:adjustRightInd w:val="0"/>
              <w:snapToGrid w:val="0"/>
              <w:spacing w:before="0" w:beforeAutospacing="0" w:after="0" w:afterAutospacing="0" w:line="500" w:lineRule="exact"/>
              <w:ind w:firstLineChars="0"/>
              <w:jc w:val="both"/>
              <w:rPr>
                <w:rFonts w:ascii="Times New Roman" w:hAnsi="Times New Roman"/>
                <w:b/>
                <w:bCs/>
                <w:snapToGrid w:val="0"/>
                <w:color w:val="auto"/>
                <w:highlight w:val="none"/>
              </w:rPr>
            </w:pPr>
            <w:r>
              <w:rPr>
                <w:rFonts w:ascii="Times New Roman" w:hAnsi="Times New Roman"/>
                <w:b/>
                <w:bCs/>
                <w:color w:val="auto"/>
                <w:highlight w:val="none"/>
              </w:rPr>
              <w:t>4.2.7.3</w:t>
            </w:r>
            <w:r>
              <w:rPr>
                <w:rFonts w:hint="eastAsia" w:ascii="Times New Roman" w:hAnsi="Times New Roman"/>
                <w:b/>
                <w:bCs/>
                <w:color w:val="auto"/>
                <w:highlight w:val="none"/>
              </w:rPr>
              <w:t>环境风险分析</w:t>
            </w:r>
          </w:p>
          <w:p>
            <w:pPr>
              <w:spacing w:line="500" w:lineRule="exact"/>
              <w:ind w:left="360" w:firstLine="480"/>
              <w:rPr>
                <w:color w:val="auto"/>
                <w:highlight w:val="none"/>
              </w:rPr>
            </w:pPr>
            <w:r>
              <w:rPr>
                <w:color w:val="auto"/>
                <w:highlight w:val="none"/>
              </w:rPr>
              <w:t>本项目风险源及泄漏途径、后果分析见表4-</w:t>
            </w:r>
            <w:r>
              <w:rPr>
                <w:rFonts w:hint="eastAsia"/>
                <w:color w:val="auto"/>
                <w:highlight w:val="none"/>
              </w:rPr>
              <w:t>17</w:t>
            </w:r>
            <w:r>
              <w:rPr>
                <w:color w:val="auto"/>
                <w:highlight w:val="none"/>
              </w:rPr>
              <w:t>。</w:t>
            </w:r>
          </w:p>
          <w:p>
            <w:pPr>
              <w:spacing w:line="460" w:lineRule="exact"/>
              <w:ind w:firstLine="482"/>
              <w:jc w:val="center"/>
              <w:rPr>
                <w:b/>
                <w:color w:val="auto"/>
                <w:szCs w:val="21"/>
                <w:highlight w:val="none"/>
                <w:lang w:val="en-GB"/>
              </w:rPr>
            </w:pPr>
            <w:r>
              <w:rPr>
                <w:b/>
                <w:color w:val="auto"/>
                <w:szCs w:val="21"/>
                <w:highlight w:val="none"/>
                <w:lang w:val="en-GB"/>
              </w:rPr>
              <w:t>表</w:t>
            </w:r>
            <w:r>
              <w:rPr>
                <w:b/>
                <w:color w:val="auto"/>
                <w:szCs w:val="21"/>
                <w:highlight w:val="none"/>
              </w:rPr>
              <w:t>4-</w:t>
            </w:r>
            <w:r>
              <w:rPr>
                <w:rFonts w:hint="eastAsia"/>
                <w:b/>
                <w:color w:val="auto"/>
                <w:szCs w:val="21"/>
                <w:highlight w:val="none"/>
              </w:rPr>
              <w:t xml:space="preserve">17  </w:t>
            </w:r>
            <w:r>
              <w:rPr>
                <w:b/>
                <w:color w:val="auto"/>
                <w:szCs w:val="21"/>
                <w:highlight w:val="none"/>
                <w:lang w:val="en-GB"/>
              </w:rPr>
              <w:t>风险分析内容表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7"/>
              <w:gridCol w:w="2506"/>
              <w:gridCol w:w="162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序号</w:t>
                  </w:r>
                </w:p>
              </w:tc>
              <w:tc>
                <w:tcPr>
                  <w:tcW w:w="156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危险单元</w:t>
                  </w:r>
                </w:p>
              </w:tc>
              <w:tc>
                <w:tcPr>
                  <w:tcW w:w="250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主要危险物质</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环境风险类型</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环境影响途径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0"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1</w:t>
                  </w:r>
                </w:p>
              </w:tc>
              <w:tc>
                <w:tcPr>
                  <w:tcW w:w="1567"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rPr>
                      <w:rFonts w:eastAsiaTheme="minorEastAsia"/>
                      <w:color w:val="auto"/>
                      <w:kern w:val="0"/>
                      <w:sz w:val="21"/>
                      <w:szCs w:val="21"/>
                      <w:highlight w:val="none"/>
                    </w:rPr>
                  </w:pPr>
                  <w:r>
                    <w:rPr>
                      <w:color w:val="auto"/>
                      <w:kern w:val="0"/>
                      <w:sz w:val="21"/>
                      <w:szCs w:val="21"/>
                      <w:highlight w:val="none"/>
                    </w:rPr>
                    <w:t>危废</w:t>
                  </w:r>
                  <w:r>
                    <w:rPr>
                      <w:rFonts w:hint="eastAsia"/>
                      <w:color w:val="auto"/>
                      <w:kern w:val="0"/>
                      <w:sz w:val="21"/>
                      <w:szCs w:val="21"/>
                      <w:highlight w:val="none"/>
                    </w:rPr>
                    <w:t>仓库</w:t>
                  </w:r>
                </w:p>
              </w:tc>
              <w:tc>
                <w:tcPr>
                  <w:tcW w:w="2506"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废</w:t>
                  </w:r>
                  <w:r>
                    <w:rPr>
                      <w:rFonts w:hint="eastAsia"/>
                      <w:color w:val="auto"/>
                      <w:kern w:val="0"/>
                      <w:sz w:val="21"/>
                      <w:szCs w:val="21"/>
                      <w:highlight w:val="none"/>
                    </w:rPr>
                    <w:t>包装、废机油</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泄漏</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地表径流、下渗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820"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567"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2506"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火灾、爆炸</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大气扩散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0"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567"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2506"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消防废水</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地表径流、下渗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0" w:type="dxa"/>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1567" w:type="dxa"/>
                  <w:tcBorders>
                    <w:left w:val="single" w:color="auto" w:sz="4" w:space="0"/>
                    <w:right w:val="single" w:color="auto" w:sz="4" w:space="0"/>
                  </w:tcBorders>
                  <w:noWrap/>
                  <w:vAlign w:val="center"/>
                </w:tcPr>
                <w:p>
                  <w:pPr>
                    <w:spacing w:line="240" w:lineRule="auto"/>
                    <w:ind w:firstLine="0" w:firstLineChars="0"/>
                    <w:jc w:val="center"/>
                    <w:rPr>
                      <w:rFonts w:asciiTheme="minorHAnsi" w:hAnsiTheme="minorHAnsi" w:cstheme="minorBidi"/>
                      <w:color w:val="auto"/>
                      <w:sz w:val="21"/>
                      <w:szCs w:val="21"/>
                      <w:highlight w:val="none"/>
                    </w:rPr>
                  </w:pPr>
                  <w:r>
                    <w:rPr>
                      <w:rFonts w:hint="eastAsia"/>
                      <w:color w:val="auto"/>
                      <w:sz w:val="21"/>
                      <w:szCs w:val="21"/>
                      <w:highlight w:val="none"/>
                    </w:rPr>
                    <w:t>化学品暂存区</w:t>
                  </w:r>
                </w:p>
              </w:tc>
              <w:tc>
                <w:tcPr>
                  <w:tcW w:w="2506" w:type="dxa"/>
                  <w:tcBorders>
                    <w:left w:val="single" w:color="auto" w:sz="4" w:space="0"/>
                    <w:right w:val="single" w:color="auto" w:sz="4" w:space="0"/>
                  </w:tcBorders>
                  <w:noWrap/>
                  <w:vAlign w:val="center"/>
                </w:tcPr>
                <w:p>
                  <w:pPr>
                    <w:spacing w:line="240" w:lineRule="auto"/>
                    <w:ind w:firstLine="0" w:firstLineChars="0"/>
                    <w:jc w:val="center"/>
                    <w:rPr>
                      <w:rFonts w:asciiTheme="minorHAnsi" w:hAnsiTheme="minorHAnsi" w:cstheme="minorBidi"/>
                      <w:color w:val="auto"/>
                      <w:sz w:val="21"/>
                      <w:szCs w:val="21"/>
                      <w:highlight w:val="none"/>
                    </w:rPr>
                  </w:pPr>
                  <w:r>
                    <w:rPr>
                      <w:rFonts w:hint="eastAsia"/>
                      <w:color w:val="auto"/>
                      <w:sz w:val="21"/>
                      <w:szCs w:val="21"/>
                      <w:highlight w:val="none"/>
                    </w:rPr>
                    <w:t>机油</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Theme="minorHAnsi" w:hAnsiTheme="minorHAnsi" w:eastAsiaTheme="minorEastAsia" w:cstheme="minorBidi"/>
                      <w:color w:val="auto"/>
                      <w:kern w:val="0"/>
                      <w:sz w:val="21"/>
                      <w:szCs w:val="21"/>
                      <w:highlight w:val="none"/>
                    </w:rPr>
                  </w:pPr>
                  <w:r>
                    <w:rPr>
                      <w:rFonts w:hint="eastAsia" w:cstheme="minorBidi"/>
                      <w:color w:val="auto"/>
                      <w:kern w:val="0"/>
                      <w:sz w:val="21"/>
                      <w:szCs w:val="21"/>
                      <w:highlight w:val="none"/>
                    </w:rPr>
                    <w:t>泄漏</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地表径流、下渗</w:t>
                  </w:r>
                </w:p>
              </w:tc>
            </w:tr>
          </w:tbl>
          <w:p>
            <w:pPr>
              <w:pStyle w:val="26"/>
              <w:adjustRightInd w:val="0"/>
              <w:snapToGrid w:val="0"/>
              <w:spacing w:before="0" w:beforeAutospacing="0" w:after="0" w:afterAutospacing="0" w:line="500" w:lineRule="exact"/>
              <w:ind w:firstLineChars="0"/>
              <w:jc w:val="both"/>
              <w:rPr>
                <w:rFonts w:ascii="Times New Roman" w:hAnsi="Times New Roman"/>
                <w:b/>
                <w:bCs/>
                <w:snapToGrid w:val="0"/>
                <w:color w:val="auto"/>
                <w:highlight w:val="none"/>
              </w:rPr>
            </w:pPr>
            <w:r>
              <w:rPr>
                <w:rFonts w:ascii="Times New Roman" w:hAnsi="Times New Roman"/>
                <w:b/>
                <w:bCs/>
                <w:color w:val="auto"/>
                <w:highlight w:val="none"/>
              </w:rPr>
              <w:t>4.2.7.</w:t>
            </w:r>
            <w:r>
              <w:rPr>
                <w:rFonts w:hint="eastAsia" w:ascii="Times New Roman" w:hAnsi="Times New Roman" w:eastAsia="宋体"/>
                <w:b/>
                <w:bCs/>
                <w:color w:val="auto"/>
                <w:highlight w:val="none"/>
              </w:rPr>
              <w:t>4</w:t>
            </w:r>
            <w:r>
              <w:rPr>
                <w:rFonts w:hint="eastAsia" w:ascii="Times New Roman" w:hAnsi="Times New Roman"/>
                <w:b/>
                <w:bCs/>
                <w:color w:val="auto"/>
                <w:highlight w:val="none"/>
              </w:rPr>
              <w:t>环境风险防范措施</w:t>
            </w:r>
          </w:p>
          <w:p>
            <w:pPr>
              <w:pStyle w:val="26"/>
              <w:adjustRightInd w:val="0"/>
              <w:snapToGrid w:val="0"/>
              <w:spacing w:before="0" w:beforeAutospacing="0" w:after="0" w:afterAutospacing="0" w:line="500" w:lineRule="exact"/>
              <w:ind w:firstLine="480"/>
              <w:jc w:val="both"/>
              <w:rPr>
                <w:rFonts w:eastAsia="宋体"/>
                <w:color w:val="auto"/>
                <w:highlight w:val="none"/>
              </w:rPr>
            </w:pPr>
            <w:r>
              <w:rPr>
                <w:rFonts w:ascii="Times New Roman" w:hAnsi="Times New Roman"/>
                <w:color w:val="auto"/>
                <w:highlight w:val="none"/>
              </w:rPr>
              <w:t>本项目</w:t>
            </w:r>
            <w:r>
              <w:rPr>
                <w:rFonts w:ascii="Times New Roman" w:hAnsi="Times New Roman" w:eastAsia="宋体"/>
                <w:color w:val="auto"/>
                <w:highlight w:val="none"/>
              </w:rPr>
              <w:t>可能存在化学品泄露和发生火灾以及末端处置过程中废气事故性排放所引起的风险，对当地大气环境、水环境</w:t>
            </w:r>
            <w:r>
              <w:rPr>
                <w:rFonts w:hint="eastAsia" w:ascii="Times New Roman" w:hAnsi="Times New Roman" w:eastAsia="宋体"/>
                <w:color w:val="auto"/>
                <w:highlight w:val="none"/>
              </w:rPr>
              <w:t>、土壤环境</w:t>
            </w:r>
            <w:r>
              <w:rPr>
                <w:rFonts w:ascii="Times New Roman" w:hAnsi="Times New Roman" w:eastAsia="宋体"/>
                <w:color w:val="auto"/>
                <w:highlight w:val="none"/>
              </w:rPr>
              <w:t>造成影响。企业要从多方面积极采取防护措施，力争通过系统地管理、合理采取风险防范应急措施，提升员工操作能力，把此类风险事故降到最低，使得项目风险水平维持在较低水平。</w:t>
            </w:r>
          </w:p>
          <w:p>
            <w:pPr>
              <w:spacing w:line="500" w:lineRule="exact"/>
              <w:ind w:firstLine="480"/>
              <w:rPr>
                <w:color w:val="auto"/>
                <w:szCs w:val="22"/>
                <w:highlight w:val="none"/>
              </w:rPr>
            </w:pPr>
            <w:r>
              <w:rPr>
                <w:rFonts w:hint="eastAsia"/>
                <w:color w:val="auto"/>
                <w:szCs w:val="22"/>
                <w:highlight w:val="none"/>
              </w:rPr>
              <w:t>（1）</w:t>
            </w:r>
            <w:r>
              <w:rPr>
                <w:color w:val="auto"/>
                <w:szCs w:val="22"/>
                <w:highlight w:val="none"/>
              </w:rPr>
              <w:t>泄漏事故风险防范措施</w:t>
            </w:r>
          </w:p>
          <w:p>
            <w:pPr>
              <w:snapToGrid w:val="0"/>
              <w:spacing w:line="500" w:lineRule="exact"/>
              <w:ind w:firstLine="480"/>
              <w:rPr>
                <w:color w:val="auto"/>
                <w:szCs w:val="24"/>
                <w:highlight w:val="none"/>
              </w:rPr>
            </w:pPr>
            <w:r>
              <w:rPr>
                <w:rFonts w:hint="eastAsia"/>
                <w:color w:val="auto"/>
                <w:szCs w:val="24"/>
                <w:highlight w:val="none"/>
              </w:rPr>
              <w:t>a）</w:t>
            </w:r>
            <w:r>
              <w:rPr>
                <w:color w:val="auto"/>
                <w:szCs w:val="24"/>
                <w:highlight w:val="none"/>
              </w:rPr>
              <w:t>为了保证各物料仓储和使用安全，本项目各物料的存储条件和设施必须严格按照有关文件中的要求执行，并有严格的管理。</w:t>
            </w:r>
          </w:p>
          <w:p>
            <w:pPr>
              <w:spacing w:line="500" w:lineRule="exact"/>
              <w:ind w:firstLine="480"/>
              <w:rPr>
                <w:color w:val="auto"/>
                <w:szCs w:val="24"/>
                <w:highlight w:val="none"/>
              </w:rPr>
            </w:pPr>
            <w:r>
              <w:rPr>
                <w:rFonts w:hint="eastAsia"/>
                <w:color w:val="auto"/>
                <w:szCs w:val="24"/>
                <w:highlight w:val="none"/>
              </w:rPr>
              <w:t>b）</w:t>
            </w:r>
            <w:r>
              <w:rPr>
                <w:color w:val="auto"/>
                <w:szCs w:val="24"/>
                <w:highlight w:val="none"/>
              </w:rPr>
              <w:t>总平面布置严格遵守国家颁布的有关防火和安全等方面规范和规定，在危险源布置方面，充分考虑厂内职工和厂外敏感目标的安全，一旦出现突发性事件时，对人员造成的伤害最小。</w:t>
            </w:r>
          </w:p>
          <w:p>
            <w:pPr>
              <w:spacing w:line="500" w:lineRule="exact"/>
              <w:ind w:firstLine="480"/>
              <w:rPr>
                <w:color w:val="auto"/>
                <w:szCs w:val="24"/>
                <w:highlight w:val="none"/>
              </w:rPr>
            </w:pPr>
            <w:r>
              <w:rPr>
                <w:rFonts w:hint="eastAsia"/>
                <w:color w:val="auto"/>
                <w:szCs w:val="24"/>
                <w:highlight w:val="none"/>
              </w:rPr>
              <w:t>c）</w:t>
            </w:r>
            <w:r>
              <w:rPr>
                <w:color w:val="auto"/>
                <w:szCs w:val="24"/>
                <w:highlight w:val="none"/>
              </w:rPr>
              <w:t>在生产装置、仓储区等附近场所以及需要提醒人员注意的地点均应按标准设置各种安全标志，凡需要迅速发现并引起注意以防止发生事故的场所、部位，均按要求涂安全色。</w:t>
            </w:r>
          </w:p>
          <w:p>
            <w:pPr>
              <w:spacing w:line="500" w:lineRule="exact"/>
              <w:ind w:left="547" w:leftChars="228" w:firstLine="0" w:firstLineChars="0"/>
              <w:rPr>
                <w:color w:val="auto"/>
                <w:szCs w:val="24"/>
                <w:highlight w:val="none"/>
              </w:rPr>
            </w:pPr>
            <w:r>
              <w:rPr>
                <w:rFonts w:hint="eastAsia"/>
                <w:color w:val="auto"/>
                <w:szCs w:val="24"/>
                <w:highlight w:val="none"/>
              </w:rPr>
              <w:t>d）</w:t>
            </w:r>
            <w:r>
              <w:rPr>
                <w:color w:val="auto"/>
                <w:szCs w:val="24"/>
                <w:highlight w:val="none"/>
              </w:rPr>
              <w:t>车间、仓储区布置需通风良好，保证易燃易爆和有毒物质迅速稀释和扩散。</w:t>
            </w:r>
          </w:p>
          <w:p>
            <w:pPr>
              <w:spacing w:line="500" w:lineRule="exact"/>
              <w:ind w:left="547" w:leftChars="228" w:firstLine="0" w:firstLineChars="0"/>
              <w:rPr>
                <w:bCs/>
                <w:color w:val="auto"/>
                <w:szCs w:val="24"/>
                <w:highlight w:val="none"/>
              </w:rPr>
            </w:pPr>
            <w:r>
              <w:rPr>
                <w:rFonts w:hint="eastAsia"/>
                <w:bCs/>
                <w:color w:val="auto"/>
                <w:szCs w:val="24"/>
                <w:highlight w:val="none"/>
              </w:rPr>
              <w:t>（2）</w:t>
            </w:r>
            <w:r>
              <w:rPr>
                <w:bCs/>
                <w:color w:val="auto"/>
                <w:szCs w:val="24"/>
                <w:highlight w:val="none"/>
              </w:rPr>
              <w:t>火灾爆炸事故风险防范措施</w:t>
            </w:r>
          </w:p>
          <w:p>
            <w:pPr>
              <w:spacing w:line="500" w:lineRule="exact"/>
              <w:ind w:firstLine="480"/>
              <w:rPr>
                <w:rFonts w:ascii="宋体" w:hAnsi="宋体" w:cs="宋体"/>
                <w:color w:val="auto"/>
                <w:szCs w:val="24"/>
                <w:highlight w:val="none"/>
              </w:rPr>
            </w:pPr>
            <w:r>
              <w:rPr>
                <w:rFonts w:hint="eastAsia"/>
                <w:color w:val="auto"/>
                <w:szCs w:val="24"/>
                <w:highlight w:val="none"/>
              </w:rPr>
              <w:t>a</w:t>
            </w:r>
            <w:r>
              <w:rPr>
                <w:color w:val="auto"/>
                <w:szCs w:val="24"/>
                <w:highlight w:val="none"/>
              </w:rPr>
              <w:t>）</w:t>
            </w:r>
            <w:r>
              <w:rPr>
                <w:rFonts w:hint="eastAsia" w:ascii="宋体" w:hAnsi="宋体" w:cs="宋体"/>
                <w:color w:val="auto"/>
                <w:szCs w:val="24"/>
                <w:highlight w:val="none"/>
              </w:rPr>
              <w:t>控制与消除火源</w:t>
            </w:r>
          </w:p>
          <w:p>
            <w:pPr>
              <w:spacing w:line="500" w:lineRule="exact"/>
              <w:ind w:firstLine="480"/>
              <w:rPr>
                <w:rFonts w:ascii="宋体" w:hAnsi="宋体" w:cs="宋体"/>
                <w:color w:val="auto"/>
                <w:szCs w:val="24"/>
                <w:highlight w:val="none"/>
              </w:rPr>
            </w:pPr>
            <w:r>
              <w:rPr>
                <w:rFonts w:hint="eastAsia" w:ascii="宋体" w:hAnsi="宋体" w:cs="宋体"/>
                <w:color w:val="auto"/>
                <w:szCs w:val="24"/>
                <w:highlight w:val="none"/>
              </w:rPr>
              <w:t>工作时严禁吸烟、携带火种、穿带钉皮鞋等进入易燃易爆区；动火必须按动火手续办理动火证，采取有效的防范措施；使用防爆型电器；严禁钢制工具敲打、撞击、抛掷；安装避雷装置；转动设备部位要保持清洁，防止因摩擦引起杂物等燃烧；危险固废运输要请专门的、有资质的运输单位，定期委托处置。</w:t>
            </w:r>
          </w:p>
          <w:p>
            <w:pPr>
              <w:spacing w:line="500" w:lineRule="exact"/>
              <w:ind w:firstLine="480"/>
              <w:rPr>
                <w:color w:val="auto"/>
                <w:szCs w:val="24"/>
                <w:highlight w:val="none"/>
              </w:rPr>
            </w:pPr>
            <w:r>
              <w:rPr>
                <w:rFonts w:hint="eastAsia"/>
                <w:color w:val="auto"/>
                <w:szCs w:val="24"/>
                <w:highlight w:val="none"/>
              </w:rPr>
              <w:t>b</w:t>
            </w:r>
            <w:r>
              <w:rPr>
                <w:color w:val="auto"/>
                <w:szCs w:val="24"/>
                <w:highlight w:val="none"/>
              </w:rPr>
              <w:t>）</w:t>
            </w:r>
            <w:r>
              <w:rPr>
                <w:rFonts w:hint="eastAsia" w:ascii="宋体" w:hAnsi="宋体" w:cs="宋体"/>
                <w:color w:val="auto"/>
                <w:szCs w:val="24"/>
                <w:highlight w:val="none"/>
              </w:rPr>
              <w:t>加强管理、严格纪律，遵守各项规章制度和操作规程，严格执行岗位责任制；坚持巡回检查，发现问题及</w:t>
            </w:r>
            <w:r>
              <w:rPr>
                <w:color w:val="auto"/>
                <w:szCs w:val="24"/>
                <w:highlight w:val="none"/>
              </w:rPr>
              <w:t>时处理；加强培训、教育和考核工作。</w:t>
            </w:r>
          </w:p>
          <w:p>
            <w:pPr>
              <w:spacing w:line="500" w:lineRule="exact"/>
              <w:ind w:firstLine="480"/>
              <w:jc w:val="left"/>
              <w:outlineLvl w:val="1"/>
              <w:rPr>
                <w:bCs/>
                <w:color w:val="auto"/>
                <w:szCs w:val="24"/>
                <w:highlight w:val="none"/>
              </w:rPr>
            </w:pPr>
            <w:bookmarkStart w:id="10" w:name="_Toc16065"/>
            <w:bookmarkStart w:id="11" w:name="_Toc31632"/>
            <w:r>
              <w:rPr>
                <w:rFonts w:hint="eastAsia"/>
                <w:bCs/>
                <w:color w:val="auto"/>
                <w:szCs w:val="24"/>
                <w:highlight w:val="none"/>
              </w:rPr>
              <w:t>（3）</w:t>
            </w:r>
            <w:r>
              <w:rPr>
                <w:bCs/>
                <w:color w:val="auto"/>
                <w:szCs w:val="24"/>
                <w:highlight w:val="none"/>
              </w:rPr>
              <w:t>物料贮存风险防范措施</w:t>
            </w:r>
            <w:bookmarkEnd w:id="10"/>
            <w:bookmarkEnd w:id="11"/>
          </w:p>
          <w:p>
            <w:pPr>
              <w:spacing w:line="500" w:lineRule="exact"/>
              <w:ind w:firstLine="480"/>
              <w:rPr>
                <w:color w:val="auto"/>
                <w:szCs w:val="24"/>
                <w:highlight w:val="none"/>
              </w:rPr>
            </w:pPr>
            <w:r>
              <w:rPr>
                <w:rFonts w:hint="eastAsia"/>
                <w:color w:val="auto"/>
                <w:szCs w:val="24"/>
                <w:highlight w:val="none"/>
              </w:rPr>
              <w:t>a</w:t>
            </w:r>
            <w:r>
              <w:rPr>
                <w:color w:val="auto"/>
                <w:szCs w:val="24"/>
                <w:highlight w:val="none"/>
              </w:rPr>
              <w:t>）原料存放点应阴凉通风，远离热源、火种，防止日光曝晒，严禁受热。库内照明应采用防爆照明灯，存放点周围不得堆放任何可燃材料。</w:t>
            </w:r>
          </w:p>
          <w:p>
            <w:pPr>
              <w:spacing w:line="500" w:lineRule="exact"/>
              <w:ind w:firstLine="480"/>
              <w:rPr>
                <w:color w:val="auto"/>
                <w:szCs w:val="24"/>
                <w:highlight w:val="none"/>
              </w:rPr>
            </w:pPr>
            <w:r>
              <w:rPr>
                <w:rFonts w:hint="eastAsia"/>
                <w:color w:val="auto"/>
                <w:szCs w:val="24"/>
                <w:highlight w:val="none"/>
              </w:rPr>
              <w:t>b</w:t>
            </w:r>
            <w:r>
              <w:rPr>
                <w:color w:val="auto"/>
                <w:szCs w:val="24"/>
                <w:highlight w:val="none"/>
              </w:rPr>
              <w:t>）原料库有专人管理，要有消防器材，要有醒目的防火标志。本项目在仓库门口张贴防火标示，并配有进出台账管理。</w:t>
            </w:r>
          </w:p>
          <w:p>
            <w:pPr>
              <w:spacing w:line="500" w:lineRule="exact"/>
              <w:ind w:firstLine="480"/>
              <w:rPr>
                <w:b/>
                <w:bCs/>
                <w:color w:val="auto"/>
                <w:szCs w:val="24"/>
                <w:highlight w:val="none"/>
              </w:rPr>
            </w:pPr>
            <w:r>
              <w:rPr>
                <w:rFonts w:hint="eastAsia"/>
                <w:color w:val="auto"/>
                <w:szCs w:val="24"/>
                <w:highlight w:val="none"/>
              </w:rPr>
              <w:t>c</w:t>
            </w:r>
            <w:r>
              <w:rPr>
                <w:color w:val="auto"/>
                <w:szCs w:val="24"/>
                <w:highlight w:val="none"/>
              </w:rPr>
              <w:t>）</w:t>
            </w:r>
            <w:r>
              <w:rPr>
                <w:rFonts w:hint="eastAsia" w:ascii="宋体" w:hAnsi="宋体" w:cs="宋体"/>
                <w:color w:val="auto"/>
                <w:szCs w:val="24"/>
                <w:highlight w:val="none"/>
              </w:rPr>
              <w:t>对员工进行日常风险教育和培训，提高安全防范知识的宣传力度。企业定期对员工进行安全培训教育，从控制</w:t>
            </w:r>
            <w:r>
              <w:rPr>
                <w:color w:val="auto"/>
                <w:szCs w:val="24"/>
                <w:highlight w:val="none"/>
              </w:rPr>
              <w:t>过程减少了风险事故的产生。</w:t>
            </w:r>
            <w:bookmarkStart w:id="12" w:name="_Toc5456"/>
            <w:bookmarkStart w:id="13" w:name="_Toc18738"/>
            <w:bookmarkStart w:id="14" w:name="_Toc512257736"/>
            <w:bookmarkStart w:id="15" w:name="_Toc474935964"/>
            <w:bookmarkStart w:id="16" w:name="_Toc24866"/>
            <w:bookmarkStart w:id="17" w:name="_Toc483559509"/>
            <w:bookmarkStart w:id="18" w:name="_Toc28756"/>
          </w:p>
          <w:p>
            <w:pPr>
              <w:spacing w:line="500" w:lineRule="exact"/>
              <w:ind w:firstLine="480"/>
              <w:rPr>
                <w:b/>
                <w:bCs/>
                <w:color w:val="auto"/>
                <w:szCs w:val="24"/>
                <w:highlight w:val="none"/>
              </w:rPr>
            </w:pPr>
            <w:r>
              <w:rPr>
                <w:rFonts w:hint="eastAsia"/>
                <w:color w:val="auto"/>
                <w:szCs w:val="24"/>
                <w:highlight w:val="none"/>
              </w:rPr>
              <w:t>（4）</w:t>
            </w:r>
            <w:r>
              <w:rPr>
                <w:color w:val="auto"/>
                <w:szCs w:val="24"/>
                <w:highlight w:val="none"/>
              </w:rPr>
              <w:t>废气事故排放的防范措施</w:t>
            </w:r>
            <w:bookmarkEnd w:id="12"/>
            <w:bookmarkEnd w:id="13"/>
            <w:bookmarkEnd w:id="14"/>
            <w:bookmarkEnd w:id="15"/>
            <w:bookmarkEnd w:id="16"/>
            <w:bookmarkEnd w:id="17"/>
            <w:bookmarkEnd w:id="18"/>
          </w:p>
          <w:p>
            <w:pPr>
              <w:autoSpaceDE w:val="0"/>
              <w:autoSpaceDN w:val="0"/>
              <w:spacing w:line="500" w:lineRule="exact"/>
              <w:ind w:firstLine="480"/>
              <w:rPr>
                <w:color w:val="auto"/>
                <w:kern w:val="0"/>
                <w:szCs w:val="24"/>
                <w:highlight w:val="none"/>
              </w:rPr>
            </w:pPr>
            <w:r>
              <w:rPr>
                <w:color w:val="auto"/>
                <w:kern w:val="0"/>
                <w:szCs w:val="24"/>
                <w:highlight w:val="none"/>
              </w:rPr>
              <w:t>为确保不发生事故性废气排放，建设单位采取一定的事故性防范保护措施：</w:t>
            </w:r>
          </w:p>
          <w:p>
            <w:pPr>
              <w:autoSpaceDE w:val="0"/>
              <w:autoSpaceDN w:val="0"/>
              <w:spacing w:line="500" w:lineRule="exact"/>
              <w:ind w:firstLine="480"/>
              <w:rPr>
                <w:color w:val="auto"/>
                <w:kern w:val="0"/>
                <w:szCs w:val="24"/>
                <w:highlight w:val="none"/>
              </w:rPr>
            </w:pPr>
            <w:r>
              <w:rPr>
                <w:rFonts w:hint="eastAsia"/>
                <w:color w:val="auto"/>
                <w:szCs w:val="24"/>
                <w:highlight w:val="none"/>
              </w:rPr>
              <w:t>a）</w:t>
            </w:r>
            <w:r>
              <w:rPr>
                <w:color w:val="auto"/>
                <w:kern w:val="0"/>
                <w:szCs w:val="24"/>
                <w:highlight w:val="none"/>
              </w:rPr>
              <w:t>各生产环节严格执行生产管理的有关规定，加强设备的检修及保养，提高管理人员素质，并设置机器事故应急措施及管理制度，确保设备长期处于良好状态，使设备达到预期的处理效果。</w:t>
            </w:r>
          </w:p>
          <w:p>
            <w:pPr>
              <w:spacing w:line="500" w:lineRule="exact"/>
              <w:ind w:firstLine="480"/>
              <w:rPr>
                <w:color w:val="auto"/>
                <w:kern w:val="0"/>
                <w:szCs w:val="24"/>
                <w:highlight w:val="none"/>
              </w:rPr>
            </w:pPr>
            <w:r>
              <w:rPr>
                <w:rFonts w:hint="eastAsia"/>
                <w:color w:val="auto"/>
                <w:kern w:val="0"/>
                <w:szCs w:val="24"/>
                <w:highlight w:val="none"/>
              </w:rPr>
              <w:t>b）</w:t>
            </w:r>
            <w:r>
              <w:rPr>
                <w:color w:val="auto"/>
                <w:kern w:val="0"/>
                <w:szCs w:val="24"/>
                <w:highlight w:val="none"/>
              </w:rPr>
              <w:t>现场作业人员定时记录废气处理状况，如对废气处理设施的风机等设备进行点检工作，并派专人巡视，遇不良工作状况立即停止车间相关作业，维修正常后再开始作业，杜绝事故性废气直排，并及时呈报单位主管。待检修完毕再通知生产车间相关工序。</w:t>
            </w:r>
          </w:p>
          <w:p>
            <w:pPr>
              <w:adjustRightInd w:val="0"/>
              <w:snapToGrid w:val="0"/>
              <w:spacing w:line="500" w:lineRule="exact"/>
              <w:ind w:firstLine="0" w:firstLineChars="0"/>
              <w:rPr>
                <w:b/>
                <w:color w:val="auto"/>
                <w:szCs w:val="24"/>
                <w:highlight w:val="none"/>
              </w:rPr>
            </w:pPr>
            <w:r>
              <w:rPr>
                <w:rFonts w:hint="eastAsia"/>
                <w:b/>
                <w:bCs/>
                <w:color w:val="auto"/>
                <w:szCs w:val="24"/>
                <w:highlight w:val="none"/>
              </w:rPr>
              <w:t xml:space="preserve">4.2.8 </w:t>
            </w:r>
            <w:r>
              <w:rPr>
                <w:rFonts w:hint="eastAsia"/>
                <w:b/>
                <w:color w:val="auto"/>
                <w:szCs w:val="24"/>
                <w:highlight w:val="none"/>
              </w:rPr>
              <w:t>环保投资</w:t>
            </w:r>
          </w:p>
          <w:p>
            <w:pPr>
              <w:spacing w:line="500" w:lineRule="exact"/>
              <w:ind w:firstLine="480"/>
              <w:rPr>
                <w:color w:val="auto"/>
                <w:szCs w:val="24"/>
                <w:highlight w:val="none"/>
              </w:rPr>
            </w:pPr>
            <w:r>
              <w:rPr>
                <w:color w:val="auto"/>
                <w:szCs w:val="24"/>
                <w:highlight w:val="none"/>
              </w:rPr>
              <w:t>本项目总投资</w:t>
            </w:r>
            <w:r>
              <w:rPr>
                <w:rFonts w:hint="eastAsia"/>
                <w:color w:val="auto"/>
                <w:szCs w:val="24"/>
                <w:highlight w:val="none"/>
              </w:rPr>
              <w:t>1100</w:t>
            </w:r>
            <w:r>
              <w:rPr>
                <w:color w:val="auto"/>
                <w:szCs w:val="24"/>
                <w:highlight w:val="none"/>
              </w:rPr>
              <w:t>万元，环保投资估算约需</w:t>
            </w:r>
            <w:r>
              <w:rPr>
                <w:rFonts w:hint="eastAsia"/>
                <w:color w:val="auto"/>
                <w:szCs w:val="24"/>
                <w:highlight w:val="none"/>
              </w:rPr>
              <w:t>11</w:t>
            </w:r>
            <w:r>
              <w:rPr>
                <w:rFonts w:hint="eastAsia"/>
                <w:color w:val="auto"/>
                <w:szCs w:val="24"/>
                <w:highlight w:val="none"/>
                <w:lang w:val="en-US" w:eastAsia="zh-CN"/>
              </w:rPr>
              <w:t>1</w:t>
            </w:r>
            <w:r>
              <w:rPr>
                <w:color w:val="auto"/>
                <w:szCs w:val="24"/>
                <w:highlight w:val="none"/>
              </w:rPr>
              <w:t>万元，约占总投资的</w:t>
            </w:r>
            <w:r>
              <w:rPr>
                <w:rFonts w:hint="eastAsia"/>
                <w:color w:val="auto"/>
                <w:szCs w:val="24"/>
                <w:highlight w:val="none"/>
              </w:rPr>
              <w:t>10.3</w:t>
            </w:r>
            <w:r>
              <w:rPr>
                <w:color w:val="auto"/>
                <w:szCs w:val="24"/>
                <w:highlight w:val="none"/>
              </w:rPr>
              <w:t>%。环保投资估算具体见表</w:t>
            </w:r>
            <w:r>
              <w:rPr>
                <w:rFonts w:hint="eastAsia"/>
                <w:color w:val="auto"/>
                <w:szCs w:val="24"/>
                <w:highlight w:val="none"/>
              </w:rPr>
              <w:t>4-18</w:t>
            </w:r>
            <w:r>
              <w:rPr>
                <w:color w:val="auto"/>
                <w:szCs w:val="24"/>
                <w:highlight w:val="none"/>
              </w:rPr>
              <w:t>。</w:t>
            </w:r>
          </w:p>
          <w:p>
            <w:pPr>
              <w:spacing w:line="460" w:lineRule="exact"/>
              <w:ind w:firstLine="0" w:firstLineChars="0"/>
              <w:jc w:val="center"/>
              <w:rPr>
                <w:b/>
                <w:bCs/>
                <w:color w:val="auto"/>
                <w:sz w:val="21"/>
                <w:szCs w:val="21"/>
                <w:highlight w:val="none"/>
              </w:rPr>
            </w:pPr>
            <w:r>
              <w:rPr>
                <w:b/>
                <w:bCs/>
                <w:color w:val="auto"/>
                <w:sz w:val="21"/>
                <w:szCs w:val="21"/>
                <w:highlight w:val="none"/>
              </w:rPr>
              <w:t>表</w:t>
            </w:r>
            <w:r>
              <w:rPr>
                <w:rFonts w:hint="eastAsia"/>
                <w:b/>
                <w:bCs/>
                <w:color w:val="auto"/>
                <w:sz w:val="21"/>
                <w:szCs w:val="21"/>
                <w:highlight w:val="none"/>
              </w:rPr>
              <w:t>4-18</w:t>
            </w:r>
            <w:r>
              <w:rPr>
                <w:b/>
                <w:bCs/>
                <w:color w:val="auto"/>
                <w:sz w:val="21"/>
                <w:szCs w:val="21"/>
                <w:highlight w:val="none"/>
              </w:rPr>
              <w:t xml:space="preserve">  环保工程投资估算表</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676"/>
              <w:gridCol w:w="2805"/>
              <w:gridCol w:w="1124"/>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05" w:type="dxa"/>
                  <w:gridSpan w:val="2"/>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类别</w:t>
                  </w:r>
                </w:p>
              </w:tc>
              <w:tc>
                <w:tcPr>
                  <w:tcW w:w="4594"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污染防治设施或措施名称</w:t>
                  </w:r>
                </w:p>
              </w:tc>
              <w:tc>
                <w:tcPr>
                  <w:tcW w:w="1742"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投资</w:t>
                  </w:r>
                </w:p>
                <w:p>
                  <w:pPr>
                    <w:spacing w:line="240" w:lineRule="auto"/>
                    <w:ind w:firstLine="0" w:firstLineChars="0"/>
                    <w:jc w:val="center"/>
                    <w:rPr>
                      <w:b/>
                      <w:bCs/>
                      <w:color w:val="auto"/>
                      <w:sz w:val="21"/>
                      <w:szCs w:val="21"/>
                      <w:highlight w:val="none"/>
                    </w:rPr>
                  </w:pPr>
                  <w:r>
                    <w:rPr>
                      <w:b/>
                      <w:bCs/>
                      <w:color w:val="auto"/>
                      <w:sz w:val="21"/>
                      <w:szCs w:val="21"/>
                      <w:highlight w:val="none"/>
                    </w:rPr>
                    <w:t>估算</w:t>
                  </w:r>
                </w:p>
              </w:tc>
              <w:tc>
                <w:tcPr>
                  <w:tcW w:w="496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营运期</w:t>
                  </w:r>
                </w:p>
              </w:tc>
              <w:tc>
                <w:tcPr>
                  <w:tcW w:w="982"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c>
                <w:tcPr>
                  <w:tcW w:w="4594"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噪声防治</w:t>
                  </w:r>
                </w:p>
              </w:tc>
              <w:tc>
                <w:tcPr>
                  <w:tcW w:w="17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r>
                    <w:rPr>
                      <w:color w:val="auto"/>
                      <w:sz w:val="21"/>
                      <w:szCs w:val="21"/>
                      <w:highlight w:val="none"/>
                    </w:rPr>
                    <w:t>万元</w:t>
                  </w:r>
                </w:p>
              </w:tc>
              <w:tc>
                <w:tcPr>
                  <w:tcW w:w="4965" w:type="dxa"/>
                  <w:vAlign w:val="center"/>
                </w:tcPr>
                <w:p>
                  <w:pPr>
                    <w:spacing w:line="240" w:lineRule="auto"/>
                    <w:ind w:firstLine="0" w:firstLineChars="0"/>
                    <w:jc w:val="center"/>
                    <w:rPr>
                      <w:color w:val="auto"/>
                      <w:sz w:val="21"/>
                      <w:szCs w:val="21"/>
                      <w:highlight w:val="none"/>
                    </w:rPr>
                  </w:pPr>
                  <w:r>
                    <w:rPr>
                      <w:color w:val="auto"/>
                      <w:sz w:val="21"/>
                      <w:szCs w:val="21"/>
                      <w:highlight w:val="none"/>
                    </w:rPr>
                    <w:t>设备维护、隔声屏障设置等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240" w:lineRule="auto"/>
                    <w:ind w:firstLine="0" w:firstLineChars="0"/>
                    <w:jc w:val="center"/>
                    <w:rPr>
                      <w:color w:val="auto"/>
                      <w:sz w:val="21"/>
                      <w:szCs w:val="21"/>
                      <w:highlight w:val="none"/>
                    </w:rPr>
                  </w:pPr>
                </w:p>
              </w:tc>
              <w:tc>
                <w:tcPr>
                  <w:tcW w:w="982"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固废</w:t>
                  </w:r>
                </w:p>
              </w:tc>
              <w:tc>
                <w:tcPr>
                  <w:tcW w:w="4594" w:type="dxa"/>
                  <w:vAlign w:val="center"/>
                </w:tcPr>
                <w:p>
                  <w:pPr>
                    <w:spacing w:line="240" w:lineRule="auto"/>
                    <w:ind w:firstLine="0" w:firstLineChars="0"/>
                    <w:jc w:val="center"/>
                    <w:rPr>
                      <w:color w:val="auto"/>
                      <w:sz w:val="21"/>
                      <w:szCs w:val="21"/>
                      <w:highlight w:val="none"/>
                    </w:rPr>
                  </w:pPr>
                  <w:r>
                    <w:rPr>
                      <w:color w:val="auto"/>
                      <w:sz w:val="21"/>
                      <w:szCs w:val="21"/>
                      <w:highlight w:val="none"/>
                    </w:rPr>
                    <w:t>一般固废贮存场所</w:t>
                  </w:r>
                </w:p>
              </w:tc>
              <w:tc>
                <w:tcPr>
                  <w:tcW w:w="17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lang w:val="en-US" w:eastAsia="zh-CN"/>
                    </w:rPr>
                    <w:t>8</w:t>
                  </w:r>
                  <w:r>
                    <w:rPr>
                      <w:color w:val="auto"/>
                      <w:sz w:val="21"/>
                      <w:szCs w:val="21"/>
                      <w:highlight w:val="none"/>
                    </w:rPr>
                    <w:t>万元</w:t>
                  </w:r>
                </w:p>
              </w:tc>
              <w:tc>
                <w:tcPr>
                  <w:tcW w:w="4965" w:type="dxa"/>
                  <w:vAlign w:val="center"/>
                </w:tcPr>
                <w:p>
                  <w:pPr>
                    <w:spacing w:line="240" w:lineRule="auto"/>
                    <w:ind w:firstLine="0" w:firstLineChars="0"/>
                    <w:jc w:val="center"/>
                    <w:rPr>
                      <w:color w:val="auto"/>
                      <w:sz w:val="21"/>
                      <w:szCs w:val="21"/>
                      <w:highlight w:val="none"/>
                    </w:rPr>
                  </w:pPr>
                  <w:r>
                    <w:rPr>
                      <w:color w:val="auto"/>
                      <w:sz w:val="21"/>
                      <w:szCs w:val="21"/>
                      <w:highlight w:val="none"/>
                    </w:rPr>
                    <w:t>一般固废存放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240" w:lineRule="auto"/>
                    <w:ind w:firstLine="0" w:firstLineChars="0"/>
                    <w:jc w:val="center"/>
                    <w:rPr>
                      <w:color w:val="auto"/>
                      <w:sz w:val="21"/>
                      <w:szCs w:val="21"/>
                      <w:highlight w:val="none"/>
                    </w:rPr>
                  </w:pPr>
                </w:p>
              </w:tc>
              <w:tc>
                <w:tcPr>
                  <w:tcW w:w="982" w:type="dxa"/>
                  <w:vMerge w:val="continue"/>
                  <w:vAlign w:val="center"/>
                </w:tcPr>
                <w:p>
                  <w:pPr>
                    <w:spacing w:line="240" w:lineRule="auto"/>
                    <w:ind w:firstLine="0" w:firstLineChars="0"/>
                    <w:jc w:val="center"/>
                    <w:rPr>
                      <w:color w:val="auto"/>
                      <w:sz w:val="21"/>
                      <w:szCs w:val="21"/>
                      <w:highlight w:val="none"/>
                    </w:rPr>
                  </w:pPr>
                </w:p>
              </w:tc>
              <w:tc>
                <w:tcPr>
                  <w:tcW w:w="4594" w:type="dxa"/>
                  <w:vAlign w:val="center"/>
                </w:tcPr>
                <w:p>
                  <w:pPr>
                    <w:spacing w:line="240" w:lineRule="auto"/>
                    <w:ind w:firstLine="0" w:firstLineChars="0"/>
                    <w:jc w:val="center"/>
                    <w:rPr>
                      <w:color w:val="auto"/>
                      <w:sz w:val="21"/>
                      <w:szCs w:val="21"/>
                      <w:highlight w:val="none"/>
                    </w:rPr>
                  </w:pPr>
                  <w:r>
                    <w:rPr>
                      <w:color w:val="auto"/>
                      <w:sz w:val="21"/>
                      <w:szCs w:val="21"/>
                      <w:highlight w:val="none"/>
                    </w:rPr>
                    <w:t>危险固废贮存场所</w:t>
                  </w:r>
                </w:p>
              </w:tc>
              <w:tc>
                <w:tcPr>
                  <w:tcW w:w="17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0</w:t>
                  </w:r>
                  <w:r>
                    <w:rPr>
                      <w:color w:val="auto"/>
                      <w:sz w:val="21"/>
                      <w:szCs w:val="21"/>
                      <w:highlight w:val="none"/>
                    </w:rPr>
                    <w:t>万元</w:t>
                  </w:r>
                </w:p>
              </w:tc>
              <w:tc>
                <w:tcPr>
                  <w:tcW w:w="4965" w:type="dxa"/>
                  <w:vAlign w:val="center"/>
                </w:tcPr>
                <w:p>
                  <w:pPr>
                    <w:spacing w:line="240" w:lineRule="auto"/>
                    <w:ind w:firstLine="0" w:firstLineChars="0"/>
                    <w:jc w:val="center"/>
                    <w:rPr>
                      <w:color w:val="auto"/>
                      <w:sz w:val="21"/>
                      <w:szCs w:val="21"/>
                      <w:highlight w:val="none"/>
                    </w:rPr>
                  </w:pPr>
                  <w:r>
                    <w:rPr>
                      <w:color w:val="auto"/>
                      <w:sz w:val="21"/>
                      <w:szCs w:val="21"/>
                      <w:highlight w:val="none"/>
                    </w:rPr>
                    <w:t>危废存放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240" w:lineRule="auto"/>
                    <w:ind w:firstLine="0" w:firstLineChars="0"/>
                    <w:jc w:val="center"/>
                    <w:rPr>
                      <w:color w:val="auto"/>
                      <w:sz w:val="21"/>
                      <w:szCs w:val="21"/>
                      <w:highlight w:val="none"/>
                    </w:rPr>
                  </w:pPr>
                </w:p>
              </w:tc>
              <w:tc>
                <w:tcPr>
                  <w:tcW w:w="982" w:type="dxa"/>
                  <w:vAlign w:val="center"/>
                </w:tcPr>
                <w:p>
                  <w:pPr>
                    <w:spacing w:line="240" w:lineRule="auto"/>
                    <w:ind w:firstLine="0" w:firstLineChars="0"/>
                    <w:jc w:val="center"/>
                    <w:rPr>
                      <w:color w:val="auto"/>
                      <w:sz w:val="21"/>
                      <w:szCs w:val="21"/>
                      <w:highlight w:val="none"/>
                    </w:rPr>
                  </w:pPr>
                  <w:r>
                    <w:rPr>
                      <w:color w:val="auto"/>
                      <w:sz w:val="21"/>
                      <w:szCs w:val="21"/>
                      <w:highlight w:val="none"/>
                    </w:rPr>
                    <w:t>废水</w:t>
                  </w:r>
                </w:p>
              </w:tc>
              <w:tc>
                <w:tcPr>
                  <w:tcW w:w="4594" w:type="dxa"/>
                  <w:vAlign w:val="center"/>
                </w:tcPr>
                <w:p>
                  <w:pPr>
                    <w:spacing w:line="240" w:lineRule="auto"/>
                    <w:ind w:firstLine="0" w:firstLineChars="0"/>
                    <w:jc w:val="center"/>
                    <w:rPr>
                      <w:color w:val="auto"/>
                      <w:sz w:val="21"/>
                      <w:szCs w:val="21"/>
                      <w:highlight w:val="none"/>
                    </w:rPr>
                  </w:pPr>
                  <w:r>
                    <w:rPr>
                      <w:color w:val="auto"/>
                      <w:sz w:val="21"/>
                      <w:szCs w:val="21"/>
                      <w:highlight w:val="none"/>
                    </w:rPr>
                    <w:t>化粪池</w:t>
                  </w:r>
                </w:p>
              </w:tc>
              <w:tc>
                <w:tcPr>
                  <w:tcW w:w="1742" w:type="dxa"/>
                  <w:vAlign w:val="center"/>
                </w:tcPr>
                <w:p>
                  <w:pPr>
                    <w:spacing w:line="240" w:lineRule="auto"/>
                    <w:ind w:firstLine="0" w:firstLineChars="0"/>
                    <w:jc w:val="center"/>
                    <w:rPr>
                      <w:color w:val="auto"/>
                      <w:sz w:val="21"/>
                      <w:szCs w:val="21"/>
                      <w:highlight w:val="none"/>
                    </w:rPr>
                  </w:pPr>
                  <w:r>
                    <w:rPr>
                      <w:color w:val="auto"/>
                      <w:sz w:val="21"/>
                      <w:szCs w:val="21"/>
                      <w:highlight w:val="none"/>
                    </w:rPr>
                    <w:t>0</w:t>
                  </w:r>
                </w:p>
              </w:tc>
              <w:tc>
                <w:tcPr>
                  <w:tcW w:w="4965" w:type="dxa"/>
                  <w:vAlign w:val="center"/>
                </w:tcPr>
                <w:p>
                  <w:pPr>
                    <w:spacing w:line="240" w:lineRule="auto"/>
                    <w:ind w:firstLine="0" w:firstLineChars="0"/>
                    <w:jc w:val="center"/>
                    <w:rPr>
                      <w:color w:val="auto"/>
                      <w:sz w:val="21"/>
                      <w:szCs w:val="21"/>
                      <w:highlight w:val="none"/>
                    </w:rPr>
                  </w:pPr>
                  <w:r>
                    <w:rPr>
                      <w:color w:val="auto"/>
                      <w:sz w:val="21"/>
                      <w:szCs w:val="21"/>
                      <w:highlight w:val="none"/>
                    </w:rPr>
                    <w:t>利用</w:t>
                  </w:r>
                  <w:r>
                    <w:rPr>
                      <w:rFonts w:hint="eastAsia"/>
                      <w:color w:val="auto"/>
                      <w:sz w:val="21"/>
                      <w:szCs w:val="21"/>
                      <w:highlight w:val="none"/>
                    </w:rPr>
                    <w:t>出租方现有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240" w:lineRule="auto"/>
                    <w:ind w:firstLine="0" w:firstLineChars="0"/>
                    <w:jc w:val="center"/>
                    <w:rPr>
                      <w:color w:val="auto"/>
                      <w:sz w:val="21"/>
                      <w:szCs w:val="21"/>
                      <w:highlight w:val="none"/>
                    </w:rPr>
                  </w:pPr>
                </w:p>
              </w:tc>
              <w:tc>
                <w:tcPr>
                  <w:tcW w:w="982"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459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布袋除尘设施</w:t>
                  </w:r>
                </w:p>
              </w:tc>
              <w:tc>
                <w:tcPr>
                  <w:tcW w:w="17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r>
                    <w:rPr>
                      <w:color w:val="auto"/>
                      <w:sz w:val="21"/>
                      <w:szCs w:val="21"/>
                      <w:highlight w:val="none"/>
                    </w:rPr>
                    <w:t>万元</w:t>
                  </w:r>
                </w:p>
              </w:tc>
              <w:tc>
                <w:tcPr>
                  <w:tcW w:w="496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包装粉尘处理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240" w:lineRule="auto"/>
                    <w:ind w:firstLine="0" w:firstLineChars="0"/>
                    <w:jc w:val="center"/>
                    <w:rPr>
                      <w:color w:val="auto"/>
                      <w:sz w:val="21"/>
                      <w:szCs w:val="21"/>
                      <w:highlight w:val="none"/>
                    </w:rPr>
                  </w:pPr>
                </w:p>
              </w:tc>
              <w:tc>
                <w:tcPr>
                  <w:tcW w:w="982" w:type="dxa"/>
                  <w:vMerge w:val="continue"/>
                  <w:vAlign w:val="center"/>
                </w:tcPr>
                <w:p>
                  <w:pPr>
                    <w:spacing w:line="240" w:lineRule="auto"/>
                    <w:ind w:firstLine="0" w:firstLineChars="0"/>
                    <w:jc w:val="center"/>
                    <w:rPr>
                      <w:color w:val="auto"/>
                      <w:sz w:val="21"/>
                      <w:szCs w:val="21"/>
                      <w:highlight w:val="none"/>
                    </w:rPr>
                  </w:pPr>
                </w:p>
              </w:tc>
              <w:tc>
                <w:tcPr>
                  <w:tcW w:w="459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脉冲式布袋除尘装置（12台）</w:t>
                  </w:r>
                </w:p>
              </w:tc>
              <w:tc>
                <w:tcPr>
                  <w:tcW w:w="17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lang w:val="en-US" w:eastAsia="zh-CN"/>
                    </w:rPr>
                    <w:t>5</w:t>
                  </w:r>
                  <w:r>
                    <w:rPr>
                      <w:rFonts w:hint="eastAsia"/>
                      <w:color w:val="auto"/>
                      <w:sz w:val="21"/>
                      <w:szCs w:val="21"/>
                      <w:highlight w:val="none"/>
                    </w:rPr>
                    <w:t>8</w:t>
                  </w:r>
                  <w:r>
                    <w:rPr>
                      <w:color w:val="auto"/>
                      <w:sz w:val="21"/>
                      <w:szCs w:val="21"/>
                      <w:highlight w:val="none"/>
                    </w:rPr>
                    <w:t>万元</w:t>
                  </w:r>
                </w:p>
              </w:tc>
              <w:tc>
                <w:tcPr>
                  <w:tcW w:w="496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装卸物料输送等粉尘治理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240" w:lineRule="auto"/>
                    <w:ind w:firstLine="0" w:firstLineChars="0"/>
                    <w:jc w:val="center"/>
                    <w:rPr>
                      <w:color w:val="auto"/>
                      <w:sz w:val="21"/>
                      <w:szCs w:val="21"/>
                      <w:highlight w:val="none"/>
                    </w:rPr>
                  </w:pPr>
                </w:p>
              </w:tc>
              <w:tc>
                <w:tcPr>
                  <w:tcW w:w="982" w:type="dxa"/>
                  <w:vMerge w:val="continue"/>
                  <w:vAlign w:val="center"/>
                </w:tcPr>
                <w:p>
                  <w:pPr>
                    <w:spacing w:line="240" w:lineRule="auto"/>
                    <w:ind w:firstLine="0" w:firstLineChars="0"/>
                    <w:jc w:val="center"/>
                    <w:rPr>
                      <w:color w:val="auto"/>
                      <w:sz w:val="21"/>
                      <w:szCs w:val="21"/>
                      <w:highlight w:val="none"/>
                    </w:rPr>
                  </w:pPr>
                </w:p>
              </w:tc>
              <w:tc>
                <w:tcPr>
                  <w:tcW w:w="459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集气罩，密闭管道等</w:t>
                  </w:r>
                </w:p>
              </w:tc>
              <w:tc>
                <w:tcPr>
                  <w:tcW w:w="17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w:t>
                  </w:r>
                  <w:r>
                    <w:rPr>
                      <w:color w:val="auto"/>
                      <w:sz w:val="21"/>
                      <w:szCs w:val="21"/>
                      <w:highlight w:val="none"/>
                    </w:rPr>
                    <w:t>万元</w:t>
                  </w:r>
                </w:p>
              </w:tc>
              <w:tc>
                <w:tcPr>
                  <w:tcW w:w="496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废气收集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9" w:type="dxa"/>
                  <w:gridSpan w:val="3"/>
                  <w:vAlign w:val="center"/>
                </w:tcPr>
                <w:p>
                  <w:pPr>
                    <w:spacing w:line="240" w:lineRule="auto"/>
                    <w:ind w:firstLine="0" w:firstLineChars="0"/>
                    <w:jc w:val="center"/>
                    <w:rPr>
                      <w:color w:val="auto"/>
                      <w:sz w:val="21"/>
                      <w:szCs w:val="21"/>
                      <w:highlight w:val="none"/>
                    </w:rPr>
                  </w:pPr>
                  <w:r>
                    <w:rPr>
                      <w:color w:val="auto"/>
                      <w:sz w:val="21"/>
                      <w:szCs w:val="21"/>
                      <w:highlight w:val="none"/>
                    </w:rPr>
                    <w:t>合计</w:t>
                  </w:r>
                </w:p>
              </w:tc>
              <w:tc>
                <w:tcPr>
                  <w:tcW w:w="6707" w:type="dxa"/>
                  <w:gridSpan w:val="2"/>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11</w:t>
                  </w:r>
                  <w:r>
                    <w:rPr>
                      <w:rFonts w:hint="eastAsia"/>
                      <w:color w:val="auto"/>
                      <w:sz w:val="21"/>
                      <w:szCs w:val="21"/>
                      <w:highlight w:val="none"/>
                      <w:lang w:val="en-US" w:eastAsia="zh-CN"/>
                    </w:rPr>
                    <w:t>1</w:t>
                  </w:r>
                  <w:r>
                    <w:rPr>
                      <w:color w:val="auto"/>
                      <w:sz w:val="21"/>
                      <w:szCs w:val="21"/>
                      <w:highlight w:val="none"/>
                    </w:rPr>
                    <w:t>万元</w:t>
                  </w:r>
                </w:p>
              </w:tc>
            </w:tr>
          </w:tbl>
          <w:p>
            <w:pPr>
              <w:pStyle w:val="4"/>
              <w:ind w:firstLine="480"/>
              <w:rPr>
                <w:rFonts w:hint="eastAsia" w:ascii="Times New Roman" w:hAnsi="Times New Roman" w:cs="Times New Roman"/>
                <w:b w:val="0"/>
                <w:bCs w:val="0"/>
                <w:color w:val="auto"/>
                <w:highlight w:val="none"/>
                <w:lang w:val="en-US" w:bidi="ar-SA"/>
              </w:rPr>
            </w:pPr>
          </w:p>
          <w:p>
            <w:pPr>
              <w:pStyle w:val="4"/>
              <w:ind w:firstLine="480"/>
              <w:rPr>
                <w:rFonts w:hint="eastAsia" w:ascii="Times New Roman" w:hAnsi="Times New Roman" w:cs="Times New Roman"/>
                <w:b w:val="0"/>
                <w:bCs w:val="0"/>
                <w:color w:val="auto"/>
                <w:highlight w:val="none"/>
                <w:lang w:val="en-US" w:bidi="ar-SA"/>
              </w:rPr>
            </w:pPr>
          </w:p>
          <w:p>
            <w:pPr>
              <w:pStyle w:val="4"/>
              <w:ind w:left="0" w:leftChars="0" w:firstLine="0" w:firstLineChars="0"/>
              <w:rPr>
                <w:rFonts w:hint="eastAsia" w:eastAsia="宋体"/>
                <w:color w:val="auto"/>
                <w:highlight w:val="none"/>
                <w:vertAlign w:val="baseline"/>
                <w:lang w:eastAsia="zh-CN"/>
              </w:rPr>
            </w:pPr>
          </w:p>
        </w:tc>
      </w:tr>
    </w:tbl>
    <w:p>
      <w:pPr>
        <w:pStyle w:val="2"/>
        <w:rPr>
          <w:color w:val="auto"/>
          <w:highlight w:val="none"/>
        </w:rPr>
        <w:sectPr>
          <w:pgSz w:w="11906" w:h="16838"/>
          <w:pgMar w:top="1559" w:right="1559" w:bottom="1559" w:left="1559" w:header="851" w:footer="992" w:gutter="0"/>
          <w:cols w:space="720" w:num="1"/>
          <w:docGrid w:type="lines" w:linePitch="332" w:charSpace="0"/>
        </w:sectPr>
      </w:pPr>
    </w:p>
    <w:p>
      <w:pPr>
        <w:spacing w:line="240" w:lineRule="auto"/>
        <w:ind w:firstLine="0" w:firstLineChars="0"/>
        <w:jc w:val="center"/>
        <w:outlineLvl w:val="0"/>
        <w:rPr>
          <w:rFonts w:hAnsi="宋体"/>
          <w:b/>
          <w:color w:val="auto"/>
          <w:sz w:val="28"/>
          <w:szCs w:val="28"/>
          <w:highlight w:val="none"/>
        </w:rPr>
      </w:pPr>
      <w:bookmarkStart w:id="19" w:name="_Toc17774"/>
      <w:r>
        <w:rPr>
          <w:rFonts w:hint="eastAsia" w:hAnsi="宋体"/>
          <w:b/>
          <w:color w:val="auto"/>
          <w:sz w:val="28"/>
          <w:szCs w:val="28"/>
          <w:highlight w:val="none"/>
        </w:rPr>
        <w:t>五、</w:t>
      </w:r>
      <w:bookmarkStart w:id="20" w:name="_Hlk54167917"/>
      <w:r>
        <w:rPr>
          <w:rFonts w:hint="eastAsia" w:hAnsi="宋体"/>
          <w:b/>
          <w:color w:val="auto"/>
          <w:sz w:val="28"/>
          <w:szCs w:val="28"/>
          <w:highlight w:val="none"/>
        </w:rPr>
        <w:t>环境保护措施监督检查清单</w:t>
      </w:r>
      <w:bookmarkEnd w:id="19"/>
      <w:bookmarkEnd w:id="20"/>
    </w:p>
    <w:tbl>
      <w:tblPr>
        <w:tblStyle w:val="30"/>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22"/>
        <w:gridCol w:w="757"/>
        <w:gridCol w:w="1134"/>
        <w:gridCol w:w="1141"/>
        <w:gridCol w:w="2462"/>
        <w:gridCol w:w="2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pct"/>
            <w:gridSpan w:val="2"/>
            <w:tcBorders>
              <w:tl2br w:val="single" w:color="auto" w:sz="4" w:space="0"/>
            </w:tcBorders>
            <w:noWrap/>
            <w:vAlign w:val="center"/>
          </w:tcPr>
          <w:p>
            <w:pPr>
              <w:adjustRightInd w:val="0"/>
              <w:snapToGrid w:val="0"/>
              <w:spacing w:line="240" w:lineRule="auto"/>
              <w:ind w:firstLine="0" w:firstLineChars="0"/>
              <w:jc w:val="right"/>
              <w:rPr>
                <w:b/>
                <w:bCs/>
                <w:color w:val="auto"/>
                <w:szCs w:val="24"/>
                <w:highlight w:val="none"/>
              </w:rPr>
            </w:pPr>
            <w:r>
              <w:rPr>
                <w:b/>
                <w:bCs/>
                <w:color w:val="auto"/>
                <w:szCs w:val="24"/>
                <w:highlight w:val="none"/>
              </w:rPr>
              <w:t>内容</w:t>
            </w:r>
          </w:p>
          <w:p>
            <w:pPr>
              <w:adjustRightInd w:val="0"/>
              <w:snapToGrid w:val="0"/>
              <w:spacing w:line="240" w:lineRule="auto"/>
              <w:ind w:firstLine="0" w:firstLineChars="0"/>
              <w:jc w:val="left"/>
              <w:rPr>
                <w:b/>
                <w:bCs/>
                <w:color w:val="auto"/>
                <w:szCs w:val="24"/>
                <w:highlight w:val="none"/>
              </w:rPr>
            </w:pPr>
            <w:r>
              <w:rPr>
                <w:b/>
                <w:bCs/>
                <w:color w:val="auto"/>
                <w:szCs w:val="24"/>
                <w:highlight w:val="none"/>
              </w:rPr>
              <w:t>要素</w:t>
            </w:r>
          </w:p>
        </w:tc>
        <w:tc>
          <w:tcPr>
            <w:tcW w:w="1042" w:type="pct"/>
            <w:gridSpan w:val="2"/>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排放口(编号、名称)/污染源</w:t>
            </w:r>
          </w:p>
        </w:tc>
        <w:tc>
          <w:tcPr>
            <w:tcW w:w="629"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污染物项目</w:t>
            </w:r>
          </w:p>
        </w:tc>
        <w:tc>
          <w:tcPr>
            <w:tcW w:w="1357" w:type="pct"/>
            <w:noWrap/>
            <w:vAlign w:val="center"/>
          </w:tcPr>
          <w:p>
            <w:pPr>
              <w:spacing w:line="240" w:lineRule="auto"/>
              <w:ind w:firstLine="0" w:firstLineChars="0"/>
              <w:jc w:val="center"/>
              <w:rPr>
                <w:b/>
                <w:bCs/>
                <w:color w:val="auto"/>
                <w:szCs w:val="24"/>
                <w:highlight w:val="none"/>
              </w:rPr>
            </w:pPr>
            <w:r>
              <w:rPr>
                <w:b/>
                <w:bCs/>
                <w:color w:val="auto"/>
                <w:szCs w:val="24"/>
                <w:highlight w:val="none"/>
              </w:rPr>
              <w:t>环境保护措施</w:t>
            </w:r>
          </w:p>
        </w:tc>
        <w:tc>
          <w:tcPr>
            <w:tcW w:w="1193"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能够达到标准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大气环境</w:t>
            </w:r>
          </w:p>
        </w:tc>
        <w:tc>
          <w:tcPr>
            <w:tcW w:w="39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营运期</w:t>
            </w:r>
          </w:p>
        </w:tc>
        <w:tc>
          <w:tcPr>
            <w:tcW w:w="417"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车辆扬尘</w:t>
            </w:r>
          </w:p>
        </w:tc>
        <w:tc>
          <w:tcPr>
            <w:tcW w:w="62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w:t>
            </w:r>
          </w:p>
        </w:tc>
        <w:tc>
          <w:tcPr>
            <w:tcW w:w="629" w:type="pct"/>
            <w:noWrap/>
            <w:vAlign w:val="center"/>
          </w:tcPr>
          <w:p>
            <w:pPr>
              <w:spacing w:line="240" w:lineRule="auto"/>
              <w:ind w:firstLine="0" w:firstLineChars="0"/>
              <w:jc w:val="center"/>
              <w:rPr>
                <w:color w:val="auto"/>
                <w:szCs w:val="24"/>
                <w:highlight w:val="none"/>
              </w:rPr>
            </w:pPr>
            <w:r>
              <w:rPr>
                <w:color w:val="auto"/>
                <w:szCs w:val="24"/>
                <w:highlight w:val="none"/>
              </w:rPr>
              <w:t>颗粒物</w:t>
            </w:r>
          </w:p>
        </w:tc>
        <w:tc>
          <w:tcPr>
            <w:tcW w:w="1357" w:type="pct"/>
            <w:noWrap/>
            <w:vAlign w:val="center"/>
          </w:tcPr>
          <w:p>
            <w:pPr>
              <w:spacing w:line="240" w:lineRule="auto"/>
              <w:ind w:firstLine="0" w:firstLineChars="0"/>
              <w:rPr>
                <w:color w:val="auto"/>
                <w:szCs w:val="24"/>
                <w:highlight w:val="none"/>
              </w:rPr>
            </w:pPr>
            <w:r>
              <w:rPr>
                <w:rFonts w:hint="eastAsia"/>
                <w:color w:val="auto"/>
                <w:szCs w:val="24"/>
                <w:highlight w:val="none"/>
              </w:rPr>
              <w:t>采取限速、洒水及保护路面平整等措施</w:t>
            </w:r>
          </w:p>
        </w:tc>
        <w:tc>
          <w:tcPr>
            <w:tcW w:w="1193" w:type="pct"/>
            <w:noWrap/>
            <w:vAlign w:val="center"/>
          </w:tcPr>
          <w:p>
            <w:pPr>
              <w:pStyle w:val="37"/>
              <w:wordWrap w:val="0"/>
              <w:jc w:val="both"/>
              <w:rPr>
                <w:rFonts w:hint="default" w:ascii="Times New Roman" w:hAnsi="Times New Roman"/>
                <w:color w:val="auto"/>
                <w:szCs w:val="24"/>
                <w:highlight w:val="none"/>
              </w:rPr>
            </w:pPr>
            <w:r>
              <w:rPr>
                <w:rFonts w:ascii="Times New Roman" w:hAnsi="Times New Roman"/>
                <w:color w:val="auto"/>
                <w:szCs w:val="24"/>
                <w:highlight w:val="none"/>
              </w:rPr>
              <w:t>预计其厂界排放浓度能够达到《大气污染物综合排放标准》（GB16297-1996）中“新污染源，无组织排放限值”的限值要求。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417"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装卸粉尘</w:t>
            </w:r>
          </w:p>
        </w:tc>
        <w:tc>
          <w:tcPr>
            <w:tcW w:w="625" w:type="pct"/>
            <w:noWrap/>
            <w:vAlign w:val="center"/>
          </w:tcPr>
          <w:p>
            <w:pPr>
              <w:spacing w:line="240" w:lineRule="auto"/>
              <w:ind w:firstLine="0" w:firstLineChars="0"/>
              <w:jc w:val="center"/>
              <w:rPr>
                <w:color w:val="auto"/>
                <w:szCs w:val="24"/>
                <w:highlight w:val="none"/>
              </w:rPr>
            </w:pPr>
            <w:r>
              <w:rPr>
                <w:color w:val="auto"/>
                <w:szCs w:val="24"/>
                <w:highlight w:val="none"/>
              </w:rPr>
              <w:t>DA00</w:t>
            </w:r>
            <w:r>
              <w:rPr>
                <w:rFonts w:hint="eastAsia"/>
                <w:color w:val="auto"/>
                <w:szCs w:val="24"/>
                <w:highlight w:val="none"/>
              </w:rPr>
              <w:t>1</w:t>
            </w:r>
          </w:p>
        </w:tc>
        <w:tc>
          <w:tcPr>
            <w:tcW w:w="629" w:type="pct"/>
            <w:noWrap/>
            <w:vAlign w:val="center"/>
          </w:tcPr>
          <w:p>
            <w:pPr>
              <w:spacing w:line="240" w:lineRule="auto"/>
              <w:ind w:firstLine="0" w:firstLineChars="0"/>
              <w:jc w:val="center"/>
              <w:rPr>
                <w:color w:val="auto"/>
                <w:szCs w:val="24"/>
                <w:highlight w:val="none"/>
              </w:rPr>
            </w:pPr>
            <w:r>
              <w:rPr>
                <w:color w:val="auto"/>
                <w:szCs w:val="24"/>
                <w:highlight w:val="none"/>
              </w:rPr>
              <w:t>颗粒物</w:t>
            </w:r>
          </w:p>
        </w:tc>
        <w:tc>
          <w:tcPr>
            <w:tcW w:w="1357" w:type="pct"/>
            <w:noWrap/>
            <w:vAlign w:val="center"/>
          </w:tcPr>
          <w:p>
            <w:pPr>
              <w:spacing w:line="240" w:lineRule="auto"/>
              <w:ind w:firstLine="0" w:firstLineChars="0"/>
              <w:rPr>
                <w:color w:val="auto"/>
                <w:szCs w:val="24"/>
                <w:highlight w:val="none"/>
              </w:rPr>
            </w:pPr>
            <w:r>
              <w:rPr>
                <w:rFonts w:hint="eastAsia"/>
                <w:color w:val="auto"/>
                <w:szCs w:val="24"/>
                <w:highlight w:val="none"/>
              </w:rPr>
              <w:t>通过在料斗顶部和侧面设置集气罩收集经脉冲式布袋除尘装置处理后，尾气通过一根30米高的排气筒P1排放</w:t>
            </w:r>
          </w:p>
        </w:tc>
        <w:tc>
          <w:tcPr>
            <w:tcW w:w="1193" w:type="pct"/>
            <w:vMerge w:val="restart"/>
            <w:noWrap/>
            <w:vAlign w:val="center"/>
          </w:tcPr>
          <w:p>
            <w:pPr>
              <w:pStyle w:val="37"/>
              <w:wordWrap w:val="0"/>
              <w:jc w:val="both"/>
              <w:rPr>
                <w:rFonts w:hint="default" w:ascii="Times New Roman" w:hAnsi="Times New Roman"/>
                <w:color w:val="auto"/>
                <w:szCs w:val="24"/>
                <w:highlight w:val="none"/>
              </w:rPr>
            </w:pPr>
            <w:r>
              <w:rPr>
                <w:rFonts w:ascii="Times New Roman" w:hAnsi="Times New Roman"/>
                <w:color w:val="auto"/>
                <w:szCs w:val="24"/>
                <w:highlight w:val="none"/>
              </w:rPr>
              <w:t>预计其颗粒物有组织排放浓度能够达到《大气污染物综合排放标准》（GB16297-1996）中“新污染源，二级标准”的限值要求。其无组织排放浓度能够达到《大气污染物综合排放标准》（GB16297-1996）中“新污染源，无组织排放限值”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7" w:type="pct"/>
            <w:noWrap/>
            <w:vAlign w:val="center"/>
          </w:tcPr>
          <w:p>
            <w:pPr>
              <w:pStyle w:val="37"/>
              <w:rPr>
                <w:rFonts w:hint="default" w:ascii="Times New Roman" w:hAnsi="Times New Roman"/>
                <w:color w:val="auto"/>
                <w:szCs w:val="24"/>
                <w:highlight w:val="none"/>
              </w:rPr>
            </w:pPr>
            <w:r>
              <w:rPr>
                <w:rFonts w:ascii="Times New Roman" w:hAnsi="Times New Roman"/>
                <w:color w:val="auto"/>
                <w:szCs w:val="24"/>
                <w:highlight w:val="none"/>
              </w:rPr>
              <w:t>进料粉尘</w:t>
            </w:r>
          </w:p>
        </w:tc>
        <w:tc>
          <w:tcPr>
            <w:tcW w:w="625" w:type="pct"/>
            <w:noWrap/>
            <w:vAlign w:val="center"/>
          </w:tcPr>
          <w:p>
            <w:pPr>
              <w:pStyle w:val="37"/>
              <w:rPr>
                <w:rFonts w:ascii="Times New Roman" w:hAnsi="Times New Roman"/>
                <w:bCs/>
                <w:color w:val="auto"/>
                <w:szCs w:val="24"/>
                <w:highlight w:val="none"/>
              </w:rPr>
            </w:pPr>
            <w:r>
              <w:rPr>
                <w:rFonts w:hint="default" w:ascii="Times New Roman" w:hAnsi="Times New Roman"/>
                <w:bCs/>
                <w:color w:val="auto"/>
                <w:szCs w:val="24"/>
                <w:highlight w:val="none"/>
              </w:rPr>
              <w:t>DA00</w:t>
            </w:r>
            <w:r>
              <w:rPr>
                <w:rFonts w:ascii="Times New Roman" w:hAnsi="Times New Roman"/>
                <w:bCs/>
                <w:color w:val="auto"/>
                <w:szCs w:val="24"/>
                <w:highlight w:val="none"/>
              </w:rPr>
              <w:t>2</w:t>
            </w:r>
          </w:p>
          <w:p>
            <w:pPr>
              <w:pStyle w:val="37"/>
              <w:rPr>
                <w:rFonts w:ascii="Times New Roman" w:hAnsi="Times New Roman"/>
                <w:bCs/>
                <w:color w:val="auto"/>
                <w:szCs w:val="24"/>
                <w:highlight w:val="none"/>
              </w:rPr>
            </w:pPr>
            <w:r>
              <w:rPr>
                <w:rFonts w:ascii="Times New Roman" w:hAnsi="Times New Roman"/>
                <w:bCs/>
                <w:color w:val="auto"/>
                <w:szCs w:val="24"/>
                <w:highlight w:val="none"/>
              </w:rPr>
              <w:t>DA003</w:t>
            </w:r>
          </w:p>
          <w:p>
            <w:pPr>
              <w:pStyle w:val="37"/>
              <w:rPr>
                <w:rFonts w:ascii="Times New Roman" w:hAnsi="Times New Roman"/>
                <w:bCs/>
                <w:color w:val="auto"/>
                <w:szCs w:val="24"/>
                <w:highlight w:val="none"/>
              </w:rPr>
            </w:pPr>
            <w:r>
              <w:rPr>
                <w:rFonts w:ascii="Times New Roman" w:hAnsi="Times New Roman"/>
                <w:bCs/>
                <w:color w:val="auto"/>
                <w:szCs w:val="24"/>
                <w:highlight w:val="none"/>
              </w:rPr>
              <w:t>DA004</w:t>
            </w:r>
          </w:p>
          <w:p>
            <w:pPr>
              <w:pStyle w:val="37"/>
              <w:rPr>
                <w:rFonts w:ascii="Times New Roman" w:hAnsi="Times New Roman"/>
                <w:bCs/>
                <w:color w:val="auto"/>
                <w:szCs w:val="24"/>
                <w:highlight w:val="none"/>
              </w:rPr>
            </w:pPr>
            <w:r>
              <w:rPr>
                <w:rFonts w:ascii="Times New Roman" w:hAnsi="Times New Roman"/>
                <w:bCs/>
                <w:color w:val="auto"/>
                <w:szCs w:val="24"/>
                <w:highlight w:val="none"/>
              </w:rPr>
              <w:t>DA005</w:t>
            </w:r>
          </w:p>
          <w:p>
            <w:pPr>
              <w:pStyle w:val="37"/>
              <w:rPr>
                <w:rFonts w:ascii="Times New Roman" w:hAnsi="Times New Roman"/>
                <w:bCs/>
                <w:color w:val="auto"/>
                <w:szCs w:val="24"/>
                <w:highlight w:val="none"/>
              </w:rPr>
            </w:pPr>
            <w:r>
              <w:rPr>
                <w:rFonts w:ascii="Times New Roman" w:hAnsi="Times New Roman"/>
                <w:bCs/>
                <w:color w:val="auto"/>
                <w:szCs w:val="24"/>
                <w:highlight w:val="none"/>
              </w:rPr>
              <w:t>DA006</w:t>
            </w:r>
          </w:p>
          <w:p>
            <w:pPr>
              <w:pStyle w:val="37"/>
              <w:rPr>
                <w:rFonts w:ascii="Times New Roman" w:hAnsi="Times New Roman"/>
                <w:bCs/>
                <w:color w:val="auto"/>
                <w:szCs w:val="24"/>
                <w:highlight w:val="none"/>
              </w:rPr>
            </w:pPr>
            <w:r>
              <w:rPr>
                <w:rFonts w:ascii="Times New Roman" w:hAnsi="Times New Roman"/>
                <w:bCs/>
                <w:color w:val="auto"/>
                <w:szCs w:val="24"/>
                <w:highlight w:val="none"/>
              </w:rPr>
              <w:t>DA007</w:t>
            </w:r>
          </w:p>
          <w:p>
            <w:pPr>
              <w:pStyle w:val="37"/>
              <w:rPr>
                <w:rFonts w:ascii="Times New Roman" w:hAnsi="Times New Roman"/>
                <w:bCs/>
                <w:color w:val="auto"/>
                <w:szCs w:val="24"/>
                <w:highlight w:val="none"/>
              </w:rPr>
            </w:pPr>
            <w:r>
              <w:rPr>
                <w:rFonts w:ascii="Times New Roman" w:hAnsi="Times New Roman"/>
                <w:bCs/>
                <w:color w:val="auto"/>
                <w:szCs w:val="24"/>
                <w:highlight w:val="none"/>
              </w:rPr>
              <w:t>DA008</w:t>
            </w:r>
          </w:p>
          <w:p>
            <w:pPr>
              <w:pStyle w:val="37"/>
              <w:rPr>
                <w:rFonts w:ascii="Times New Roman" w:hAnsi="Times New Roman"/>
                <w:bCs/>
                <w:color w:val="auto"/>
                <w:szCs w:val="24"/>
                <w:highlight w:val="none"/>
              </w:rPr>
            </w:pPr>
            <w:r>
              <w:rPr>
                <w:rFonts w:ascii="Times New Roman" w:hAnsi="Times New Roman"/>
                <w:bCs/>
                <w:color w:val="auto"/>
                <w:szCs w:val="24"/>
                <w:highlight w:val="none"/>
              </w:rPr>
              <w:t>DA009</w:t>
            </w:r>
          </w:p>
          <w:p>
            <w:pPr>
              <w:pStyle w:val="37"/>
              <w:rPr>
                <w:rFonts w:hint="default" w:ascii="Times New Roman" w:hAnsi="Times New Roman"/>
                <w:bCs/>
                <w:color w:val="auto"/>
                <w:szCs w:val="24"/>
                <w:highlight w:val="none"/>
              </w:rPr>
            </w:pPr>
            <w:r>
              <w:rPr>
                <w:rFonts w:ascii="Times New Roman" w:hAnsi="Times New Roman"/>
                <w:bCs/>
                <w:color w:val="auto"/>
                <w:szCs w:val="24"/>
                <w:highlight w:val="none"/>
              </w:rPr>
              <w:t>DA010</w:t>
            </w:r>
          </w:p>
        </w:tc>
        <w:tc>
          <w:tcPr>
            <w:tcW w:w="629"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颗粒物</w:t>
            </w:r>
          </w:p>
        </w:tc>
        <w:tc>
          <w:tcPr>
            <w:tcW w:w="1357" w:type="pct"/>
            <w:noWrap/>
            <w:vAlign w:val="center"/>
          </w:tcPr>
          <w:p>
            <w:pPr>
              <w:spacing w:line="240" w:lineRule="auto"/>
              <w:ind w:firstLine="0" w:firstLineChars="0"/>
              <w:rPr>
                <w:bCs/>
                <w:color w:val="auto"/>
                <w:szCs w:val="24"/>
                <w:highlight w:val="none"/>
              </w:rPr>
            </w:pPr>
            <w:r>
              <w:rPr>
                <w:rFonts w:hint="eastAsia"/>
                <w:bCs/>
                <w:color w:val="auto"/>
                <w:szCs w:val="24"/>
                <w:highlight w:val="none"/>
              </w:rPr>
              <w:t>水泥进料粉尘通过在两个水泥储罐顶部呼吸口分别设置一个脉冲式布袋除尘装置处理后，尾气分别通过两根30米高的排气筒P2、P3排放；机制砂进料粉尘通过在储罐顶部呼吸口分别设置一个脉冲式布袋除尘装置处理后，尾气通过两根30米高的P4、P5排放；灰钙粉进料粉尘通过通过储罐顶部呼吸口设置一个脉冲式布袋除尘装置处理后，尾气通过一根30米高的排气筒P6排放；玻化微珠进料粉尘通过储罐顶部呼吸口分别设置一个脉冲式布袋除尘装置处理后，尾气通过两根30米高的排气筒P7、P8排放；粉煤灰进料粉尘通过储罐顶部呼吸口设置一个脉冲式布袋除尘装置处理后，尾气通过一根30米高的排气筒P9排放；成品仓进料粉尘通过储罐顶部呼吸口设置一个脉冲式布袋除尘装置处理后，尾气通过一根30米高的排气筒P10排放</w:t>
            </w:r>
          </w:p>
        </w:tc>
        <w:tc>
          <w:tcPr>
            <w:tcW w:w="1193" w:type="pct"/>
            <w:vMerge w:val="continue"/>
            <w:noWrap/>
            <w:vAlign w:val="center"/>
          </w:tcPr>
          <w:p>
            <w:pPr>
              <w:wordWrap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7" w:type="pct"/>
            <w:noWrap/>
            <w:vAlign w:val="center"/>
          </w:tcPr>
          <w:p>
            <w:pPr>
              <w:pStyle w:val="37"/>
              <w:rPr>
                <w:rFonts w:hint="default" w:ascii="Times New Roman" w:hAnsi="Times New Roman"/>
                <w:color w:val="auto"/>
                <w:szCs w:val="24"/>
                <w:highlight w:val="none"/>
              </w:rPr>
            </w:pPr>
            <w:r>
              <w:rPr>
                <w:rFonts w:ascii="Times New Roman" w:hAnsi="Times New Roman"/>
                <w:color w:val="auto"/>
                <w:szCs w:val="24"/>
                <w:highlight w:val="none"/>
              </w:rPr>
              <w:t>混合搅拌粉尘</w:t>
            </w:r>
          </w:p>
        </w:tc>
        <w:tc>
          <w:tcPr>
            <w:tcW w:w="625" w:type="pct"/>
            <w:noWrap/>
            <w:vAlign w:val="center"/>
          </w:tcPr>
          <w:p>
            <w:pPr>
              <w:pStyle w:val="37"/>
              <w:rPr>
                <w:rFonts w:hint="default" w:ascii="Times New Roman" w:hAnsi="Times New Roman"/>
                <w:bCs/>
                <w:color w:val="auto"/>
                <w:szCs w:val="24"/>
                <w:highlight w:val="none"/>
              </w:rPr>
            </w:pPr>
            <w:r>
              <w:rPr>
                <w:rFonts w:ascii="Times New Roman" w:hAnsi="Times New Roman"/>
                <w:bCs/>
                <w:color w:val="auto"/>
                <w:szCs w:val="24"/>
                <w:highlight w:val="none"/>
              </w:rPr>
              <w:t>DA011</w:t>
            </w:r>
          </w:p>
        </w:tc>
        <w:tc>
          <w:tcPr>
            <w:tcW w:w="629"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颗粒物</w:t>
            </w:r>
          </w:p>
        </w:tc>
        <w:tc>
          <w:tcPr>
            <w:tcW w:w="1357" w:type="pct"/>
            <w:noWrap/>
            <w:vAlign w:val="center"/>
          </w:tcPr>
          <w:p>
            <w:pPr>
              <w:spacing w:line="240" w:lineRule="auto"/>
              <w:ind w:firstLine="0" w:firstLineChars="0"/>
              <w:rPr>
                <w:bCs/>
                <w:color w:val="auto"/>
                <w:szCs w:val="24"/>
                <w:highlight w:val="none"/>
              </w:rPr>
            </w:pPr>
            <w:r>
              <w:rPr>
                <w:rFonts w:hint="eastAsia"/>
                <w:bCs/>
                <w:color w:val="auto"/>
                <w:szCs w:val="24"/>
                <w:highlight w:val="none"/>
              </w:rPr>
              <w:t>通过混合顶部呼吸口设置一个脉冲式布袋除尘装置处理后，尾气通过一根30米高的排气筒P11排放</w:t>
            </w:r>
          </w:p>
        </w:tc>
        <w:tc>
          <w:tcPr>
            <w:tcW w:w="1193" w:type="pct"/>
            <w:vMerge w:val="continue"/>
            <w:noWrap/>
            <w:vAlign w:val="center"/>
          </w:tcPr>
          <w:p>
            <w:pPr>
              <w:wordWrap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7" w:type="pct"/>
            <w:noWrap/>
            <w:vAlign w:val="center"/>
          </w:tcPr>
          <w:p>
            <w:pPr>
              <w:pStyle w:val="37"/>
              <w:rPr>
                <w:rFonts w:hint="default" w:ascii="Times New Roman" w:hAnsi="Times New Roman"/>
                <w:color w:val="auto"/>
                <w:szCs w:val="24"/>
                <w:highlight w:val="none"/>
              </w:rPr>
            </w:pPr>
            <w:r>
              <w:rPr>
                <w:rFonts w:ascii="Times New Roman" w:hAnsi="Times New Roman"/>
                <w:color w:val="auto"/>
                <w:szCs w:val="24"/>
                <w:highlight w:val="none"/>
              </w:rPr>
              <w:t>添加剂搅拌废气</w:t>
            </w:r>
          </w:p>
        </w:tc>
        <w:tc>
          <w:tcPr>
            <w:tcW w:w="625" w:type="pct"/>
            <w:noWrap/>
            <w:vAlign w:val="center"/>
          </w:tcPr>
          <w:p>
            <w:pPr>
              <w:pStyle w:val="37"/>
              <w:rPr>
                <w:rFonts w:hint="default" w:ascii="Times New Roman" w:hAnsi="Times New Roman"/>
                <w:bCs/>
                <w:color w:val="auto"/>
                <w:szCs w:val="24"/>
                <w:highlight w:val="none"/>
              </w:rPr>
            </w:pPr>
            <w:r>
              <w:rPr>
                <w:rFonts w:ascii="Times New Roman" w:hAnsi="Times New Roman"/>
                <w:bCs/>
                <w:color w:val="auto"/>
                <w:szCs w:val="24"/>
                <w:highlight w:val="none"/>
              </w:rPr>
              <w:t>DA012</w:t>
            </w:r>
          </w:p>
        </w:tc>
        <w:tc>
          <w:tcPr>
            <w:tcW w:w="629"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颗粒物</w:t>
            </w:r>
          </w:p>
        </w:tc>
        <w:tc>
          <w:tcPr>
            <w:tcW w:w="1357" w:type="pct"/>
            <w:noWrap/>
            <w:vAlign w:val="center"/>
          </w:tcPr>
          <w:p>
            <w:pPr>
              <w:spacing w:line="240" w:lineRule="auto"/>
              <w:ind w:firstLine="0" w:firstLineChars="0"/>
              <w:rPr>
                <w:bCs/>
                <w:color w:val="auto"/>
                <w:szCs w:val="24"/>
                <w:highlight w:val="none"/>
              </w:rPr>
            </w:pPr>
            <w:r>
              <w:rPr>
                <w:rFonts w:hint="eastAsia"/>
                <w:bCs/>
                <w:color w:val="auto"/>
                <w:szCs w:val="24"/>
                <w:highlight w:val="none"/>
              </w:rPr>
              <w:t>通过添加剂搅拌仓顶部呼吸口设置一个脉冲式布袋除尘装置处理后，尾气通过一根30米高的排气筒P12排放</w:t>
            </w:r>
          </w:p>
        </w:tc>
        <w:tc>
          <w:tcPr>
            <w:tcW w:w="1193" w:type="pct"/>
            <w:vMerge w:val="continue"/>
            <w:noWrap/>
            <w:vAlign w:val="center"/>
          </w:tcPr>
          <w:p>
            <w:pPr>
              <w:wordWrap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7" w:type="pct"/>
            <w:noWrap/>
            <w:vAlign w:val="center"/>
          </w:tcPr>
          <w:p>
            <w:pPr>
              <w:pStyle w:val="37"/>
              <w:rPr>
                <w:rFonts w:hint="default" w:ascii="Times New Roman" w:hAnsi="Times New Roman"/>
                <w:color w:val="auto"/>
                <w:szCs w:val="24"/>
                <w:highlight w:val="none"/>
              </w:rPr>
            </w:pPr>
            <w:r>
              <w:rPr>
                <w:rFonts w:ascii="Times New Roman" w:hAnsi="Times New Roman"/>
                <w:color w:val="auto"/>
                <w:szCs w:val="24"/>
                <w:highlight w:val="none"/>
              </w:rPr>
              <w:t>包装粉尘</w:t>
            </w:r>
          </w:p>
        </w:tc>
        <w:tc>
          <w:tcPr>
            <w:tcW w:w="625" w:type="pct"/>
            <w:noWrap/>
            <w:vAlign w:val="center"/>
          </w:tcPr>
          <w:p>
            <w:pPr>
              <w:pStyle w:val="37"/>
              <w:rPr>
                <w:rFonts w:hint="default" w:ascii="Times New Roman" w:hAnsi="Times New Roman"/>
                <w:bCs/>
                <w:color w:val="auto"/>
                <w:szCs w:val="24"/>
                <w:highlight w:val="none"/>
              </w:rPr>
            </w:pPr>
            <w:r>
              <w:rPr>
                <w:rFonts w:ascii="Times New Roman" w:hAnsi="Times New Roman"/>
                <w:bCs/>
                <w:color w:val="auto"/>
                <w:szCs w:val="24"/>
                <w:highlight w:val="none"/>
              </w:rPr>
              <w:t>DA013</w:t>
            </w:r>
          </w:p>
        </w:tc>
        <w:tc>
          <w:tcPr>
            <w:tcW w:w="629"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颗粒物</w:t>
            </w:r>
          </w:p>
        </w:tc>
        <w:tc>
          <w:tcPr>
            <w:tcW w:w="1357" w:type="pct"/>
            <w:noWrap/>
            <w:vAlign w:val="center"/>
          </w:tcPr>
          <w:p>
            <w:pPr>
              <w:spacing w:line="240" w:lineRule="auto"/>
              <w:ind w:firstLine="0" w:firstLineChars="0"/>
              <w:rPr>
                <w:bCs/>
                <w:color w:val="auto"/>
                <w:szCs w:val="24"/>
                <w:highlight w:val="none"/>
              </w:rPr>
            </w:pPr>
            <w:r>
              <w:rPr>
                <w:rFonts w:hint="eastAsia"/>
                <w:bCs/>
                <w:color w:val="auto"/>
                <w:szCs w:val="24"/>
                <w:highlight w:val="none"/>
              </w:rPr>
              <w:t>通过对包装机内部吸风管道收集后，经脉冲式布袋除尘装置处理后，尾气通过一根30米高的排气筒P13排放</w:t>
            </w:r>
          </w:p>
        </w:tc>
        <w:tc>
          <w:tcPr>
            <w:tcW w:w="1193" w:type="pct"/>
            <w:vMerge w:val="continue"/>
            <w:noWrap/>
            <w:vAlign w:val="center"/>
          </w:tcPr>
          <w:p>
            <w:pPr>
              <w:wordWrap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378" w:type="pct"/>
            <w:noWrap/>
            <w:vAlign w:val="center"/>
          </w:tcPr>
          <w:p>
            <w:pPr>
              <w:spacing w:line="240" w:lineRule="auto"/>
              <w:ind w:firstLine="0" w:firstLineChars="0"/>
              <w:jc w:val="center"/>
              <w:rPr>
                <w:b/>
                <w:bCs/>
                <w:color w:val="auto"/>
                <w:szCs w:val="24"/>
                <w:highlight w:val="none"/>
              </w:rPr>
            </w:pPr>
            <w:r>
              <w:rPr>
                <w:b/>
                <w:bCs/>
                <w:color w:val="auto"/>
                <w:szCs w:val="24"/>
                <w:highlight w:val="none"/>
              </w:rPr>
              <w:t>地表水环境</w:t>
            </w:r>
          </w:p>
        </w:tc>
        <w:tc>
          <w:tcPr>
            <w:tcW w:w="398" w:type="pct"/>
            <w:noWrap/>
            <w:vAlign w:val="center"/>
          </w:tcPr>
          <w:p>
            <w:pPr>
              <w:spacing w:line="240" w:lineRule="auto"/>
              <w:ind w:firstLine="0" w:firstLineChars="0"/>
              <w:jc w:val="center"/>
              <w:rPr>
                <w:b/>
                <w:bCs/>
                <w:color w:val="auto"/>
                <w:szCs w:val="24"/>
                <w:highlight w:val="none"/>
              </w:rPr>
            </w:pPr>
            <w:r>
              <w:rPr>
                <w:b/>
                <w:bCs/>
                <w:color w:val="auto"/>
                <w:szCs w:val="24"/>
                <w:highlight w:val="none"/>
              </w:rPr>
              <w:t>营运期</w:t>
            </w:r>
          </w:p>
        </w:tc>
        <w:tc>
          <w:tcPr>
            <w:tcW w:w="417" w:type="pct"/>
            <w:noWrap/>
            <w:vAlign w:val="center"/>
          </w:tcPr>
          <w:p>
            <w:pPr>
              <w:spacing w:line="240" w:lineRule="auto"/>
              <w:ind w:firstLine="0" w:firstLineChars="0"/>
              <w:jc w:val="center"/>
              <w:rPr>
                <w:color w:val="auto"/>
                <w:szCs w:val="24"/>
                <w:highlight w:val="none"/>
              </w:rPr>
            </w:pPr>
            <w:r>
              <w:rPr>
                <w:color w:val="auto"/>
                <w:szCs w:val="24"/>
                <w:highlight w:val="none"/>
              </w:rPr>
              <w:t>生活污水</w:t>
            </w:r>
          </w:p>
        </w:tc>
        <w:tc>
          <w:tcPr>
            <w:tcW w:w="62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DW001</w:t>
            </w:r>
          </w:p>
        </w:tc>
        <w:tc>
          <w:tcPr>
            <w:tcW w:w="629" w:type="pct"/>
            <w:noWrap/>
            <w:vAlign w:val="center"/>
          </w:tcPr>
          <w:p>
            <w:pPr>
              <w:pStyle w:val="55"/>
              <w:autoSpaceDE/>
              <w:autoSpaceDN/>
              <w:adjustRightInd/>
              <w:spacing w:line="240" w:lineRule="auto"/>
              <w:ind w:firstLineChars="0"/>
              <w:textAlignment w:val="auto"/>
              <w:rPr>
                <w:rFonts w:ascii="Times New Roman" w:hAnsi="Times New Roman"/>
                <w:color w:val="auto"/>
                <w:szCs w:val="24"/>
                <w:highlight w:val="none"/>
              </w:rPr>
            </w:pPr>
            <w:r>
              <w:rPr>
                <w:rFonts w:ascii="Times New Roman" w:hAnsi="Times New Roman"/>
                <w:color w:val="auto"/>
                <w:szCs w:val="24"/>
                <w:highlight w:val="none"/>
              </w:rPr>
              <w:t>COD</w:t>
            </w:r>
            <w:r>
              <w:rPr>
                <w:rFonts w:ascii="Times New Roman" w:hAnsi="Times New Roman"/>
                <w:color w:val="auto"/>
                <w:szCs w:val="24"/>
                <w:highlight w:val="none"/>
                <w:vertAlign w:val="subscript"/>
              </w:rPr>
              <w:t>Cr</w:t>
            </w:r>
            <w:r>
              <w:rPr>
                <w:rFonts w:ascii="Times New Roman" w:hAnsi="Times New Roman"/>
                <w:color w:val="auto"/>
                <w:szCs w:val="24"/>
                <w:highlight w:val="none"/>
              </w:rPr>
              <w:t>、氨氮</w:t>
            </w:r>
          </w:p>
        </w:tc>
        <w:tc>
          <w:tcPr>
            <w:tcW w:w="1357" w:type="pct"/>
            <w:noWrap/>
            <w:vAlign w:val="center"/>
          </w:tcPr>
          <w:p>
            <w:pPr>
              <w:adjustRightInd w:val="0"/>
              <w:snapToGrid w:val="0"/>
              <w:spacing w:line="240" w:lineRule="auto"/>
              <w:ind w:firstLine="0" w:firstLineChars="0"/>
              <w:rPr>
                <w:color w:val="auto"/>
                <w:szCs w:val="24"/>
                <w:highlight w:val="none"/>
              </w:rPr>
            </w:pPr>
            <w:r>
              <w:rPr>
                <w:color w:val="auto"/>
                <w:szCs w:val="24"/>
                <w:highlight w:val="none"/>
              </w:rPr>
              <w:t>经化粪池处理后</w:t>
            </w:r>
            <w:r>
              <w:rPr>
                <w:rFonts w:hint="eastAsia"/>
                <w:color w:val="auto"/>
                <w:szCs w:val="24"/>
                <w:highlight w:val="none"/>
              </w:rPr>
              <w:t>委托槽罐车集中清运至德清县乾元污水处理有限公司</w:t>
            </w:r>
            <w:r>
              <w:rPr>
                <w:color w:val="auto"/>
                <w:szCs w:val="24"/>
                <w:highlight w:val="none"/>
              </w:rPr>
              <w:t>集中处理</w:t>
            </w:r>
          </w:p>
        </w:tc>
        <w:tc>
          <w:tcPr>
            <w:tcW w:w="1193" w:type="pct"/>
            <w:noWrap/>
            <w:vAlign w:val="center"/>
          </w:tcPr>
          <w:p>
            <w:pPr>
              <w:wordWrap w:val="0"/>
              <w:adjustRightInd w:val="0"/>
              <w:snapToGrid w:val="0"/>
              <w:spacing w:line="240" w:lineRule="auto"/>
              <w:ind w:firstLine="0" w:firstLineChars="0"/>
              <w:rPr>
                <w:color w:val="auto"/>
                <w:szCs w:val="24"/>
                <w:highlight w:val="none"/>
              </w:rPr>
            </w:pPr>
            <w:r>
              <w:rPr>
                <w:rFonts w:hint="eastAsia"/>
                <w:color w:val="auto"/>
                <w:szCs w:val="24"/>
                <w:highlight w:val="none"/>
              </w:rPr>
              <w:t>水质达到</w:t>
            </w:r>
            <w:r>
              <w:rPr>
                <w:color w:val="auto"/>
                <w:szCs w:val="24"/>
                <w:highlight w:val="none"/>
              </w:rPr>
              <w:t>《污水综合排放标准》（GB8978-1996）三级标准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378"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声环境</w:t>
            </w:r>
          </w:p>
        </w:tc>
        <w:tc>
          <w:tcPr>
            <w:tcW w:w="398"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营运期</w:t>
            </w:r>
          </w:p>
        </w:tc>
        <w:tc>
          <w:tcPr>
            <w:tcW w:w="1042" w:type="pct"/>
            <w:gridSpan w:val="2"/>
            <w:noWrap/>
            <w:vAlign w:val="center"/>
          </w:tcPr>
          <w:p>
            <w:pPr>
              <w:spacing w:line="240" w:lineRule="auto"/>
              <w:ind w:firstLine="0" w:firstLineChars="0"/>
              <w:jc w:val="center"/>
              <w:rPr>
                <w:color w:val="auto"/>
                <w:szCs w:val="24"/>
                <w:highlight w:val="none"/>
              </w:rPr>
            </w:pPr>
            <w:r>
              <w:rPr>
                <w:color w:val="auto"/>
                <w:szCs w:val="24"/>
                <w:highlight w:val="none"/>
              </w:rPr>
              <w:t>生产设备</w:t>
            </w:r>
          </w:p>
        </w:tc>
        <w:tc>
          <w:tcPr>
            <w:tcW w:w="629" w:type="pct"/>
            <w:noWrap/>
            <w:vAlign w:val="center"/>
          </w:tcPr>
          <w:p>
            <w:pPr>
              <w:spacing w:line="240" w:lineRule="auto"/>
              <w:ind w:firstLine="0" w:firstLineChars="0"/>
              <w:jc w:val="center"/>
              <w:rPr>
                <w:color w:val="auto"/>
                <w:szCs w:val="24"/>
                <w:highlight w:val="none"/>
              </w:rPr>
            </w:pPr>
            <w:r>
              <w:rPr>
                <w:color w:val="auto"/>
                <w:szCs w:val="24"/>
                <w:highlight w:val="none"/>
              </w:rPr>
              <w:t>噪声</w:t>
            </w:r>
          </w:p>
        </w:tc>
        <w:tc>
          <w:tcPr>
            <w:tcW w:w="1357" w:type="pct"/>
            <w:noWrap/>
            <w:vAlign w:val="center"/>
          </w:tcPr>
          <w:p>
            <w:pPr>
              <w:pStyle w:val="56"/>
              <w:adjustRightInd/>
              <w:spacing w:line="240" w:lineRule="auto"/>
              <w:ind w:firstLineChars="0"/>
              <w:rPr>
                <w:rFonts w:eastAsia="宋体"/>
                <w:color w:val="auto"/>
                <w:szCs w:val="24"/>
                <w:highlight w:val="none"/>
              </w:rPr>
            </w:pPr>
            <w:r>
              <w:rPr>
                <w:rFonts w:eastAsia="宋体"/>
                <w:color w:val="auto"/>
                <w:szCs w:val="24"/>
                <w:highlight w:val="none"/>
              </w:rPr>
              <w:t>减振、隔声、降噪、加强管理</w:t>
            </w:r>
          </w:p>
        </w:tc>
        <w:tc>
          <w:tcPr>
            <w:tcW w:w="1193" w:type="pct"/>
            <w:noWrap/>
            <w:vAlign w:val="center"/>
          </w:tcPr>
          <w:p>
            <w:pPr>
              <w:wordWrap w:val="0"/>
              <w:spacing w:line="240" w:lineRule="auto"/>
              <w:ind w:firstLine="0" w:firstLineChars="0"/>
              <w:rPr>
                <w:color w:val="auto"/>
                <w:szCs w:val="24"/>
                <w:highlight w:val="none"/>
              </w:rPr>
            </w:pPr>
            <w:r>
              <w:rPr>
                <w:bCs/>
                <w:color w:val="auto"/>
                <w:szCs w:val="24"/>
                <w:highlight w:val="none"/>
              </w:rPr>
              <w:t>厂界噪声可达到《工业企业厂界环境噪声排放标准》(GB12348-2008)</w:t>
            </w:r>
            <w:r>
              <w:rPr>
                <w:rFonts w:hint="eastAsia"/>
                <w:bCs/>
                <w:color w:val="auto"/>
                <w:szCs w:val="24"/>
                <w:highlight w:val="none"/>
              </w:rPr>
              <w:t>三</w:t>
            </w:r>
            <w:r>
              <w:rPr>
                <w:color w:val="auto"/>
                <w:szCs w:val="24"/>
                <w:highlight w:val="none"/>
              </w:rPr>
              <w:t>类</w:t>
            </w:r>
            <w:r>
              <w:rPr>
                <w:bCs/>
                <w:color w:val="auto"/>
                <w:szCs w:val="24"/>
                <w:highlight w:val="none"/>
              </w:rPr>
              <w:t>标准要求</w:t>
            </w:r>
            <w:r>
              <w:rPr>
                <w:rFonts w:hint="eastAsia"/>
                <w:bCs/>
                <w:color w:val="auto"/>
                <w:szCs w:val="24"/>
                <w:highlight w:val="none"/>
              </w:rPr>
              <w:t>；厂界西南侧敏感点能够达到《生环境质量标准》（GB3096-2008）二类标准限值。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pct"/>
            <w:gridSpan w:val="2"/>
            <w:noWrap/>
            <w:vAlign w:val="center"/>
          </w:tcPr>
          <w:p>
            <w:pPr>
              <w:spacing w:line="240" w:lineRule="auto"/>
              <w:ind w:firstLine="0" w:firstLineChars="0"/>
              <w:jc w:val="center"/>
              <w:rPr>
                <w:b/>
                <w:bCs/>
                <w:color w:val="auto"/>
                <w:szCs w:val="24"/>
                <w:highlight w:val="none"/>
              </w:rPr>
            </w:pPr>
            <w:r>
              <w:rPr>
                <w:b/>
                <w:bCs/>
                <w:color w:val="auto"/>
                <w:szCs w:val="24"/>
                <w:highlight w:val="none"/>
              </w:rPr>
              <w:t>电磁辐射</w:t>
            </w:r>
          </w:p>
        </w:tc>
        <w:tc>
          <w:tcPr>
            <w:tcW w:w="4223" w:type="pct"/>
            <w:gridSpan w:val="5"/>
            <w:tcBorders>
              <w:bottom w:val="single" w:color="auto" w:sz="4" w:space="0"/>
            </w:tcBorders>
            <w:noWrap/>
            <w:vAlign w:val="center"/>
          </w:tcPr>
          <w:p>
            <w:pPr>
              <w:spacing w:line="240" w:lineRule="auto"/>
              <w:ind w:firstLine="0" w:firstLineChars="0"/>
              <w:rPr>
                <w:bCs/>
                <w:color w:val="auto"/>
                <w:szCs w:val="24"/>
                <w:highlight w:val="none"/>
              </w:rPr>
            </w:pPr>
            <w:r>
              <w:rPr>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37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固体废物</w:t>
            </w:r>
          </w:p>
        </w:tc>
        <w:tc>
          <w:tcPr>
            <w:tcW w:w="39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营运期</w:t>
            </w:r>
          </w:p>
        </w:tc>
        <w:tc>
          <w:tcPr>
            <w:tcW w:w="1042" w:type="pct"/>
            <w:gridSpan w:val="2"/>
            <w:vMerge w:val="restart"/>
            <w:noWrap/>
            <w:vAlign w:val="center"/>
          </w:tcPr>
          <w:p>
            <w:pPr>
              <w:pStyle w:val="57"/>
              <w:autoSpaceDE/>
              <w:autoSpaceDN/>
              <w:adjustRightInd/>
              <w:spacing w:line="240" w:lineRule="auto"/>
              <w:ind w:firstLineChars="0"/>
              <w:rPr>
                <w:rFonts w:eastAsia="宋体"/>
                <w:color w:val="auto"/>
                <w:sz w:val="24"/>
                <w:szCs w:val="24"/>
                <w:highlight w:val="none"/>
              </w:rPr>
            </w:pPr>
            <w:r>
              <w:rPr>
                <w:rFonts w:eastAsia="宋体"/>
                <w:color w:val="auto"/>
                <w:sz w:val="24"/>
                <w:szCs w:val="24"/>
                <w:highlight w:val="none"/>
              </w:rPr>
              <w:t>一般固废</w:t>
            </w:r>
          </w:p>
        </w:tc>
        <w:tc>
          <w:tcPr>
            <w:tcW w:w="629" w:type="pct"/>
            <w:noWrap/>
            <w:vAlign w:val="center"/>
          </w:tcPr>
          <w:p>
            <w:pPr>
              <w:snapToGrid w:val="0"/>
              <w:spacing w:line="240" w:lineRule="auto"/>
              <w:ind w:firstLine="0" w:firstLineChars="0"/>
              <w:jc w:val="center"/>
              <w:rPr>
                <w:color w:val="auto"/>
                <w:szCs w:val="24"/>
                <w:highlight w:val="none"/>
              </w:rPr>
            </w:pPr>
            <w:r>
              <w:rPr>
                <w:color w:val="auto"/>
                <w:szCs w:val="24"/>
                <w:highlight w:val="none"/>
              </w:rPr>
              <w:t>生活垃圾</w:t>
            </w:r>
          </w:p>
        </w:tc>
        <w:tc>
          <w:tcPr>
            <w:tcW w:w="1357" w:type="pct"/>
            <w:noWrap/>
            <w:vAlign w:val="center"/>
          </w:tcPr>
          <w:p>
            <w:pPr>
              <w:adjustRightInd w:val="0"/>
              <w:snapToGrid w:val="0"/>
              <w:spacing w:line="240" w:lineRule="auto"/>
              <w:ind w:firstLine="0" w:firstLineChars="0"/>
              <w:rPr>
                <w:bCs/>
                <w:color w:val="auto"/>
                <w:szCs w:val="24"/>
                <w:highlight w:val="none"/>
              </w:rPr>
            </w:pPr>
            <w:r>
              <w:rPr>
                <w:color w:val="auto"/>
                <w:szCs w:val="24"/>
                <w:highlight w:val="none"/>
              </w:rPr>
              <w:t>收集后委托当地环卫部门清运</w:t>
            </w:r>
          </w:p>
        </w:tc>
        <w:tc>
          <w:tcPr>
            <w:tcW w:w="1193" w:type="pct"/>
            <w:vMerge w:val="restart"/>
            <w:noWrap/>
            <w:vAlign w:val="center"/>
          </w:tcPr>
          <w:p>
            <w:pPr>
              <w:spacing w:line="240" w:lineRule="auto"/>
              <w:ind w:firstLine="0" w:firstLineChars="0"/>
              <w:rPr>
                <w:color w:val="auto"/>
                <w:szCs w:val="24"/>
                <w:highlight w:val="none"/>
              </w:rPr>
            </w:pPr>
            <w:r>
              <w:rPr>
                <w:color w:val="auto"/>
                <w:szCs w:val="24"/>
                <w:highlight w:val="none"/>
              </w:rPr>
              <w:t>符合《</w:t>
            </w:r>
            <w:r>
              <w:rPr>
                <w:rFonts w:hint="eastAsia"/>
                <w:color w:val="auto"/>
                <w:szCs w:val="24"/>
                <w:highlight w:val="none"/>
              </w:rPr>
              <w:t>一般工业固体废物贮存和填埋污染控制标准</w:t>
            </w:r>
            <w:r>
              <w:rPr>
                <w:color w:val="auto"/>
                <w:szCs w:val="24"/>
                <w:highlight w:val="none"/>
              </w:rPr>
              <w:t>》（GB18599-20</w:t>
            </w:r>
            <w:r>
              <w:rPr>
                <w:rFonts w:hint="eastAsia"/>
                <w:color w:val="auto"/>
                <w:szCs w:val="24"/>
                <w:highlight w:val="none"/>
              </w:rPr>
              <w:t>20</w:t>
            </w:r>
            <w:r>
              <w:rPr>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2" w:type="pct"/>
            <w:gridSpan w:val="2"/>
            <w:vMerge w:val="continue"/>
            <w:noWrap/>
            <w:vAlign w:val="center"/>
          </w:tcPr>
          <w:p>
            <w:pPr>
              <w:pStyle w:val="57"/>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收集的粉尘</w:t>
            </w:r>
          </w:p>
        </w:tc>
        <w:tc>
          <w:tcPr>
            <w:tcW w:w="1357" w:type="pct"/>
            <w:noWrap/>
            <w:vAlign w:val="center"/>
          </w:tcPr>
          <w:p>
            <w:pPr>
              <w:adjustRightInd w:val="0"/>
              <w:snapToGrid w:val="0"/>
              <w:spacing w:line="240" w:lineRule="auto"/>
              <w:ind w:firstLine="0" w:firstLineChars="0"/>
              <w:rPr>
                <w:bCs/>
                <w:color w:val="auto"/>
                <w:szCs w:val="24"/>
                <w:highlight w:val="none"/>
              </w:rPr>
            </w:pPr>
            <w:r>
              <w:rPr>
                <w:rFonts w:hint="eastAsia"/>
                <w:bCs/>
                <w:color w:val="auto"/>
                <w:szCs w:val="24"/>
                <w:highlight w:val="none"/>
              </w:rPr>
              <w:t>回用于特种砂浆的生产</w:t>
            </w:r>
          </w:p>
        </w:tc>
        <w:tc>
          <w:tcPr>
            <w:tcW w:w="1193"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2" w:type="pct"/>
            <w:gridSpan w:val="2"/>
            <w:vMerge w:val="continue"/>
            <w:noWrap/>
            <w:vAlign w:val="center"/>
          </w:tcPr>
          <w:p>
            <w:pPr>
              <w:pStyle w:val="57"/>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废包装袋</w:t>
            </w:r>
          </w:p>
        </w:tc>
        <w:tc>
          <w:tcPr>
            <w:tcW w:w="1357" w:type="pct"/>
            <w:noWrap/>
            <w:vAlign w:val="center"/>
          </w:tcPr>
          <w:p>
            <w:pPr>
              <w:spacing w:line="240" w:lineRule="auto"/>
              <w:ind w:firstLine="0" w:firstLineChars="0"/>
              <w:rPr>
                <w:bCs/>
                <w:color w:val="auto"/>
                <w:szCs w:val="24"/>
                <w:highlight w:val="none"/>
              </w:rPr>
            </w:pPr>
            <w:r>
              <w:rPr>
                <w:rFonts w:hint="eastAsia"/>
                <w:bCs/>
                <w:color w:val="auto"/>
                <w:szCs w:val="24"/>
                <w:highlight w:val="none"/>
              </w:rPr>
              <w:t>集中收集后出售给废旧物资回收公司</w:t>
            </w:r>
          </w:p>
        </w:tc>
        <w:tc>
          <w:tcPr>
            <w:tcW w:w="1193"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2" w:type="pct"/>
            <w:gridSpan w:val="2"/>
            <w:vMerge w:val="restart"/>
            <w:noWrap/>
            <w:vAlign w:val="center"/>
          </w:tcPr>
          <w:p>
            <w:pPr>
              <w:pStyle w:val="57"/>
              <w:autoSpaceDE/>
              <w:autoSpaceDN/>
              <w:adjustRightInd/>
              <w:spacing w:line="240" w:lineRule="auto"/>
              <w:ind w:firstLineChars="0"/>
              <w:rPr>
                <w:rFonts w:eastAsia="宋体"/>
                <w:color w:val="auto"/>
                <w:sz w:val="24"/>
                <w:szCs w:val="24"/>
                <w:highlight w:val="none"/>
              </w:rPr>
            </w:pPr>
            <w:r>
              <w:rPr>
                <w:rFonts w:hint="eastAsia" w:eastAsia="宋体"/>
                <w:color w:val="auto"/>
                <w:sz w:val="24"/>
                <w:szCs w:val="24"/>
                <w:highlight w:val="none"/>
              </w:rPr>
              <w:t>危险固废</w:t>
            </w: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废机油</w:t>
            </w:r>
          </w:p>
        </w:tc>
        <w:tc>
          <w:tcPr>
            <w:tcW w:w="1357" w:type="pct"/>
            <w:noWrap/>
            <w:vAlign w:val="center"/>
          </w:tcPr>
          <w:p>
            <w:pPr>
              <w:spacing w:line="240" w:lineRule="auto"/>
              <w:ind w:firstLine="0" w:firstLineChars="0"/>
              <w:rPr>
                <w:bCs/>
                <w:color w:val="auto"/>
                <w:szCs w:val="24"/>
                <w:highlight w:val="none"/>
              </w:rPr>
            </w:pPr>
            <w:r>
              <w:rPr>
                <w:rFonts w:hint="eastAsia"/>
                <w:bCs/>
                <w:color w:val="auto"/>
                <w:szCs w:val="24"/>
                <w:highlight w:val="none"/>
              </w:rPr>
              <w:t>委托资质单位进行处置</w:t>
            </w:r>
          </w:p>
        </w:tc>
        <w:tc>
          <w:tcPr>
            <w:tcW w:w="1193" w:type="pct"/>
            <w:vMerge w:val="restart"/>
            <w:noWrap/>
            <w:vAlign w:val="center"/>
          </w:tcPr>
          <w:p>
            <w:pPr>
              <w:adjustRightInd w:val="0"/>
              <w:snapToGrid w:val="0"/>
              <w:spacing w:line="240" w:lineRule="auto"/>
              <w:ind w:firstLine="0" w:firstLineChars="0"/>
              <w:rPr>
                <w:color w:val="auto"/>
                <w:szCs w:val="24"/>
                <w:highlight w:val="none"/>
              </w:rPr>
            </w:pPr>
            <w:r>
              <w:rPr>
                <w:rFonts w:hint="eastAsia"/>
                <w:color w:val="auto"/>
                <w:highlight w:val="none"/>
              </w:rPr>
              <w:t>符合《</w:t>
            </w:r>
            <w:r>
              <w:rPr>
                <w:color w:val="auto"/>
                <w:highlight w:val="none"/>
              </w:rPr>
              <w:t>危险废物贮存污染控制标准》</w:t>
            </w:r>
            <w:r>
              <w:rPr>
                <w:rFonts w:hint="eastAsia"/>
                <w:color w:val="auto"/>
                <w:highlight w:val="none"/>
              </w:rPr>
              <w:t>（</w:t>
            </w:r>
            <w:r>
              <w:rPr>
                <w:color w:val="auto"/>
                <w:highlight w:val="none"/>
              </w:rPr>
              <w:t>GB18597-2001</w:t>
            </w:r>
            <w:r>
              <w:rPr>
                <w:rFonts w:hint="eastAsia"/>
                <w:color w:val="auto"/>
                <w:highlight w:val="none"/>
              </w:rPr>
              <w:t>）</w:t>
            </w:r>
            <w:r>
              <w:rPr>
                <w:color w:val="auto"/>
                <w:highlight w:val="none"/>
              </w:rPr>
              <w:t>和国家环保部2013年第36号公告发布的修改单内容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2" w:type="pct"/>
            <w:gridSpan w:val="2"/>
            <w:vMerge w:val="continue"/>
            <w:noWrap/>
            <w:vAlign w:val="center"/>
          </w:tcPr>
          <w:p>
            <w:pPr>
              <w:pStyle w:val="57"/>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废包装桶</w:t>
            </w:r>
          </w:p>
        </w:tc>
        <w:tc>
          <w:tcPr>
            <w:tcW w:w="1357" w:type="pct"/>
            <w:noWrap/>
            <w:vAlign w:val="center"/>
          </w:tcPr>
          <w:p>
            <w:pPr>
              <w:spacing w:line="240" w:lineRule="auto"/>
              <w:ind w:firstLine="0" w:firstLineChars="0"/>
              <w:rPr>
                <w:bCs/>
                <w:color w:val="auto"/>
                <w:szCs w:val="24"/>
                <w:highlight w:val="none"/>
              </w:rPr>
            </w:pPr>
            <w:r>
              <w:rPr>
                <w:rFonts w:hint="eastAsia"/>
                <w:bCs/>
                <w:color w:val="auto"/>
                <w:szCs w:val="24"/>
                <w:highlight w:val="none"/>
              </w:rPr>
              <w:t>委托资质单位进行处置</w:t>
            </w:r>
          </w:p>
        </w:tc>
        <w:tc>
          <w:tcPr>
            <w:tcW w:w="1193" w:type="pct"/>
            <w:vMerge w:val="continue"/>
            <w:noWrap/>
            <w:vAlign w:val="center"/>
          </w:tcPr>
          <w:p>
            <w:pPr>
              <w:adjustRightInd w:val="0"/>
              <w:snapToGrid w:val="0"/>
              <w:spacing w:line="240" w:lineRule="auto"/>
              <w:ind w:firstLine="0" w:firstLineChars="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pct"/>
            <w:gridSpan w:val="2"/>
            <w:noWrap/>
            <w:vAlign w:val="center"/>
          </w:tcPr>
          <w:p>
            <w:pPr>
              <w:spacing w:line="240" w:lineRule="auto"/>
              <w:ind w:firstLine="0" w:firstLineChars="0"/>
              <w:jc w:val="center"/>
              <w:rPr>
                <w:b/>
                <w:bCs/>
                <w:color w:val="auto"/>
                <w:szCs w:val="24"/>
                <w:highlight w:val="none"/>
              </w:rPr>
            </w:pPr>
            <w:r>
              <w:rPr>
                <w:b/>
                <w:bCs/>
                <w:color w:val="auto"/>
                <w:szCs w:val="24"/>
                <w:highlight w:val="none"/>
              </w:rPr>
              <w:t>土壤及地下水</w:t>
            </w:r>
          </w:p>
          <w:p>
            <w:pPr>
              <w:spacing w:line="240" w:lineRule="auto"/>
              <w:ind w:firstLine="0" w:firstLineChars="0"/>
              <w:jc w:val="center"/>
              <w:rPr>
                <w:b/>
                <w:bCs/>
                <w:color w:val="auto"/>
                <w:szCs w:val="24"/>
                <w:highlight w:val="none"/>
              </w:rPr>
            </w:pPr>
            <w:r>
              <w:rPr>
                <w:b/>
                <w:bCs/>
                <w:color w:val="auto"/>
                <w:szCs w:val="24"/>
                <w:highlight w:val="none"/>
              </w:rPr>
              <w:t>污染防治措施</w:t>
            </w:r>
          </w:p>
        </w:tc>
        <w:tc>
          <w:tcPr>
            <w:tcW w:w="4223" w:type="pct"/>
            <w:gridSpan w:val="5"/>
            <w:noWrap/>
            <w:vAlign w:val="center"/>
          </w:tcPr>
          <w:p>
            <w:pPr>
              <w:adjustRightInd w:val="0"/>
              <w:snapToGrid w:val="0"/>
              <w:spacing w:line="500" w:lineRule="exact"/>
              <w:ind w:firstLine="480"/>
              <w:rPr>
                <w:color w:val="auto"/>
                <w:szCs w:val="24"/>
                <w:highlight w:val="none"/>
              </w:rPr>
            </w:pPr>
            <w:r>
              <w:rPr>
                <w:rFonts w:hint="eastAsia"/>
                <w:color w:val="auto"/>
                <w:szCs w:val="24"/>
                <w:highlight w:val="none"/>
              </w:rPr>
              <w:t>对本项目地面</w:t>
            </w:r>
            <w:r>
              <w:rPr>
                <w:color w:val="auto"/>
                <w:szCs w:val="24"/>
                <w:highlight w:val="none"/>
              </w:rPr>
              <w:t>进行水泥地面硬底化</w:t>
            </w:r>
            <w:r>
              <w:rPr>
                <w:rFonts w:hint="eastAsia"/>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pct"/>
            <w:gridSpan w:val="2"/>
            <w:noWrap/>
            <w:vAlign w:val="center"/>
          </w:tcPr>
          <w:p>
            <w:pPr>
              <w:spacing w:line="240" w:lineRule="auto"/>
              <w:ind w:firstLine="0" w:firstLineChars="0"/>
              <w:jc w:val="center"/>
              <w:rPr>
                <w:b/>
                <w:bCs/>
                <w:color w:val="auto"/>
                <w:szCs w:val="24"/>
                <w:highlight w:val="none"/>
              </w:rPr>
            </w:pPr>
            <w:r>
              <w:rPr>
                <w:b/>
                <w:bCs/>
                <w:color w:val="auto"/>
                <w:szCs w:val="24"/>
                <w:highlight w:val="none"/>
              </w:rPr>
              <w:t>生态保护措施</w:t>
            </w:r>
          </w:p>
        </w:tc>
        <w:tc>
          <w:tcPr>
            <w:tcW w:w="4223" w:type="pct"/>
            <w:gridSpan w:val="5"/>
            <w:noWrap/>
            <w:vAlign w:val="center"/>
          </w:tcPr>
          <w:p>
            <w:pPr>
              <w:pStyle w:val="57"/>
              <w:autoSpaceDE/>
              <w:autoSpaceDN/>
              <w:adjustRightInd/>
              <w:spacing w:line="500" w:lineRule="exact"/>
              <w:ind w:firstLine="480"/>
              <w:jc w:val="both"/>
              <w:rPr>
                <w:rFonts w:eastAsia="宋体"/>
                <w:color w:val="auto"/>
                <w:sz w:val="24"/>
                <w:szCs w:val="24"/>
                <w:highlight w:val="none"/>
              </w:rPr>
            </w:pPr>
            <w:r>
              <w:rPr>
                <w:rFonts w:eastAsia="宋体"/>
                <w:color w:val="auto"/>
                <w:sz w:val="24"/>
                <w:szCs w:val="24"/>
                <w:highlight w:val="none"/>
              </w:rPr>
              <w:t>建设单位应根据项目特点合理选择绿化树种和花卉做好厂区绿化。采取生态防护措施后，美化项目所在地块景观，并使办公环境舒适。项目内的工作车间应加强通风，建筑外可盆栽种绿化灌木和花卉，以减少外界废气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pct"/>
            <w:gridSpan w:val="2"/>
            <w:noWrap/>
            <w:vAlign w:val="center"/>
          </w:tcPr>
          <w:p>
            <w:pPr>
              <w:spacing w:line="240" w:lineRule="auto"/>
              <w:ind w:firstLine="0" w:firstLineChars="0"/>
              <w:jc w:val="center"/>
              <w:rPr>
                <w:b/>
                <w:bCs/>
                <w:color w:val="auto"/>
                <w:spacing w:val="-8"/>
                <w:szCs w:val="24"/>
                <w:highlight w:val="none"/>
              </w:rPr>
            </w:pPr>
            <w:r>
              <w:rPr>
                <w:b/>
                <w:bCs/>
                <w:color w:val="auto"/>
                <w:spacing w:val="-8"/>
                <w:szCs w:val="24"/>
                <w:highlight w:val="none"/>
              </w:rPr>
              <w:t>环境风险</w:t>
            </w:r>
          </w:p>
          <w:p>
            <w:pPr>
              <w:spacing w:line="240" w:lineRule="auto"/>
              <w:ind w:firstLine="0" w:firstLineChars="0"/>
              <w:jc w:val="center"/>
              <w:rPr>
                <w:b/>
                <w:bCs/>
                <w:color w:val="auto"/>
                <w:spacing w:val="-8"/>
                <w:szCs w:val="24"/>
                <w:highlight w:val="none"/>
              </w:rPr>
            </w:pPr>
            <w:r>
              <w:rPr>
                <w:b/>
                <w:bCs/>
                <w:color w:val="auto"/>
                <w:spacing w:val="-8"/>
                <w:szCs w:val="24"/>
                <w:highlight w:val="none"/>
              </w:rPr>
              <w:t>防范措施</w:t>
            </w:r>
          </w:p>
        </w:tc>
        <w:tc>
          <w:tcPr>
            <w:tcW w:w="4223" w:type="pct"/>
            <w:gridSpan w:val="5"/>
            <w:noWrap/>
            <w:vAlign w:val="center"/>
          </w:tcPr>
          <w:p>
            <w:pPr>
              <w:spacing w:line="500" w:lineRule="exact"/>
              <w:ind w:firstLine="0" w:firstLineChars="0"/>
              <w:rPr>
                <w:b/>
                <w:color w:val="auto"/>
                <w:szCs w:val="24"/>
                <w:highlight w:val="none"/>
              </w:rPr>
            </w:pPr>
            <w:r>
              <w:rPr>
                <w:b/>
                <w:color w:val="auto"/>
                <w:szCs w:val="24"/>
                <w:highlight w:val="none"/>
              </w:rPr>
              <w:t>1</w:t>
            </w:r>
            <w:r>
              <w:rPr>
                <w:rFonts w:hint="eastAsia"/>
                <w:b/>
                <w:color w:val="auto"/>
                <w:szCs w:val="24"/>
                <w:highlight w:val="none"/>
              </w:rPr>
              <w:t xml:space="preserve"> </w:t>
            </w:r>
            <w:r>
              <w:rPr>
                <w:b/>
                <w:color w:val="auto"/>
                <w:szCs w:val="24"/>
                <w:highlight w:val="none"/>
              </w:rPr>
              <w:t>火灾爆炸事故风险防范措施</w:t>
            </w:r>
          </w:p>
          <w:p>
            <w:pPr>
              <w:spacing w:line="500" w:lineRule="exact"/>
              <w:ind w:firstLine="480"/>
              <w:rPr>
                <w:color w:val="auto"/>
                <w:szCs w:val="24"/>
                <w:highlight w:val="none"/>
              </w:rPr>
            </w:pPr>
            <w:r>
              <w:rPr>
                <w:color w:val="auto"/>
                <w:szCs w:val="24"/>
                <w:highlight w:val="none"/>
              </w:rPr>
              <w:t>（1）控制与消除火源</w:t>
            </w:r>
          </w:p>
          <w:p>
            <w:pPr>
              <w:spacing w:line="500" w:lineRule="exact"/>
              <w:ind w:firstLine="480"/>
              <w:rPr>
                <w:color w:val="auto"/>
                <w:szCs w:val="24"/>
                <w:highlight w:val="none"/>
              </w:rPr>
            </w:pPr>
            <w:r>
              <w:rPr>
                <w:color w:val="auto"/>
                <w:szCs w:val="24"/>
                <w:highlight w:val="none"/>
              </w:rPr>
              <w:t>工作时严禁吸烟、携带火种、穿带钉皮鞋等进入易燃易爆区；动火必须按动火手续办理动火证，采取有效的防范措施；使用防爆型电器；严禁钢制工具敲打、撞击、抛掷；安装避雷装置；转动设备部位要保持清洁，防止因摩擦引起杂物等燃烧；危险固废运输要请专门的、有资质的运输单位，定期委托处置。</w:t>
            </w:r>
          </w:p>
          <w:p>
            <w:pPr>
              <w:spacing w:line="500" w:lineRule="exact"/>
              <w:ind w:firstLine="480"/>
              <w:rPr>
                <w:color w:val="auto"/>
                <w:szCs w:val="24"/>
                <w:highlight w:val="none"/>
              </w:rPr>
            </w:pPr>
            <w:r>
              <w:rPr>
                <w:color w:val="auto"/>
                <w:szCs w:val="24"/>
                <w:highlight w:val="none"/>
              </w:rPr>
              <w:t>（2）加强管理、严格纪律，遵守各项规章制度和操作规程，严格执行岗位责任制；坚持巡回检查，发现问题及时处理；加强培训、教育和考核工作。</w:t>
            </w:r>
          </w:p>
          <w:p>
            <w:pPr>
              <w:spacing w:line="500" w:lineRule="exact"/>
              <w:ind w:firstLine="0" w:firstLineChars="0"/>
              <w:outlineLvl w:val="1"/>
              <w:rPr>
                <w:b/>
                <w:color w:val="auto"/>
                <w:szCs w:val="24"/>
                <w:highlight w:val="none"/>
              </w:rPr>
            </w:pPr>
            <w:r>
              <w:rPr>
                <w:b/>
                <w:color w:val="auto"/>
                <w:szCs w:val="24"/>
                <w:highlight w:val="none"/>
              </w:rPr>
              <w:t>2</w:t>
            </w:r>
            <w:r>
              <w:rPr>
                <w:rFonts w:hint="eastAsia"/>
                <w:b/>
                <w:color w:val="auto"/>
                <w:szCs w:val="24"/>
                <w:highlight w:val="none"/>
              </w:rPr>
              <w:t xml:space="preserve"> </w:t>
            </w:r>
            <w:r>
              <w:rPr>
                <w:b/>
                <w:color w:val="auto"/>
                <w:szCs w:val="24"/>
                <w:highlight w:val="none"/>
              </w:rPr>
              <w:t>物料贮存风险防范措施</w:t>
            </w:r>
          </w:p>
          <w:p>
            <w:pPr>
              <w:spacing w:line="500" w:lineRule="exact"/>
              <w:ind w:firstLine="480"/>
              <w:rPr>
                <w:color w:val="auto"/>
                <w:szCs w:val="24"/>
                <w:highlight w:val="none"/>
              </w:rPr>
            </w:pPr>
            <w:r>
              <w:rPr>
                <w:color w:val="auto"/>
                <w:szCs w:val="24"/>
                <w:highlight w:val="none"/>
              </w:rPr>
              <w:t>（1）原料存放点应阴凉通风，远离热源、火种，防止日光曝晒，严禁受热。库内照明应采用防爆照明灯，存放点周围不得堆放任何可燃材料。</w:t>
            </w:r>
          </w:p>
          <w:p>
            <w:pPr>
              <w:spacing w:line="500" w:lineRule="exact"/>
              <w:ind w:firstLine="480"/>
              <w:rPr>
                <w:color w:val="auto"/>
                <w:szCs w:val="24"/>
                <w:highlight w:val="none"/>
              </w:rPr>
            </w:pPr>
            <w:r>
              <w:rPr>
                <w:color w:val="auto"/>
                <w:szCs w:val="24"/>
                <w:highlight w:val="none"/>
              </w:rPr>
              <w:t>（2）原料库有专人管理，要有消防器材，要有醒目的防火标志。本项目在仓库门口张贴防火标示，并配有进出台账管理。</w:t>
            </w:r>
          </w:p>
          <w:p>
            <w:pPr>
              <w:spacing w:line="500" w:lineRule="exact"/>
              <w:ind w:firstLine="480"/>
              <w:rPr>
                <w:b/>
                <w:bCs/>
                <w:color w:val="auto"/>
                <w:szCs w:val="24"/>
                <w:highlight w:val="none"/>
              </w:rPr>
            </w:pPr>
            <w:r>
              <w:rPr>
                <w:color w:val="auto"/>
                <w:szCs w:val="24"/>
                <w:highlight w:val="none"/>
              </w:rPr>
              <w:t>（3）对员工进行日常风险教育和培训，提高安全防范知识的宣传力度。企业定期对员工进行安全培训教育，从控制过程减少了风险事故的产生。</w:t>
            </w:r>
          </w:p>
          <w:p>
            <w:pPr>
              <w:spacing w:line="500" w:lineRule="exact"/>
              <w:ind w:firstLine="0" w:firstLineChars="0"/>
              <w:rPr>
                <w:b/>
                <w:bCs/>
                <w:color w:val="auto"/>
                <w:szCs w:val="24"/>
                <w:highlight w:val="none"/>
              </w:rPr>
            </w:pPr>
            <w:r>
              <w:rPr>
                <w:b/>
                <w:bCs/>
                <w:color w:val="auto"/>
                <w:szCs w:val="24"/>
                <w:highlight w:val="none"/>
              </w:rPr>
              <w:t>3</w:t>
            </w:r>
            <w:r>
              <w:rPr>
                <w:rFonts w:hint="eastAsia"/>
                <w:b/>
                <w:bCs/>
                <w:color w:val="auto"/>
                <w:szCs w:val="24"/>
                <w:highlight w:val="none"/>
              </w:rPr>
              <w:t xml:space="preserve"> </w:t>
            </w:r>
            <w:r>
              <w:rPr>
                <w:b/>
                <w:bCs/>
                <w:color w:val="auto"/>
                <w:szCs w:val="24"/>
                <w:highlight w:val="none"/>
              </w:rPr>
              <w:t>废气事故排放的防范措施</w:t>
            </w:r>
          </w:p>
          <w:p>
            <w:pPr>
              <w:spacing w:line="500" w:lineRule="exact"/>
              <w:ind w:firstLine="480"/>
              <w:rPr>
                <w:color w:val="auto"/>
                <w:kern w:val="0"/>
                <w:szCs w:val="24"/>
                <w:highlight w:val="none"/>
              </w:rPr>
            </w:pPr>
            <w:r>
              <w:rPr>
                <w:color w:val="auto"/>
                <w:kern w:val="0"/>
                <w:szCs w:val="24"/>
                <w:highlight w:val="none"/>
              </w:rPr>
              <w:t>为确保不发生事故性废气排放，建设单位采取一定的事故性防范保护措施：</w:t>
            </w:r>
          </w:p>
          <w:p>
            <w:pPr>
              <w:spacing w:line="500" w:lineRule="exact"/>
              <w:ind w:firstLine="480"/>
              <w:rPr>
                <w:color w:val="auto"/>
                <w:kern w:val="0"/>
                <w:szCs w:val="24"/>
                <w:highlight w:val="none"/>
              </w:rPr>
            </w:pPr>
            <w:r>
              <w:rPr>
                <w:color w:val="auto"/>
                <w:szCs w:val="24"/>
                <w:highlight w:val="none"/>
              </w:rPr>
              <w:t>（1）</w:t>
            </w:r>
            <w:r>
              <w:rPr>
                <w:color w:val="auto"/>
                <w:kern w:val="0"/>
                <w:szCs w:val="24"/>
                <w:highlight w:val="none"/>
              </w:rPr>
              <w:t>各生产环节严格执行生产管理的有关规定，加强设备的检修及保养，提高管理人员素质，并设置机器事故应急措施及管理制度，确保设备长期处于良好状态，使设备达到预期的处理效果。</w:t>
            </w:r>
          </w:p>
          <w:p>
            <w:pPr>
              <w:spacing w:line="500" w:lineRule="exact"/>
              <w:ind w:firstLine="480"/>
              <w:rPr>
                <w:color w:val="auto"/>
                <w:szCs w:val="24"/>
                <w:highlight w:val="none"/>
              </w:rPr>
            </w:pPr>
            <w:r>
              <w:rPr>
                <w:color w:val="auto"/>
                <w:kern w:val="0"/>
                <w:szCs w:val="24"/>
                <w:highlight w:val="none"/>
              </w:rPr>
              <w:t>（2）现场作业人员定时记录废气处理状况，如对废气处理设施的风机等设备进行点检工作，并派专人巡视，遇不良工作状况立即停止车间相关作业，维修正常后再开始作业，杜绝事故性废气直排，并及时呈报单位主管。待检修完毕再通知生产车间相关工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 w:type="pct"/>
            <w:gridSpan w:val="2"/>
            <w:noWrap/>
            <w:vAlign w:val="center"/>
          </w:tcPr>
          <w:p>
            <w:pPr>
              <w:spacing w:line="240" w:lineRule="auto"/>
              <w:ind w:firstLine="0" w:firstLineChars="0"/>
              <w:jc w:val="center"/>
              <w:rPr>
                <w:b/>
                <w:bCs/>
                <w:color w:val="auto"/>
                <w:spacing w:val="-8"/>
                <w:szCs w:val="24"/>
                <w:highlight w:val="none"/>
              </w:rPr>
            </w:pPr>
            <w:r>
              <w:rPr>
                <w:b/>
                <w:bCs/>
                <w:color w:val="auto"/>
                <w:spacing w:val="-8"/>
                <w:szCs w:val="24"/>
                <w:highlight w:val="none"/>
              </w:rPr>
              <w:t>其他环境</w:t>
            </w:r>
          </w:p>
          <w:p>
            <w:pPr>
              <w:spacing w:line="240" w:lineRule="auto"/>
              <w:ind w:firstLine="0" w:firstLineChars="0"/>
              <w:jc w:val="center"/>
              <w:rPr>
                <w:b/>
                <w:bCs/>
                <w:color w:val="auto"/>
                <w:spacing w:val="-8"/>
                <w:szCs w:val="24"/>
                <w:highlight w:val="none"/>
              </w:rPr>
            </w:pPr>
            <w:r>
              <w:rPr>
                <w:b/>
                <w:bCs/>
                <w:color w:val="auto"/>
                <w:spacing w:val="-8"/>
                <w:szCs w:val="24"/>
                <w:highlight w:val="none"/>
              </w:rPr>
              <w:t>管理要求</w:t>
            </w:r>
          </w:p>
        </w:tc>
        <w:tc>
          <w:tcPr>
            <w:tcW w:w="4223" w:type="pct"/>
            <w:gridSpan w:val="5"/>
            <w:noWrap/>
            <w:vAlign w:val="center"/>
          </w:tcPr>
          <w:p>
            <w:pPr>
              <w:spacing w:line="500" w:lineRule="exact"/>
              <w:ind w:firstLine="0" w:firstLineChars="0"/>
              <w:rPr>
                <w:b/>
                <w:bCs/>
                <w:color w:val="auto"/>
                <w:szCs w:val="24"/>
                <w:highlight w:val="none"/>
              </w:rPr>
            </w:pPr>
            <w:r>
              <w:rPr>
                <w:b/>
                <w:bCs/>
                <w:color w:val="auto"/>
                <w:spacing w:val="-8"/>
                <w:szCs w:val="24"/>
                <w:highlight w:val="none"/>
              </w:rPr>
              <w:t>1</w:t>
            </w:r>
            <w:r>
              <w:rPr>
                <w:rFonts w:hint="eastAsia"/>
                <w:b/>
                <w:bCs/>
                <w:color w:val="auto"/>
                <w:spacing w:val="-8"/>
                <w:szCs w:val="24"/>
                <w:highlight w:val="none"/>
              </w:rPr>
              <w:t xml:space="preserve"> </w:t>
            </w:r>
            <w:r>
              <w:rPr>
                <w:b/>
                <w:bCs/>
                <w:color w:val="auto"/>
                <w:spacing w:val="-8"/>
                <w:szCs w:val="24"/>
                <w:highlight w:val="none"/>
              </w:rPr>
              <w:t>环境管理制度建设</w:t>
            </w:r>
          </w:p>
          <w:p>
            <w:pPr>
              <w:spacing w:line="500" w:lineRule="exact"/>
              <w:ind w:firstLine="480"/>
              <w:rPr>
                <w:b/>
                <w:bCs/>
                <w:color w:val="auto"/>
                <w:szCs w:val="24"/>
                <w:highlight w:val="none"/>
              </w:rPr>
            </w:pPr>
            <w:r>
              <w:rPr>
                <w:color w:val="auto"/>
                <w:szCs w:val="24"/>
                <w:highlight w:val="none"/>
              </w:rPr>
              <w:t>投产后，企业应成立环境保护管理领导小组的组织架构，明确环保责任，配备了素质较好的环保管理人员，建立和健全各项环保管理制度，从上而下形成了一整套环保管理网络，有效地保证环保工作有序地开展。</w:t>
            </w:r>
          </w:p>
          <w:p>
            <w:pPr>
              <w:spacing w:line="500" w:lineRule="exact"/>
              <w:ind w:firstLine="0" w:firstLineChars="0"/>
              <w:rPr>
                <w:b/>
                <w:bCs/>
                <w:color w:val="auto"/>
                <w:szCs w:val="24"/>
                <w:highlight w:val="none"/>
              </w:rPr>
            </w:pPr>
            <w:r>
              <w:rPr>
                <w:b/>
                <w:bCs/>
                <w:color w:val="auto"/>
                <w:szCs w:val="24"/>
                <w:highlight w:val="none"/>
              </w:rPr>
              <w:t>2</w:t>
            </w:r>
            <w:r>
              <w:rPr>
                <w:rFonts w:hint="eastAsia"/>
                <w:b/>
                <w:bCs/>
                <w:color w:val="auto"/>
                <w:szCs w:val="24"/>
                <w:highlight w:val="none"/>
              </w:rPr>
              <w:t xml:space="preserve"> </w:t>
            </w:r>
            <w:r>
              <w:rPr>
                <w:rFonts w:hint="eastAsia" w:ascii="宋体" w:hAnsi="宋体" w:cs="宋体"/>
                <w:b/>
                <w:bCs/>
                <w:color w:val="auto"/>
                <w:szCs w:val="24"/>
                <w:highlight w:val="none"/>
              </w:rPr>
              <w:t>“</w:t>
            </w:r>
            <w:r>
              <w:rPr>
                <w:b/>
                <w:bCs/>
                <w:color w:val="auto"/>
                <w:szCs w:val="24"/>
                <w:highlight w:val="none"/>
              </w:rPr>
              <w:t>三同时</w:t>
            </w:r>
            <w:r>
              <w:rPr>
                <w:rFonts w:hint="eastAsia" w:ascii="宋体" w:hAnsi="宋体" w:cs="宋体"/>
                <w:b/>
                <w:bCs/>
                <w:color w:val="auto"/>
                <w:szCs w:val="24"/>
                <w:highlight w:val="none"/>
              </w:rPr>
              <w:t>”</w:t>
            </w:r>
            <w:r>
              <w:rPr>
                <w:b/>
                <w:bCs/>
                <w:color w:val="auto"/>
                <w:szCs w:val="24"/>
                <w:highlight w:val="none"/>
              </w:rPr>
              <w:t>管理要求</w:t>
            </w:r>
          </w:p>
          <w:p>
            <w:pPr>
              <w:spacing w:line="500" w:lineRule="exact"/>
              <w:ind w:firstLine="480"/>
              <w:rPr>
                <w:color w:val="auto"/>
                <w:szCs w:val="24"/>
                <w:highlight w:val="none"/>
              </w:rPr>
            </w:pPr>
            <w:r>
              <w:rPr>
                <w:color w:val="auto"/>
                <w:szCs w:val="24"/>
                <w:highlight w:val="none"/>
              </w:rPr>
              <w:t>根据《建设项目环境保护管理条例》，建设项目需要配套建设的环境保护设施，必须与主体工程同时设计、同时施工、同时投产使用。</w:t>
            </w:r>
          </w:p>
          <w:p>
            <w:pPr>
              <w:spacing w:line="500" w:lineRule="exact"/>
              <w:ind w:firstLine="0" w:firstLineChars="0"/>
              <w:rPr>
                <w:color w:val="auto"/>
                <w:szCs w:val="24"/>
                <w:highlight w:val="none"/>
              </w:rPr>
            </w:pPr>
            <w:r>
              <w:rPr>
                <w:b/>
                <w:bCs/>
                <w:color w:val="auto"/>
                <w:szCs w:val="24"/>
                <w:highlight w:val="none"/>
              </w:rPr>
              <w:t>3</w:t>
            </w:r>
            <w:r>
              <w:rPr>
                <w:rFonts w:hint="eastAsia"/>
                <w:b/>
                <w:bCs/>
                <w:color w:val="auto"/>
                <w:szCs w:val="24"/>
                <w:highlight w:val="none"/>
              </w:rPr>
              <w:t xml:space="preserve"> </w:t>
            </w:r>
            <w:r>
              <w:rPr>
                <w:b/>
                <w:bCs/>
                <w:color w:val="auto"/>
                <w:szCs w:val="24"/>
                <w:highlight w:val="none"/>
              </w:rPr>
              <w:t>竣工自主环保验收要求</w:t>
            </w:r>
          </w:p>
          <w:p>
            <w:pPr>
              <w:spacing w:line="500" w:lineRule="exact"/>
              <w:ind w:firstLine="480"/>
              <w:rPr>
                <w:color w:val="auto"/>
                <w:szCs w:val="24"/>
                <w:highlight w:val="none"/>
              </w:rPr>
            </w:pPr>
            <w:r>
              <w:rPr>
                <w:color w:val="auto"/>
                <w:szCs w:val="24"/>
                <w:highlight w:val="none"/>
              </w:rPr>
              <w:t>根据《建设项目竣工环境保护验收暂行办法》，对企业自主开展相关验收工作要求如下：</w:t>
            </w:r>
          </w:p>
          <w:p>
            <w:pPr>
              <w:spacing w:line="500" w:lineRule="exact"/>
              <w:ind w:firstLine="480"/>
              <w:rPr>
                <w:b/>
                <w:bCs/>
                <w:color w:val="auto"/>
                <w:szCs w:val="24"/>
                <w:highlight w:val="none"/>
              </w:rPr>
            </w:pPr>
            <w:r>
              <w:rPr>
                <w:color w:val="auto"/>
                <w:szCs w:val="24"/>
                <w:highlight w:val="none"/>
              </w:rPr>
              <w:t>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pPr>
              <w:widowControl/>
              <w:spacing w:line="500" w:lineRule="exact"/>
              <w:ind w:firstLine="0" w:firstLineChars="0"/>
              <w:rPr>
                <w:color w:val="auto"/>
                <w:szCs w:val="24"/>
                <w:highlight w:val="none"/>
              </w:rPr>
            </w:pPr>
            <w:r>
              <w:rPr>
                <w:rFonts w:hint="eastAsia"/>
                <w:b/>
                <w:color w:val="auto"/>
                <w:kern w:val="0"/>
                <w:szCs w:val="24"/>
                <w:highlight w:val="none"/>
              </w:rPr>
              <w:t xml:space="preserve">4 </w:t>
            </w:r>
            <w:r>
              <w:rPr>
                <w:b/>
                <w:color w:val="auto"/>
                <w:kern w:val="0"/>
                <w:szCs w:val="24"/>
                <w:highlight w:val="none"/>
              </w:rPr>
              <w:t>核发排污许可证</w:t>
            </w:r>
          </w:p>
          <w:p>
            <w:pPr>
              <w:widowControl/>
              <w:spacing w:line="500" w:lineRule="exact"/>
              <w:ind w:firstLine="480"/>
              <w:rPr>
                <w:color w:val="auto"/>
                <w:kern w:val="0"/>
                <w:szCs w:val="24"/>
                <w:highlight w:val="none"/>
              </w:rPr>
            </w:pPr>
            <w:r>
              <w:rPr>
                <w:color w:val="auto"/>
                <w:kern w:val="0"/>
                <w:szCs w:val="24"/>
                <w:highlight w:val="none"/>
              </w:rPr>
              <w:t>《固定污染源排污许可分类管理名录（2019年版）》中规定，根据排放污染物的企业事业单位和其他生产经营者污染物产生量、排放量、对环境的影响程度等因素，实行排污许可重点管理、简化管理和登记管理。</w:t>
            </w:r>
          </w:p>
          <w:p>
            <w:pPr>
              <w:widowControl/>
              <w:spacing w:line="500" w:lineRule="exact"/>
              <w:ind w:firstLine="480"/>
              <w:rPr>
                <w:color w:val="auto"/>
                <w:kern w:val="0"/>
                <w:szCs w:val="24"/>
                <w:highlight w:val="none"/>
              </w:rPr>
            </w:pPr>
            <w:r>
              <w:rPr>
                <w:color w:val="auto"/>
                <w:kern w:val="0"/>
                <w:szCs w:val="24"/>
                <w:highlight w:val="none"/>
              </w:rPr>
              <w:t>根据名录第四条规定，建设单位应当在启动生产设施或者发生实际排污之前申请取得排污许可证，对照《2020年纳入排污许可证管理的行业和管理类别表》，本项目行业类别为</w:t>
            </w:r>
            <w:r>
              <w:rPr>
                <w:rFonts w:hint="eastAsia"/>
                <w:color w:val="auto"/>
                <w:kern w:val="0"/>
                <w:szCs w:val="24"/>
                <w:highlight w:val="none"/>
              </w:rPr>
              <w:t>其他建筑材料制造</w:t>
            </w:r>
            <w:r>
              <w:rPr>
                <w:color w:val="auto"/>
                <w:kern w:val="0"/>
                <w:szCs w:val="24"/>
                <w:highlight w:val="none"/>
              </w:rPr>
              <w:t>（C</w:t>
            </w:r>
            <w:r>
              <w:rPr>
                <w:rFonts w:hint="eastAsia"/>
                <w:color w:val="auto"/>
                <w:kern w:val="0"/>
                <w:szCs w:val="24"/>
                <w:highlight w:val="none"/>
              </w:rPr>
              <w:t>3</w:t>
            </w:r>
            <w:r>
              <w:rPr>
                <w:rFonts w:hint="eastAsia"/>
                <w:color w:val="auto"/>
                <w:kern w:val="0"/>
                <w:szCs w:val="24"/>
                <w:highlight w:val="none"/>
                <w:lang w:val="en-US" w:eastAsia="zh-CN"/>
              </w:rPr>
              <w:t>039</w:t>
            </w:r>
            <w:r>
              <w:rPr>
                <w:color w:val="auto"/>
                <w:kern w:val="0"/>
                <w:szCs w:val="24"/>
                <w:highlight w:val="none"/>
              </w:rPr>
              <w:t>），排污许可证管理类别为</w:t>
            </w:r>
            <w:r>
              <w:rPr>
                <w:rFonts w:hint="eastAsia"/>
                <w:color w:val="auto"/>
                <w:kern w:val="0"/>
                <w:szCs w:val="24"/>
                <w:highlight w:val="none"/>
              </w:rPr>
              <w:t>登记</w:t>
            </w:r>
            <w:r>
              <w:rPr>
                <w:color w:val="auto"/>
                <w:kern w:val="0"/>
                <w:szCs w:val="24"/>
                <w:highlight w:val="none"/>
              </w:rPr>
              <w:t>管理。</w:t>
            </w: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color w:val="auto"/>
                <w:kern w:val="0"/>
                <w:szCs w:val="24"/>
                <w:highlight w:val="none"/>
              </w:rPr>
            </w:pPr>
          </w:p>
          <w:p>
            <w:pPr>
              <w:widowControl/>
              <w:spacing w:line="500" w:lineRule="exact"/>
              <w:ind w:firstLine="480"/>
              <w:rPr>
                <w:rFonts w:hint="eastAsia" w:eastAsia="宋体"/>
                <w:color w:val="auto"/>
                <w:szCs w:val="24"/>
                <w:highlight w:val="none"/>
                <w:lang w:eastAsia="zh-CN"/>
              </w:rPr>
            </w:pPr>
          </w:p>
        </w:tc>
      </w:tr>
    </w:tbl>
    <w:p>
      <w:pPr>
        <w:ind w:firstLine="480"/>
        <w:rPr>
          <w:color w:val="auto"/>
          <w:highlight w:val="none"/>
        </w:rPr>
        <w:sectPr>
          <w:pgSz w:w="11906" w:h="16838"/>
          <w:pgMar w:top="1440" w:right="1800" w:bottom="1440" w:left="1800" w:header="851" w:footer="992" w:gutter="0"/>
          <w:cols w:space="720" w:num="1"/>
          <w:docGrid w:type="lines" w:linePitch="312" w:charSpace="0"/>
        </w:sectPr>
      </w:pPr>
    </w:p>
    <w:p>
      <w:pPr>
        <w:spacing w:line="240" w:lineRule="auto"/>
        <w:ind w:firstLine="0" w:firstLineChars="0"/>
        <w:jc w:val="center"/>
        <w:outlineLvl w:val="0"/>
        <w:rPr>
          <w:rFonts w:hAnsi="宋体"/>
          <w:b/>
          <w:color w:val="auto"/>
          <w:sz w:val="28"/>
          <w:szCs w:val="28"/>
          <w:highlight w:val="none"/>
        </w:rPr>
      </w:pPr>
      <w:bookmarkStart w:id="21" w:name="_Toc518295558"/>
      <w:bookmarkStart w:id="22" w:name="_Toc1653"/>
      <w:r>
        <w:rPr>
          <w:rFonts w:hint="eastAsia" w:hAnsi="宋体"/>
          <w:b/>
          <w:color w:val="auto"/>
          <w:sz w:val="28"/>
          <w:szCs w:val="28"/>
          <w:highlight w:val="none"/>
        </w:rPr>
        <w:t>六、结</w:t>
      </w:r>
      <w:bookmarkEnd w:id="21"/>
      <w:r>
        <w:rPr>
          <w:rFonts w:hint="eastAsia" w:hAnsi="宋体"/>
          <w:b/>
          <w:color w:val="auto"/>
          <w:sz w:val="28"/>
          <w:szCs w:val="28"/>
          <w:highlight w:val="none"/>
        </w:rPr>
        <w:t>论</w:t>
      </w:r>
      <w:bookmarkEnd w:id="22"/>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7" w:hRule="atLeast"/>
          <w:jc w:val="center"/>
        </w:trPr>
        <w:tc>
          <w:tcPr>
            <w:tcW w:w="5000" w:type="pct"/>
            <w:noWrap/>
          </w:tcPr>
          <w:p>
            <w:pPr>
              <w:spacing w:line="500" w:lineRule="exact"/>
              <w:ind w:firstLine="480"/>
              <w:rPr>
                <w:color w:val="auto"/>
                <w:szCs w:val="24"/>
                <w:highlight w:val="none"/>
              </w:rPr>
            </w:pPr>
            <w:r>
              <w:rPr>
                <w:color w:val="auto"/>
                <w:szCs w:val="24"/>
                <w:highlight w:val="none"/>
              </w:rPr>
              <w:t>综上所述，</w:t>
            </w:r>
            <w:r>
              <w:rPr>
                <w:rFonts w:hint="eastAsia"/>
                <w:color w:val="auto"/>
                <w:highlight w:val="none"/>
              </w:rPr>
              <w:t>浙江安捷森建材科技有限公司年产5万吨特种砂浆项目</w:t>
            </w:r>
            <w:r>
              <w:rPr>
                <w:color w:val="auto"/>
                <w:highlight w:val="none"/>
              </w:rPr>
              <w:t>选址于德清县</w:t>
            </w:r>
            <w:r>
              <w:rPr>
                <w:rFonts w:hint="eastAsia"/>
                <w:color w:val="auto"/>
                <w:highlight w:val="none"/>
              </w:rPr>
              <w:t>乾元镇苕溪东街1155号</w:t>
            </w:r>
            <w:r>
              <w:rPr>
                <w:color w:val="auto"/>
                <w:szCs w:val="24"/>
                <w:highlight w:val="none"/>
              </w:rPr>
              <w:t>，</w:t>
            </w:r>
            <w:r>
              <w:rPr>
                <w:rFonts w:hint="eastAsia"/>
                <w:color w:val="auto"/>
                <w:szCs w:val="24"/>
                <w:highlight w:val="none"/>
              </w:rPr>
              <w:t>拟通过租用德清扬泰建筑材料有限公司闲置工业厂房进行生产，</w:t>
            </w:r>
            <w:r>
              <w:rPr>
                <w:color w:val="auto"/>
                <w:szCs w:val="24"/>
                <w:highlight w:val="none"/>
              </w:rPr>
              <w:t>项目建设符合</w:t>
            </w:r>
            <w:r>
              <w:rPr>
                <w:rFonts w:hint="eastAsia"/>
                <w:color w:val="auto"/>
                <w:szCs w:val="24"/>
                <w:highlight w:val="none"/>
              </w:rPr>
              <w:t>“</w:t>
            </w:r>
            <w:r>
              <w:rPr>
                <w:color w:val="auto"/>
                <w:szCs w:val="24"/>
                <w:highlight w:val="none"/>
              </w:rPr>
              <w:t>三线一单</w:t>
            </w:r>
            <w:r>
              <w:rPr>
                <w:rFonts w:hint="eastAsia"/>
                <w:color w:val="auto"/>
                <w:szCs w:val="24"/>
                <w:highlight w:val="none"/>
              </w:rPr>
              <w:t>”</w:t>
            </w:r>
            <w:r>
              <w:rPr>
                <w:color w:val="auto"/>
                <w:szCs w:val="24"/>
                <w:highlight w:val="none"/>
              </w:rPr>
              <w:t>要求，符合当地总体规划，符合国家、地方产业政策，选址合理。项目营运过程中产生的各类污染源均能够得到有效控制并做到达标排放，符合总量控制和达标排放的原则，对环境影响不大，环境风险很小</w:t>
            </w:r>
            <w:r>
              <w:rPr>
                <w:rFonts w:hint="eastAsia"/>
                <w:color w:val="auto"/>
                <w:szCs w:val="24"/>
                <w:highlight w:val="none"/>
              </w:rPr>
              <w:t>。</w:t>
            </w:r>
          </w:p>
          <w:p>
            <w:pPr>
              <w:spacing w:line="500" w:lineRule="exact"/>
              <w:ind w:firstLine="480"/>
              <w:rPr>
                <w:color w:val="auto"/>
                <w:szCs w:val="24"/>
                <w:highlight w:val="none"/>
              </w:rPr>
            </w:pPr>
            <w:r>
              <w:rPr>
                <w:color w:val="auto"/>
                <w:szCs w:val="24"/>
                <w:highlight w:val="none"/>
              </w:rPr>
              <w:t>从环保角度看，本项目在所选场址实施是可行的。</w:t>
            </w:r>
          </w:p>
          <w:p>
            <w:pPr>
              <w:ind w:firstLine="482"/>
              <w:rPr>
                <w:b/>
                <w:bCs/>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pStyle w:val="37"/>
              <w:rPr>
                <w:rFonts w:hint="default"/>
                <w:color w:val="auto"/>
                <w:highlight w:val="none"/>
              </w:rPr>
            </w:pPr>
          </w:p>
        </w:tc>
      </w:tr>
    </w:tbl>
    <w:p>
      <w:pPr>
        <w:pStyle w:val="37"/>
        <w:rPr>
          <w:rFonts w:hint="default"/>
          <w:color w:val="auto"/>
          <w:highlight w:val="none"/>
        </w:rPr>
        <w:sectPr>
          <w:pgSz w:w="11906" w:h="16838"/>
          <w:pgMar w:top="1440" w:right="1800" w:bottom="1440" w:left="1800" w:header="851" w:footer="992" w:gutter="0"/>
          <w:cols w:space="720" w:num="1"/>
          <w:docGrid w:type="lines" w:linePitch="312" w:charSpace="0"/>
        </w:sectPr>
      </w:pPr>
    </w:p>
    <w:p>
      <w:pPr>
        <w:pStyle w:val="42"/>
        <w:spacing w:line="500" w:lineRule="exact"/>
        <w:ind w:firstLine="0"/>
        <w:jc w:val="left"/>
        <w:outlineLvl w:val="0"/>
        <w:rPr>
          <w:rFonts w:ascii="Times New Roman" w:hAnsi="Times New Roman" w:eastAsia="宋体"/>
          <w:b/>
          <w:bCs/>
          <w:color w:val="auto"/>
          <w:sz w:val="24"/>
          <w:szCs w:val="24"/>
          <w:highlight w:val="none"/>
        </w:rPr>
      </w:pPr>
      <w:bookmarkStart w:id="23" w:name="_Toc23166"/>
      <w:r>
        <w:rPr>
          <w:rFonts w:hint="eastAsia" w:ascii="Times New Roman" w:hAnsi="Times New Roman" w:eastAsia="宋体"/>
          <w:b/>
          <w:bCs/>
          <w:color w:val="auto"/>
          <w:sz w:val="24"/>
          <w:szCs w:val="24"/>
          <w:highlight w:val="none"/>
        </w:rPr>
        <w:t>附表：建设项目污染物排放量汇总表</w:t>
      </w:r>
      <w:bookmarkEnd w:id="23"/>
    </w:p>
    <w:tbl>
      <w:tblPr>
        <w:tblStyle w:val="30"/>
        <w:tblW w:w="1360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021"/>
        <w:gridCol w:w="1405"/>
        <w:gridCol w:w="1571"/>
        <w:gridCol w:w="1919"/>
        <w:gridCol w:w="2020"/>
        <w:gridCol w:w="1688"/>
        <w:gridCol w:w="1944"/>
        <w:gridCol w:w="11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tcBorders>
              <w:tl2br w:val="single" w:color="auto" w:sz="4" w:space="0"/>
            </w:tcBorders>
            <w:noWrap/>
            <w:tcMar>
              <w:left w:w="28" w:type="dxa"/>
              <w:right w:w="28" w:type="dxa"/>
            </w:tcMar>
            <w:vAlign w:val="center"/>
          </w:tcPr>
          <w:p>
            <w:pPr>
              <w:pStyle w:val="61"/>
              <w:spacing w:line="240" w:lineRule="auto"/>
              <w:ind w:firstLineChars="0"/>
              <w:jc w:val="right"/>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项目</w:t>
            </w:r>
          </w:p>
          <w:p>
            <w:pPr>
              <w:pStyle w:val="61"/>
              <w:spacing w:line="240" w:lineRule="auto"/>
              <w:ind w:firstLineChars="0"/>
              <w:jc w:val="left"/>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分类</w:t>
            </w:r>
          </w:p>
        </w:tc>
        <w:tc>
          <w:tcPr>
            <w:tcW w:w="375" w:type="pct"/>
            <w:noWrap/>
            <w:tcMar>
              <w:left w:w="28" w:type="dxa"/>
              <w:right w:w="28" w:type="dxa"/>
            </w:tcMar>
            <w:vAlign w:val="center"/>
          </w:tcPr>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污染物名称</w:t>
            </w:r>
          </w:p>
        </w:tc>
        <w:tc>
          <w:tcPr>
            <w:tcW w:w="516" w:type="pct"/>
            <w:noWrap/>
            <w:tcMar>
              <w:left w:w="28" w:type="dxa"/>
              <w:right w:w="28" w:type="dxa"/>
            </w:tcMar>
            <w:vAlign w:val="center"/>
          </w:tcPr>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现有工程</w:t>
            </w:r>
          </w:p>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排放量（固体废物产生量）</w:t>
            </w:r>
            <w:r>
              <w:rPr>
                <w:rFonts w:eastAsia="宋体"/>
                <w:snapToGrid w:val="0"/>
                <w:color w:val="auto"/>
                <w:spacing w:val="-6"/>
                <w:kern w:val="21"/>
                <w:sz w:val="21"/>
                <w:szCs w:val="21"/>
                <w:highlight w:val="none"/>
              </w:rPr>
              <w:fldChar w:fldCharType="begin"/>
            </w:r>
            <w:r>
              <w:rPr>
                <w:rFonts w:eastAsia="宋体"/>
                <w:snapToGrid w:val="0"/>
                <w:color w:val="auto"/>
                <w:spacing w:val="-6"/>
                <w:kern w:val="21"/>
                <w:sz w:val="21"/>
                <w:szCs w:val="21"/>
                <w:highlight w:val="none"/>
              </w:rPr>
              <w:instrText xml:space="preserve"> = 1 \* GB3 \* MERGEFORMAT </w:instrText>
            </w:r>
            <w:r>
              <w:rPr>
                <w:rFonts w:eastAsia="宋体"/>
                <w:snapToGrid w:val="0"/>
                <w:color w:val="auto"/>
                <w:spacing w:val="-6"/>
                <w:kern w:val="21"/>
                <w:sz w:val="21"/>
                <w:szCs w:val="21"/>
                <w:highlight w:val="none"/>
              </w:rPr>
              <w:fldChar w:fldCharType="separate"/>
            </w:r>
            <w:r>
              <w:rPr>
                <w:rFonts w:eastAsia="宋体"/>
                <w:color w:val="auto"/>
                <w:sz w:val="21"/>
                <w:szCs w:val="21"/>
                <w:highlight w:val="none"/>
              </w:rPr>
              <w:t>①</w:t>
            </w:r>
            <w:r>
              <w:rPr>
                <w:rFonts w:eastAsia="宋体"/>
                <w:snapToGrid w:val="0"/>
                <w:color w:val="auto"/>
                <w:spacing w:val="-6"/>
                <w:kern w:val="21"/>
                <w:sz w:val="21"/>
                <w:szCs w:val="21"/>
                <w:highlight w:val="none"/>
              </w:rPr>
              <w:fldChar w:fldCharType="end"/>
            </w:r>
          </w:p>
        </w:tc>
        <w:tc>
          <w:tcPr>
            <w:tcW w:w="577" w:type="pct"/>
            <w:noWrap/>
            <w:tcMar>
              <w:left w:w="28" w:type="dxa"/>
              <w:right w:w="28" w:type="dxa"/>
            </w:tcMar>
            <w:vAlign w:val="center"/>
          </w:tcPr>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现有工程</w:t>
            </w:r>
          </w:p>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许可排放量</w:t>
            </w:r>
          </w:p>
          <w:p>
            <w:pPr>
              <w:pStyle w:val="61"/>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fldChar w:fldCharType="begin"/>
            </w:r>
            <w:r>
              <w:rPr>
                <w:rFonts w:eastAsia="宋体"/>
                <w:snapToGrid w:val="0"/>
                <w:color w:val="auto"/>
                <w:spacing w:val="-6"/>
                <w:kern w:val="21"/>
                <w:sz w:val="21"/>
                <w:szCs w:val="21"/>
                <w:highlight w:val="none"/>
              </w:rPr>
              <w:instrText xml:space="preserve"> = 2 \* GB3 \* MERGEFORMAT </w:instrText>
            </w:r>
            <w:r>
              <w:rPr>
                <w:rFonts w:eastAsia="宋体"/>
                <w:snapToGrid w:val="0"/>
                <w:color w:val="auto"/>
                <w:spacing w:val="-6"/>
                <w:kern w:val="21"/>
                <w:sz w:val="21"/>
                <w:szCs w:val="21"/>
                <w:highlight w:val="none"/>
              </w:rPr>
              <w:fldChar w:fldCharType="separate"/>
            </w:r>
            <w:r>
              <w:rPr>
                <w:rFonts w:eastAsia="宋体"/>
                <w:snapToGrid w:val="0"/>
                <w:color w:val="auto"/>
                <w:spacing w:val="-6"/>
                <w:kern w:val="21"/>
                <w:sz w:val="21"/>
                <w:szCs w:val="21"/>
                <w:highlight w:val="none"/>
              </w:rPr>
              <w:t>②</w:t>
            </w:r>
            <w:r>
              <w:rPr>
                <w:rFonts w:eastAsia="宋体"/>
                <w:snapToGrid w:val="0"/>
                <w:color w:val="auto"/>
                <w:spacing w:val="-6"/>
                <w:kern w:val="21"/>
                <w:sz w:val="21"/>
                <w:szCs w:val="21"/>
                <w:highlight w:val="none"/>
              </w:rPr>
              <w:fldChar w:fldCharType="end"/>
            </w:r>
          </w:p>
        </w:tc>
        <w:tc>
          <w:tcPr>
            <w:tcW w:w="705" w:type="pct"/>
            <w:noWrap/>
            <w:tcMar>
              <w:left w:w="28" w:type="dxa"/>
              <w:right w:w="28" w:type="dxa"/>
            </w:tcMar>
            <w:vAlign w:val="center"/>
          </w:tcPr>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在建工程</w:t>
            </w:r>
          </w:p>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排放量（固体废物产生量）</w:t>
            </w:r>
            <w:r>
              <w:rPr>
                <w:rFonts w:eastAsia="宋体"/>
                <w:snapToGrid w:val="0"/>
                <w:color w:val="auto"/>
                <w:spacing w:val="-6"/>
                <w:kern w:val="21"/>
                <w:sz w:val="21"/>
                <w:szCs w:val="21"/>
                <w:highlight w:val="none"/>
              </w:rPr>
              <w:fldChar w:fldCharType="begin"/>
            </w:r>
            <w:r>
              <w:rPr>
                <w:rFonts w:eastAsia="宋体"/>
                <w:snapToGrid w:val="0"/>
                <w:color w:val="auto"/>
                <w:spacing w:val="-6"/>
                <w:kern w:val="21"/>
                <w:sz w:val="21"/>
                <w:szCs w:val="21"/>
                <w:highlight w:val="none"/>
              </w:rPr>
              <w:instrText xml:space="preserve"> = 3 \* GB3 \* MERGEFORMAT </w:instrText>
            </w:r>
            <w:r>
              <w:rPr>
                <w:rFonts w:eastAsia="宋体"/>
                <w:snapToGrid w:val="0"/>
                <w:color w:val="auto"/>
                <w:spacing w:val="-6"/>
                <w:kern w:val="21"/>
                <w:sz w:val="21"/>
                <w:szCs w:val="21"/>
                <w:highlight w:val="none"/>
              </w:rPr>
              <w:fldChar w:fldCharType="separate"/>
            </w:r>
            <w:r>
              <w:rPr>
                <w:rFonts w:eastAsia="宋体"/>
                <w:color w:val="auto"/>
                <w:sz w:val="21"/>
                <w:szCs w:val="21"/>
                <w:highlight w:val="none"/>
              </w:rPr>
              <w:t>③</w:t>
            </w:r>
            <w:r>
              <w:rPr>
                <w:rFonts w:eastAsia="宋体"/>
                <w:snapToGrid w:val="0"/>
                <w:color w:val="auto"/>
                <w:spacing w:val="-6"/>
                <w:kern w:val="21"/>
                <w:sz w:val="21"/>
                <w:szCs w:val="21"/>
                <w:highlight w:val="none"/>
              </w:rPr>
              <w:fldChar w:fldCharType="end"/>
            </w:r>
          </w:p>
        </w:tc>
        <w:tc>
          <w:tcPr>
            <w:tcW w:w="742" w:type="pct"/>
            <w:noWrap/>
            <w:tcMar>
              <w:left w:w="28" w:type="dxa"/>
              <w:right w:w="28" w:type="dxa"/>
            </w:tcMar>
            <w:vAlign w:val="center"/>
          </w:tcPr>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本项目</w:t>
            </w:r>
          </w:p>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排放量（固体废物产生量）</w:t>
            </w:r>
            <w:r>
              <w:rPr>
                <w:rFonts w:eastAsia="宋体"/>
                <w:snapToGrid w:val="0"/>
                <w:color w:val="auto"/>
                <w:spacing w:val="-6"/>
                <w:kern w:val="21"/>
                <w:sz w:val="21"/>
                <w:szCs w:val="21"/>
                <w:highlight w:val="none"/>
              </w:rPr>
              <w:fldChar w:fldCharType="begin"/>
            </w:r>
            <w:r>
              <w:rPr>
                <w:rFonts w:eastAsia="宋体"/>
                <w:snapToGrid w:val="0"/>
                <w:color w:val="auto"/>
                <w:spacing w:val="-6"/>
                <w:kern w:val="21"/>
                <w:sz w:val="21"/>
                <w:szCs w:val="21"/>
                <w:highlight w:val="none"/>
              </w:rPr>
              <w:instrText xml:space="preserve"> = 4 \* GB3 \* MERGEFORMAT </w:instrText>
            </w:r>
            <w:r>
              <w:rPr>
                <w:rFonts w:eastAsia="宋体"/>
                <w:snapToGrid w:val="0"/>
                <w:color w:val="auto"/>
                <w:spacing w:val="-6"/>
                <w:kern w:val="21"/>
                <w:sz w:val="21"/>
                <w:szCs w:val="21"/>
                <w:highlight w:val="none"/>
              </w:rPr>
              <w:fldChar w:fldCharType="separate"/>
            </w:r>
            <w:r>
              <w:rPr>
                <w:rFonts w:eastAsia="宋体"/>
                <w:color w:val="auto"/>
                <w:sz w:val="21"/>
                <w:szCs w:val="21"/>
                <w:highlight w:val="none"/>
              </w:rPr>
              <w:t>④</w:t>
            </w:r>
            <w:r>
              <w:rPr>
                <w:rFonts w:eastAsia="宋体"/>
                <w:snapToGrid w:val="0"/>
                <w:color w:val="auto"/>
                <w:spacing w:val="-6"/>
                <w:kern w:val="21"/>
                <w:sz w:val="21"/>
                <w:szCs w:val="21"/>
                <w:highlight w:val="none"/>
              </w:rPr>
              <w:fldChar w:fldCharType="end"/>
            </w:r>
          </w:p>
        </w:tc>
        <w:tc>
          <w:tcPr>
            <w:tcW w:w="620" w:type="pct"/>
            <w:noWrap/>
            <w:tcMar>
              <w:left w:w="28" w:type="dxa"/>
              <w:right w:w="28" w:type="dxa"/>
            </w:tcMar>
            <w:vAlign w:val="center"/>
          </w:tcPr>
          <w:p>
            <w:pPr>
              <w:pStyle w:val="61"/>
              <w:spacing w:line="240" w:lineRule="auto"/>
              <w:ind w:firstLineChars="0"/>
              <w:jc w:val="center"/>
              <w:rPr>
                <w:rFonts w:eastAsia="宋体"/>
                <w:snapToGrid w:val="0"/>
                <w:color w:val="auto"/>
                <w:spacing w:val="-16"/>
                <w:kern w:val="21"/>
                <w:sz w:val="21"/>
                <w:szCs w:val="21"/>
                <w:highlight w:val="none"/>
              </w:rPr>
            </w:pPr>
            <w:r>
              <w:rPr>
                <w:rFonts w:eastAsia="宋体"/>
                <w:snapToGrid w:val="0"/>
                <w:color w:val="auto"/>
                <w:spacing w:val="-16"/>
                <w:kern w:val="21"/>
                <w:sz w:val="21"/>
                <w:szCs w:val="21"/>
                <w:highlight w:val="none"/>
              </w:rPr>
              <w:t>以新带老削减量</w:t>
            </w:r>
          </w:p>
          <w:p>
            <w:pPr>
              <w:pStyle w:val="61"/>
              <w:spacing w:line="240" w:lineRule="auto"/>
              <w:ind w:firstLineChars="0"/>
              <w:jc w:val="center"/>
              <w:rPr>
                <w:rFonts w:eastAsia="宋体"/>
                <w:snapToGrid w:val="0"/>
                <w:color w:val="auto"/>
                <w:spacing w:val="-16"/>
                <w:kern w:val="21"/>
                <w:sz w:val="21"/>
                <w:szCs w:val="21"/>
                <w:highlight w:val="none"/>
              </w:rPr>
            </w:pPr>
            <w:r>
              <w:rPr>
                <w:rFonts w:eastAsia="宋体"/>
                <w:snapToGrid w:val="0"/>
                <w:color w:val="auto"/>
                <w:spacing w:val="-16"/>
                <w:kern w:val="21"/>
                <w:sz w:val="21"/>
                <w:szCs w:val="21"/>
                <w:highlight w:val="none"/>
              </w:rPr>
              <w:t>（新建项目不填）</w:t>
            </w:r>
            <w:r>
              <w:rPr>
                <w:rFonts w:eastAsia="宋体"/>
                <w:snapToGrid w:val="0"/>
                <w:color w:val="auto"/>
                <w:spacing w:val="-16"/>
                <w:kern w:val="21"/>
                <w:sz w:val="21"/>
                <w:szCs w:val="21"/>
                <w:highlight w:val="none"/>
              </w:rPr>
              <w:fldChar w:fldCharType="begin"/>
            </w:r>
            <w:r>
              <w:rPr>
                <w:rFonts w:eastAsia="宋体"/>
                <w:snapToGrid w:val="0"/>
                <w:color w:val="auto"/>
                <w:spacing w:val="-16"/>
                <w:kern w:val="21"/>
                <w:sz w:val="21"/>
                <w:szCs w:val="21"/>
                <w:highlight w:val="none"/>
              </w:rPr>
              <w:instrText xml:space="preserve"> = 5 \* GB3 \* MERGEFORMAT </w:instrText>
            </w:r>
            <w:r>
              <w:rPr>
                <w:rFonts w:eastAsia="宋体"/>
                <w:snapToGrid w:val="0"/>
                <w:color w:val="auto"/>
                <w:spacing w:val="-16"/>
                <w:kern w:val="21"/>
                <w:sz w:val="21"/>
                <w:szCs w:val="21"/>
                <w:highlight w:val="none"/>
              </w:rPr>
              <w:fldChar w:fldCharType="separate"/>
            </w:r>
            <w:r>
              <w:rPr>
                <w:rFonts w:eastAsia="宋体"/>
                <w:color w:val="auto"/>
                <w:sz w:val="21"/>
                <w:szCs w:val="21"/>
                <w:highlight w:val="none"/>
              </w:rPr>
              <w:t>⑤</w:t>
            </w:r>
            <w:r>
              <w:rPr>
                <w:rFonts w:eastAsia="宋体"/>
                <w:snapToGrid w:val="0"/>
                <w:color w:val="auto"/>
                <w:spacing w:val="-16"/>
                <w:kern w:val="21"/>
                <w:sz w:val="21"/>
                <w:szCs w:val="21"/>
                <w:highlight w:val="none"/>
              </w:rPr>
              <w:fldChar w:fldCharType="end"/>
            </w:r>
          </w:p>
        </w:tc>
        <w:tc>
          <w:tcPr>
            <w:tcW w:w="714" w:type="pct"/>
            <w:noWrap/>
            <w:tcMar>
              <w:left w:w="28" w:type="dxa"/>
              <w:right w:w="28" w:type="dxa"/>
            </w:tcMar>
            <w:vAlign w:val="center"/>
          </w:tcPr>
          <w:p>
            <w:pPr>
              <w:pStyle w:val="61"/>
              <w:spacing w:line="240" w:lineRule="auto"/>
              <w:ind w:firstLineChars="0"/>
              <w:jc w:val="center"/>
              <w:rPr>
                <w:rFonts w:eastAsia="宋体"/>
                <w:snapToGrid w:val="0"/>
                <w:color w:val="auto"/>
                <w:spacing w:val="-16"/>
                <w:kern w:val="21"/>
                <w:sz w:val="21"/>
                <w:szCs w:val="21"/>
                <w:highlight w:val="none"/>
              </w:rPr>
            </w:pPr>
            <w:r>
              <w:rPr>
                <w:rFonts w:eastAsia="宋体"/>
                <w:snapToGrid w:val="0"/>
                <w:color w:val="auto"/>
                <w:spacing w:val="-16"/>
                <w:kern w:val="21"/>
                <w:sz w:val="21"/>
                <w:szCs w:val="21"/>
                <w:highlight w:val="none"/>
              </w:rPr>
              <w:t>本项目建成后</w:t>
            </w:r>
          </w:p>
          <w:p>
            <w:pPr>
              <w:pStyle w:val="61"/>
              <w:spacing w:line="240" w:lineRule="auto"/>
              <w:ind w:firstLineChars="0"/>
              <w:jc w:val="center"/>
              <w:rPr>
                <w:rFonts w:eastAsia="宋体"/>
                <w:snapToGrid w:val="0"/>
                <w:color w:val="auto"/>
                <w:spacing w:val="-16"/>
                <w:kern w:val="21"/>
                <w:sz w:val="21"/>
                <w:szCs w:val="21"/>
                <w:highlight w:val="none"/>
              </w:rPr>
            </w:pPr>
            <w:r>
              <w:rPr>
                <w:rFonts w:eastAsia="宋体"/>
                <w:snapToGrid w:val="0"/>
                <w:color w:val="auto"/>
                <w:spacing w:val="-16"/>
                <w:kern w:val="21"/>
                <w:sz w:val="21"/>
                <w:szCs w:val="21"/>
                <w:highlight w:val="none"/>
              </w:rPr>
              <w:t>全厂排放量（固体废物产生量）</w:t>
            </w:r>
            <w:r>
              <w:rPr>
                <w:rFonts w:eastAsia="宋体"/>
                <w:snapToGrid w:val="0"/>
                <w:color w:val="auto"/>
                <w:spacing w:val="-16"/>
                <w:kern w:val="21"/>
                <w:sz w:val="21"/>
                <w:szCs w:val="21"/>
                <w:highlight w:val="none"/>
              </w:rPr>
              <w:fldChar w:fldCharType="begin"/>
            </w:r>
            <w:r>
              <w:rPr>
                <w:rFonts w:eastAsia="宋体"/>
                <w:snapToGrid w:val="0"/>
                <w:color w:val="auto"/>
                <w:spacing w:val="-16"/>
                <w:kern w:val="21"/>
                <w:sz w:val="21"/>
                <w:szCs w:val="21"/>
                <w:highlight w:val="none"/>
              </w:rPr>
              <w:instrText xml:space="preserve"> = 6 \* GB3 \* MERGEFORMAT </w:instrText>
            </w:r>
            <w:r>
              <w:rPr>
                <w:rFonts w:eastAsia="宋体"/>
                <w:snapToGrid w:val="0"/>
                <w:color w:val="auto"/>
                <w:spacing w:val="-16"/>
                <w:kern w:val="21"/>
                <w:sz w:val="21"/>
                <w:szCs w:val="21"/>
                <w:highlight w:val="none"/>
              </w:rPr>
              <w:fldChar w:fldCharType="separate"/>
            </w:r>
            <w:r>
              <w:rPr>
                <w:rFonts w:eastAsia="宋体"/>
                <w:color w:val="auto"/>
                <w:sz w:val="21"/>
                <w:szCs w:val="21"/>
                <w:highlight w:val="none"/>
              </w:rPr>
              <w:t>⑥</w:t>
            </w:r>
            <w:r>
              <w:rPr>
                <w:rFonts w:eastAsia="宋体"/>
                <w:snapToGrid w:val="0"/>
                <w:color w:val="auto"/>
                <w:spacing w:val="-16"/>
                <w:kern w:val="21"/>
                <w:sz w:val="21"/>
                <w:szCs w:val="21"/>
                <w:highlight w:val="none"/>
              </w:rPr>
              <w:fldChar w:fldCharType="end"/>
            </w:r>
          </w:p>
        </w:tc>
        <w:tc>
          <w:tcPr>
            <w:tcW w:w="435" w:type="pct"/>
            <w:noWrap/>
            <w:tcMar>
              <w:left w:w="28" w:type="dxa"/>
              <w:right w:w="28" w:type="dxa"/>
            </w:tcMar>
            <w:vAlign w:val="center"/>
          </w:tcPr>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t>变化量</w:t>
            </w:r>
          </w:p>
          <w:p>
            <w:pPr>
              <w:pStyle w:val="61"/>
              <w:spacing w:line="240" w:lineRule="auto"/>
              <w:ind w:firstLineChars="0"/>
              <w:jc w:val="center"/>
              <w:rPr>
                <w:rFonts w:eastAsia="宋体"/>
                <w:snapToGrid w:val="0"/>
                <w:color w:val="auto"/>
                <w:spacing w:val="-6"/>
                <w:kern w:val="21"/>
                <w:sz w:val="21"/>
                <w:szCs w:val="21"/>
                <w:highlight w:val="none"/>
              </w:rPr>
            </w:pPr>
            <w:r>
              <w:rPr>
                <w:rFonts w:eastAsia="宋体"/>
                <w:snapToGrid w:val="0"/>
                <w:color w:val="auto"/>
                <w:spacing w:val="-6"/>
                <w:kern w:val="21"/>
                <w:sz w:val="21"/>
                <w:szCs w:val="21"/>
                <w:highlight w:val="none"/>
              </w:rPr>
              <w:fldChar w:fldCharType="begin"/>
            </w:r>
            <w:r>
              <w:rPr>
                <w:rFonts w:eastAsia="宋体"/>
                <w:snapToGrid w:val="0"/>
                <w:color w:val="auto"/>
                <w:spacing w:val="-6"/>
                <w:kern w:val="21"/>
                <w:sz w:val="21"/>
                <w:szCs w:val="21"/>
                <w:highlight w:val="none"/>
              </w:rPr>
              <w:instrText xml:space="preserve"> = 7 \* GB3 \* MERGEFORMAT </w:instrText>
            </w:r>
            <w:r>
              <w:rPr>
                <w:rFonts w:eastAsia="宋体"/>
                <w:snapToGrid w:val="0"/>
                <w:color w:val="auto"/>
                <w:spacing w:val="-6"/>
                <w:kern w:val="21"/>
                <w:sz w:val="21"/>
                <w:szCs w:val="21"/>
                <w:highlight w:val="none"/>
              </w:rPr>
              <w:fldChar w:fldCharType="separate"/>
            </w:r>
            <w:r>
              <w:rPr>
                <w:rFonts w:eastAsia="宋体"/>
                <w:color w:val="auto"/>
                <w:sz w:val="21"/>
                <w:szCs w:val="21"/>
                <w:highlight w:val="none"/>
              </w:rPr>
              <w:t>⑦</w:t>
            </w:r>
            <w:r>
              <w:rPr>
                <w:rFonts w:eastAsia="宋体"/>
                <w:snapToGrid w:val="0"/>
                <w:color w:val="auto"/>
                <w:spacing w:val="-6"/>
                <w:kern w:val="21"/>
                <w:sz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废气</w:t>
            </w:r>
          </w:p>
        </w:tc>
        <w:tc>
          <w:tcPr>
            <w:tcW w:w="375" w:type="pc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516"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noWrap/>
            <w:vAlign w:val="center"/>
          </w:tcPr>
          <w:p>
            <w:pPr>
              <w:pStyle w:val="61"/>
              <w:spacing w:line="240" w:lineRule="auto"/>
              <w:ind w:firstLineChars="0"/>
              <w:jc w:val="center"/>
              <w:rPr>
                <w:rFonts w:hint="eastAsia" w:eastAsia="宋体"/>
                <w:snapToGrid w:val="0"/>
                <w:color w:val="auto"/>
                <w:kern w:val="21"/>
                <w:sz w:val="21"/>
                <w:szCs w:val="21"/>
                <w:highlight w:val="none"/>
                <w:lang w:val="en-US" w:eastAsia="zh-CN"/>
              </w:rPr>
            </w:pPr>
            <w:r>
              <w:rPr>
                <w:rFonts w:hint="eastAsia" w:eastAsia="宋体"/>
                <w:snapToGrid w:val="0"/>
                <w:color w:val="auto"/>
                <w:kern w:val="21"/>
                <w:sz w:val="21"/>
                <w:szCs w:val="21"/>
                <w:highlight w:val="none"/>
                <w:lang w:val="en-US" w:eastAsia="zh-CN"/>
              </w:rPr>
              <w:t>0</w:t>
            </w:r>
          </w:p>
        </w:tc>
        <w:tc>
          <w:tcPr>
            <w:tcW w:w="70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pacing w:line="240" w:lineRule="auto"/>
              <w:ind w:firstLine="0" w:firstLineChars="0"/>
              <w:jc w:val="center"/>
              <w:rPr>
                <w:color w:val="auto"/>
                <w:sz w:val="21"/>
                <w:szCs w:val="21"/>
                <w:highlight w:val="none"/>
              </w:rPr>
            </w:pPr>
            <w:r>
              <w:rPr>
                <w:rFonts w:hint="eastAsia"/>
                <w:color w:val="auto"/>
                <w:kern w:val="0"/>
                <w:sz w:val="21"/>
                <w:szCs w:val="21"/>
                <w:highlight w:val="none"/>
                <w:lang w:val="en-US" w:eastAsia="zh-CN"/>
              </w:rPr>
              <w:t>0.837</w:t>
            </w:r>
            <w:r>
              <w:rPr>
                <w:rFonts w:hint="eastAsia"/>
                <w:color w:val="auto"/>
                <w:kern w:val="0"/>
                <w:sz w:val="21"/>
                <w:szCs w:val="21"/>
                <w:highlight w:val="none"/>
              </w:rPr>
              <w:t>t/a</w:t>
            </w:r>
          </w:p>
        </w:tc>
        <w:tc>
          <w:tcPr>
            <w:tcW w:w="620"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pacing w:line="240" w:lineRule="auto"/>
              <w:ind w:firstLine="0" w:firstLineChars="0"/>
              <w:jc w:val="center"/>
              <w:rPr>
                <w:color w:val="auto"/>
                <w:sz w:val="21"/>
                <w:szCs w:val="21"/>
                <w:highlight w:val="none"/>
              </w:rPr>
            </w:pPr>
            <w:r>
              <w:rPr>
                <w:rFonts w:hint="eastAsia"/>
                <w:color w:val="auto"/>
                <w:kern w:val="0"/>
                <w:sz w:val="21"/>
                <w:szCs w:val="21"/>
                <w:highlight w:val="none"/>
                <w:lang w:val="en-US" w:eastAsia="zh-CN"/>
              </w:rPr>
              <w:t>0.837</w:t>
            </w:r>
            <w:r>
              <w:rPr>
                <w:rFonts w:hint="eastAsia"/>
                <w:color w:val="auto"/>
                <w:kern w:val="0"/>
                <w:sz w:val="21"/>
                <w:szCs w:val="21"/>
                <w:highlight w:val="none"/>
              </w:rPr>
              <w:t>t/a</w:t>
            </w:r>
          </w:p>
        </w:tc>
        <w:tc>
          <w:tcPr>
            <w:tcW w:w="435" w:type="pct"/>
            <w:noWrap/>
            <w:vAlign w:val="center"/>
          </w:tcPr>
          <w:p>
            <w:pPr>
              <w:spacing w:line="240" w:lineRule="auto"/>
              <w:ind w:firstLine="0" w:firstLineChars="0"/>
              <w:jc w:val="center"/>
              <w:rPr>
                <w:color w:val="auto"/>
                <w:sz w:val="21"/>
                <w:szCs w:val="21"/>
                <w:highlight w:val="none"/>
              </w:rPr>
            </w:pPr>
            <w:r>
              <w:rPr>
                <w:rFonts w:hint="eastAsia"/>
                <w:color w:val="auto"/>
                <w:kern w:val="0"/>
                <w:sz w:val="21"/>
                <w:szCs w:val="21"/>
                <w:highlight w:val="none"/>
              </w:rPr>
              <w:t>+</w:t>
            </w:r>
            <w:r>
              <w:rPr>
                <w:rFonts w:hint="eastAsia"/>
                <w:color w:val="auto"/>
                <w:kern w:val="0"/>
                <w:sz w:val="21"/>
                <w:szCs w:val="21"/>
                <w:highlight w:val="none"/>
                <w:lang w:val="en-US" w:eastAsia="zh-CN"/>
              </w:rPr>
              <w:t>0.837</w:t>
            </w:r>
            <w:r>
              <w:rPr>
                <w:rFonts w:hint="eastAsia"/>
                <w:color w:val="auto"/>
                <w:kern w:val="0"/>
                <w:sz w:val="21"/>
                <w:szCs w:val="21"/>
                <w:highlight w:val="none"/>
              </w:rPr>
              <w:t>t</w:t>
            </w:r>
            <w:r>
              <w:rPr>
                <w:color w:val="auto"/>
                <w:kern w:val="0"/>
                <w:sz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restart"/>
            <w:noWrap/>
            <w:vAlign w:val="center"/>
          </w:tcPr>
          <w:p>
            <w:pPr>
              <w:pStyle w:val="61"/>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废水</w:t>
            </w:r>
          </w:p>
        </w:tc>
        <w:tc>
          <w:tcPr>
            <w:tcW w:w="37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eastAsia="宋体"/>
                <w:color w:val="auto"/>
                <w:sz w:val="21"/>
                <w:szCs w:val="21"/>
                <w:highlight w:val="none"/>
              </w:rPr>
              <w:t>污水量</w:t>
            </w:r>
          </w:p>
        </w:tc>
        <w:tc>
          <w:tcPr>
            <w:tcW w:w="516"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noWrap/>
            <w:vAlign w:val="center"/>
          </w:tcPr>
          <w:p>
            <w:pPr>
              <w:pStyle w:val="61"/>
              <w:spacing w:line="240" w:lineRule="auto"/>
              <w:ind w:firstLineChars="0"/>
              <w:jc w:val="center"/>
              <w:rPr>
                <w:rFonts w:hint="eastAsia" w:eastAsia="宋体"/>
                <w:snapToGrid w:val="0"/>
                <w:color w:val="auto"/>
                <w:kern w:val="21"/>
                <w:sz w:val="21"/>
                <w:szCs w:val="21"/>
                <w:highlight w:val="none"/>
                <w:lang w:val="en-US" w:eastAsia="zh-CN"/>
              </w:rPr>
            </w:pPr>
            <w:r>
              <w:rPr>
                <w:rFonts w:hint="eastAsia" w:eastAsia="宋体"/>
                <w:snapToGrid w:val="0"/>
                <w:color w:val="auto"/>
                <w:kern w:val="21"/>
                <w:sz w:val="21"/>
                <w:szCs w:val="21"/>
                <w:highlight w:val="none"/>
                <w:lang w:val="en-US" w:eastAsia="zh-CN"/>
              </w:rPr>
              <w:t>0</w:t>
            </w:r>
          </w:p>
        </w:tc>
        <w:tc>
          <w:tcPr>
            <w:tcW w:w="70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120</w:t>
            </w:r>
            <w:r>
              <w:rPr>
                <w:rFonts w:hint="eastAsia"/>
                <w:color w:val="auto"/>
                <w:kern w:val="0"/>
                <w:sz w:val="21"/>
                <w:szCs w:val="21"/>
                <w:highlight w:val="none"/>
              </w:rPr>
              <w:t>t/a</w:t>
            </w:r>
          </w:p>
        </w:tc>
        <w:tc>
          <w:tcPr>
            <w:tcW w:w="620"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120</w:t>
            </w:r>
            <w:r>
              <w:rPr>
                <w:rFonts w:hint="eastAsia"/>
                <w:color w:val="auto"/>
                <w:kern w:val="0"/>
                <w:sz w:val="21"/>
                <w:szCs w:val="21"/>
                <w:highlight w:val="none"/>
              </w:rPr>
              <w:t>t/a</w:t>
            </w:r>
          </w:p>
        </w:tc>
        <w:tc>
          <w:tcPr>
            <w:tcW w:w="43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+120</w:t>
            </w:r>
            <w:r>
              <w:rPr>
                <w:rFonts w:hint="eastAsia"/>
                <w:color w:val="auto"/>
                <w:kern w:val="0"/>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1"/>
              <w:spacing w:line="240" w:lineRule="auto"/>
              <w:ind w:firstLineChars="0"/>
              <w:jc w:val="center"/>
              <w:rPr>
                <w:rFonts w:eastAsia="宋体"/>
                <w:snapToGrid w:val="0"/>
                <w:color w:val="auto"/>
                <w:kern w:val="21"/>
                <w:sz w:val="21"/>
                <w:szCs w:val="21"/>
                <w:highlight w:val="none"/>
              </w:rPr>
            </w:pPr>
          </w:p>
        </w:tc>
        <w:tc>
          <w:tcPr>
            <w:tcW w:w="37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eastAsia="宋体"/>
                <w:color w:val="auto"/>
                <w:spacing w:val="4"/>
                <w:sz w:val="21"/>
                <w:szCs w:val="21"/>
                <w:highlight w:val="none"/>
              </w:rPr>
              <w:t>COD</w:t>
            </w:r>
            <w:r>
              <w:rPr>
                <w:rFonts w:hint="eastAsia" w:eastAsia="宋体"/>
                <w:color w:val="auto"/>
                <w:spacing w:val="4"/>
                <w:sz w:val="21"/>
                <w:szCs w:val="21"/>
                <w:highlight w:val="none"/>
                <w:vertAlign w:val="subscript"/>
              </w:rPr>
              <w:t>C</w:t>
            </w:r>
            <w:r>
              <w:rPr>
                <w:rFonts w:eastAsia="宋体"/>
                <w:color w:val="auto"/>
                <w:spacing w:val="4"/>
                <w:sz w:val="21"/>
                <w:szCs w:val="21"/>
                <w:highlight w:val="none"/>
                <w:vertAlign w:val="subscript"/>
              </w:rPr>
              <w:t>r</w:t>
            </w:r>
          </w:p>
        </w:tc>
        <w:tc>
          <w:tcPr>
            <w:tcW w:w="516"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noWrap/>
            <w:vAlign w:val="center"/>
          </w:tcPr>
          <w:p>
            <w:pPr>
              <w:pStyle w:val="61"/>
              <w:spacing w:line="240" w:lineRule="auto"/>
              <w:ind w:firstLineChars="0"/>
              <w:jc w:val="center"/>
              <w:rPr>
                <w:rFonts w:hint="eastAsia" w:eastAsia="宋体"/>
                <w:snapToGrid w:val="0"/>
                <w:color w:val="auto"/>
                <w:kern w:val="21"/>
                <w:sz w:val="21"/>
                <w:szCs w:val="21"/>
                <w:highlight w:val="none"/>
                <w:lang w:val="en-US" w:eastAsia="zh-CN"/>
              </w:rPr>
            </w:pPr>
            <w:r>
              <w:rPr>
                <w:rFonts w:hint="eastAsia" w:eastAsia="宋体"/>
                <w:snapToGrid w:val="0"/>
                <w:color w:val="auto"/>
                <w:kern w:val="21"/>
                <w:sz w:val="21"/>
                <w:szCs w:val="21"/>
                <w:highlight w:val="none"/>
                <w:lang w:val="en-US" w:eastAsia="zh-CN"/>
              </w:rPr>
              <w:t>0</w:t>
            </w:r>
          </w:p>
        </w:tc>
        <w:tc>
          <w:tcPr>
            <w:tcW w:w="70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0.006</w:t>
            </w:r>
            <w:r>
              <w:rPr>
                <w:rFonts w:hint="eastAsia"/>
                <w:color w:val="auto"/>
                <w:kern w:val="0"/>
                <w:sz w:val="21"/>
                <w:szCs w:val="21"/>
                <w:highlight w:val="none"/>
              </w:rPr>
              <w:t>t/a</w:t>
            </w:r>
          </w:p>
        </w:tc>
        <w:tc>
          <w:tcPr>
            <w:tcW w:w="620"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0.006</w:t>
            </w:r>
            <w:r>
              <w:rPr>
                <w:rFonts w:hint="eastAsia"/>
                <w:color w:val="auto"/>
                <w:kern w:val="0"/>
                <w:sz w:val="21"/>
                <w:szCs w:val="21"/>
                <w:highlight w:val="none"/>
              </w:rPr>
              <w:t>t/a</w:t>
            </w:r>
          </w:p>
        </w:tc>
        <w:tc>
          <w:tcPr>
            <w:tcW w:w="43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+0.006</w:t>
            </w:r>
            <w:r>
              <w:rPr>
                <w:rFonts w:hint="eastAsia"/>
                <w:color w:val="auto"/>
                <w:kern w:val="0"/>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1"/>
              <w:spacing w:line="240" w:lineRule="auto"/>
              <w:ind w:firstLineChars="0"/>
              <w:rPr>
                <w:rFonts w:eastAsia="宋体"/>
                <w:snapToGrid w:val="0"/>
                <w:color w:val="auto"/>
                <w:kern w:val="21"/>
                <w:sz w:val="21"/>
                <w:szCs w:val="21"/>
                <w:highlight w:val="none"/>
              </w:rPr>
            </w:pPr>
          </w:p>
        </w:tc>
        <w:tc>
          <w:tcPr>
            <w:tcW w:w="37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eastAsia="宋体"/>
                <w:color w:val="auto"/>
                <w:spacing w:val="4"/>
                <w:sz w:val="21"/>
                <w:highlight w:val="none"/>
              </w:rPr>
              <w:t>NH</w:t>
            </w:r>
            <w:r>
              <w:rPr>
                <w:rFonts w:eastAsia="宋体"/>
                <w:color w:val="auto"/>
                <w:spacing w:val="4"/>
                <w:sz w:val="21"/>
                <w:highlight w:val="none"/>
                <w:vertAlign w:val="subscript"/>
              </w:rPr>
              <w:t>3</w:t>
            </w:r>
            <w:r>
              <w:rPr>
                <w:rFonts w:eastAsia="宋体"/>
                <w:color w:val="auto"/>
                <w:spacing w:val="4"/>
                <w:sz w:val="21"/>
                <w:highlight w:val="none"/>
              </w:rPr>
              <w:t>-N</w:t>
            </w:r>
          </w:p>
        </w:tc>
        <w:tc>
          <w:tcPr>
            <w:tcW w:w="516"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noWrap/>
            <w:vAlign w:val="center"/>
          </w:tcPr>
          <w:p>
            <w:pPr>
              <w:pStyle w:val="61"/>
              <w:spacing w:line="240" w:lineRule="auto"/>
              <w:ind w:firstLineChars="0"/>
              <w:jc w:val="center"/>
              <w:rPr>
                <w:rFonts w:hint="eastAsia" w:eastAsia="宋体"/>
                <w:snapToGrid w:val="0"/>
                <w:color w:val="auto"/>
                <w:kern w:val="21"/>
                <w:sz w:val="21"/>
                <w:szCs w:val="21"/>
                <w:highlight w:val="none"/>
                <w:lang w:val="en-US" w:eastAsia="zh-CN"/>
              </w:rPr>
            </w:pPr>
            <w:r>
              <w:rPr>
                <w:rFonts w:hint="eastAsia" w:eastAsia="宋体"/>
                <w:snapToGrid w:val="0"/>
                <w:color w:val="auto"/>
                <w:kern w:val="21"/>
                <w:sz w:val="21"/>
                <w:szCs w:val="21"/>
                <w:highlight w:val="none"/>
                <w:lang w:val="en-US" w:eastAsia="zh-CN"/>
              </w:rPr>
              <w:t>0</w:t>
            </w:r>
          </w:p>
        </w:tc>
        <w:tc>
          <w:tcPr>
            <w:tcW w:w="70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0.001</w:t>
            </w:r>
            <w:r>
              <w:rPr>
                <w:rFonts w:hint="eastAsia"/>
                <w:color w:val="auto"/>
                <w:kern w:val="0"/>
                <w:sz w:val="21"/>
                <w:szCs w:val="21"/>
                <w:highlight w:val="none"/>
              </w:rPr>
              <w:t>t/a</w:t>
            </w:r>
          </w:p>
        </w:tc>
        <w:tc>
          <w:tcPr>
            <w:tcW w:w="620"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0.001</w:t>
            </w:r>
            <w:r>
              <w:rPr>
                <w:rFonts w:hint="eastAsia"/>
                <w:color w:val="auto"/>
                <w:kern w:val="0"/>
                <w:sz w:val="21"/>
                <w:szCs w:val="21"/>
                <w:highlight w:val="none"/>
              </w:rPr>
              <w:t>t/a</w:t>
            </w:r>
          </w:p>
        </w:tc>
        <w:tc>
          <w:tcPr>
            <w:tcW w:w="43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+0.001</w:t>
            </w:r>
            <w:r>
              <w:rPr>
                <w:rFonts w:hint="eastAsia"/>
                <w:color w:val="auto"/>
                <w:kern w:val="0"/>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restart"/>
            <w:noWrap/>
            <w:vAlign w:val="center"/>
          </w:tcPr>
          <w:p>
            <w:pPr>
              <w:pStyle w:val="61"/>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一般</w:t>
            </w:r>
          </w:p>
          <w:p>
            <w:pPr>
              <w:pStyle w:val="61"/>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工业</w:t>
            </w:r>
          </w:p>
          <w:p>
            <w:pPr>
              <w:pStyle w:val="61"/>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固体</w:t>
            </w:r>
          </w:p>
          <w:p>
            <w:pPr>
              <w:pStyle w:val="61"/>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废物</w:t>
            </w:r>
          </w:p>
        </w:tc>
        <w:tc>
          <w:tcPr>
            <w:tcW w:w="375" w:type="pct"/>
            <w:noWrap/>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生活垃圾</w:t>
            </w:r>
          </w:p>
        </w:tc>
        <w:tc>
          <w:tcPr>
            <w:tcW w:w="516"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0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w:t>
            </w:r>
            <w:r>
              <w:rPr>
                <w:color w:val="auto"/>
                <w:sz w:val="21"/>
                <w:szCs w:val="21"/>
                <w:highlight w:val="none"/>
              </w:rPr>
              <w:t>t/a</w:t>
            </w:r>
          </w:p>
        </w:tc>
        <w:tc>
          <w:tcPr>
            <w:tcW w:w="620"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w:t>
            </w:r>
            <w:r>
              <w:rPr>
                <w:color w:val="auto"/>
                <w:sz w:val="21"/>
                <w:szCs w:val="21"/>
                <w:highlight w:val="none"/>
              </w:rPr>
              <w:t>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w:t>
            </w:r>
            <w:r>
              <w:rPr>
                <w:color w:val="auto"/>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1"/>
              <w:spacing w:line="240" w:lineRule="auto"/>
              <w:ind w:firstLineChars="0"/>
              <w:jc w:val="center"/>
              <w:rPr>
                <w:rFonts w:eastAsia="宋体"/>
                <w:snapToGrid w:val="0"/>
                <w:color w:val="auto"/>
                <w:kern w:val="21"/>
                <w:sz w:val="21"/>
                <w:szCs w:val="21"/>
                <w:highlight w:val="none"/>
              </w:rPr>
            </w:pPr>
          </w:p>
        </w:tc>
        <w:tc>
          <w:tcPr>
            <w:tcW w:w="375" w:type="pc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收集的粉尘</w:t>
            </w:r>
          </w:p>
        </w:tc>
        <w:tc>
          <w:tcPr>
            <w:tcW w:w="516"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0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lang w:val="en-US" w:eastAsia="zh-CN"/>
              </w:rPr>
              <w:t>20.512</w:t>
            </w:r>
            <w:r>
              <w:rPr>
                <w:color w:val="auto"/>
                <w:sz w:val="21"/>
                <w:szCs w:val="21"/>
                <w:highlight w:val="none"/>
              </w:rPr>
              <w:t>t/a</w:t>
            </w:r>
          </w:p>
        </w:tc>
        <w:tc>
          <w:tcPr>
            <w:tcW w:w="620"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lang w:val="en-US" w:eastAsia="zh-CN"/>
              </w:rPr>
              <w:t>20.512</w:t>
            </w:r>
            <w:r>
              <w:rPr>
                <w:color w:val="auto"/>
                <w:sz w:val="21"/>
                <w:szCs w:val="21"/>
                <w:highlight w:val="none"/>
              </w:rPr>
              <w:t>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20.512</w:t>
            </w:r>
            <w:r>
              <w:rPr>
                <w:color w:val="auto"/>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1"/>
              <w:spacing w:line="240" w:lineRule="auto"/>
              <w:ind w:firstLineChars="0"/>
              <w:rPr>
                <w:rFonts w:eastAsia="宋体"/>
                <w:snapToGrid w:val="0"/>
                <w:color w:val="auto"/>
                <w:kern w:val="21"/>
                <w:sz w:val="21"/>
                <w:szCs w:val="21"/>
                <w:highlight w:val="none"/>
              </w:rPr>
            </w:pPr>
          </w:p>
        </w:tc>
        <w:tc>
          <w:tcPr>
            <w:tcW w:w="375" w:type="pc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废包装袋</w:t>
            </w:r>
          </w:p>
        </w:tc>
        <w:tc>
          <w:tcPr>
            <w:tcW w:w="516"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05"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c>
          <w:tcPr>
            <w:tcW w:w="620" w:type="pct"/>
            <w:noWrap/>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Align w:val="center"/>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危险</w:t>
            </w:r>
          </w:p>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废物</w:t>
            </w:r>
          </w:p>
        </w:tc>
        <w:tc>
          <w:tcPr>
            <w:tcW w:w="375" w:type="pc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废机油</w:t>
            </w:r>
          </w:p>
        </w:tc>
        <w:tc>
          <w:tcPr>
            <w:tcW w:w="516" w:type="pct"/>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577" w:type="pct"/>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05" w:type="pct"/>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1t</w:t>
            </w:r>
            <w:r>
              <w:rPr>
                <w:color w:val="auto"/>
                <w:sz w:val="21"/>
                <w:szCs w:val="21"/>
                <w:highlight w:val="none"/>
              </w:rPr>
              <w:t>/a</w:t>
            </w:r>
          </w:p>
        </w:tc>
        <w:tc>
          <w:tcPr>
            <w:tcW w:w="620" w:type="pct"/>
          </w:tcPr>
          <w:p>
            <w:pPr>
              <w:pStyle w:val="61"/>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1t</w:t>
            </w:r>
            <w:r>
              <w:rPr>
                <w:color w:val="auto"/>
                <w:sz w:val="21"/>
                <w:szCs w:val="21"/>
                <w:highlight w:val="none"/>
              </w:rPr>
              <w:t>/a</w:t>
            </w:r>
          </w:p>
        </w:tc>
        <w:tc>
          <w:tcPr>
            <w:tcW w:w="435"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+1t</w:t>
            </w:r>
            <w:r>
              <w:rPr>
                <w:color w:val="auto"/>
                <w:sz w:val="21"/>
                <w:szCs w:val="21"/>
                <w:highlight w:val="none"/>
              </w:rPr>
              <w:t>/a</w:t>
            </w:r>
          </w:p>
        </w:tc>
      </w:tr>
    </w:tbl>
    <w:p>
      <w:pPr>
        <w:widowControl/>
        <w:ind w:firstLine="420"/>
        <w:jc w:val="left"/>
        <w:rPr>
          <w:color w:val="auto"/>
          <w:highlight w:val="none"/>
        </w:rPr>
      </w:pPr>
      <w:r>
        <w:rPr>
          <w:rFonts w:hint="eastAsia" w:ascii="宋体" w:hAnsi="宋体" w:cs="宋体"/>
          <w:color w:val="auto"/>
          <w:kern w:val="0"/>
          <w:sz w:val="21"/>
          <w:szCs w:val="21"/>
          <w:highlight w:val="none"/>
        </w:rPr>
        <w:t>注：⑥=①+③+④-⑤；⑦=⑥-①</w:t>
      </w:r>
    </w:p>
    <w:sectPr>
      <w:pgSz w:w="16838" w:h="11906" w:orient="landscape"/>
      <w:pgMar w:top="1803" w:right="1440" w:bottom="1803" w:left="1440" w:header="851" w:footer="992" w:gutter="0"/>
      <w:cols w:space="72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ind w:firstLine="360"/>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23"/>
                      <w:ind w:firstLine="36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ind w:firstLine="360"/>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23"/>
                      <w:ind w:firstLine="360"/>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rPr>
      <w:t>湖州宝丽环境技术有限公司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rFonts w:hint="eastAsia"/>
      </w:rPr>
      <w:t>浙江安捷森建材科技有限公司年产5万吨特种砂浆建设项目环境影响报告表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rFonts w:hint="eastAsia"/>
      </w:rPr>
      <w:t>浙江安捷森建材科技有限公司年产5万吨特种砂浆建设项目环境影响报告表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3AF64"/>
    <w:multiLevelType w:val="singleLevel"/>
    <w:tmpl w:val="E663AF64"/>
    <w:lvl w:ilvl="0" w:tentative="0">
      <w:start w:val="1"/>
      <w:numFmt w:val="bullet"/>
      <w:pStyle w:val="1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B6D"/>
    <w:rsid w:val="00172A27"/>
    <w:rsid w:val="001F20DE"/>
    <w:rsid w:val="002B2AF8"/>
    <w:rsid w:val="002D5FC1"/>
    <w:rsid w:val="00380395"/>
    <w:rsid w:val="00482FD8"/>
    <w:rsid w:val="004C2146"/>
    <w:rsid w:val="005B5B4E"/>
    <w:rsid w:val="006B0559"/>
    <w:rsid w:val="006C3845"/>
    <w:rsid w:val="006E1A71"/>
    <w:rsid w:val="007A7CC9"/>
    <w:rsid w:val="00825EDA"/>
    <w:rsid w:val="008E5844"/>
    <w:rsid w:val="008F46B4"/>
    <w:rsid w:val="009C5624"/>
    <w:rsid w:val="009D3C46"/>
    <w:rsid w:val="00A6722A"/>
    <w:rsid w:val="00AD3BF9"/>
    <w:rsid w:val="00B33180"/>
    <w:rsid w:val="00B40094"/>
    <w:rsid w:val="00BC53C4"/>
    <w:rsid w:val="00BD30F8"/>
    <w:rsid w:val="00DC2B88"/>
    <w:rsid w:val="00DD5F53"/>
    <w:rsid w:val="00E14186"/>
    <w:rsid w:val="00F20270"/>
    <w:rsid w:val="019F0E45"/>
    <w:rsid w:val="022C24BA"/>
    <w:rsid w:val="03D337A7"/>
    <w:rsid w:val="06AF6EEC"/>
    <w:rsid w:val="09655D6A"/>
    <w:rsid w:val="0B1876BE"/>
    <w:rsid w:val="0C024F2C"/>
    <w:rsid w:val="0C373A30"/>
    <w:rsid w:val="0D215220"/>
    <w:rsid w:val="0DF84E75"/>
    <w:rsid w:val="0ED74DF1"/>
    <w:rsid w:val="0F4052F4"/>
    <w:rsid w:val="12CB283C"/>
    <w:rsid w:val="14391ABE"/>
    <w:rsid w:val="147E2938"/>
    <w:rsid w:val="16A01F7F"/>
    <w:rsid w:val="17C04624"/>
    <w:rsid w:val="18A66024"/>
    <w:rsid w:val="18E66EE1"/>
    <w:rsid w:val="19A11717"/>
    <w:rsid w:val="1D6B4069"/>
    <w:rsid w:val="1DFF3651"/>
    <w:rsid w:val="1F7334BE"/>
    <w:rsid w:val="1FCF678E"/>
    <w:rsid w:val="1FEC30A4"/>
    <w:rsid w:val="25934F8C"/>
    <w:rsid w:val="29C478EB"/>
    <w:rsid w:val="2A040E8C"/>
    <w:rsid w:val="2CCE2B6F"/>
    <w:rsid w:val="2D174D11"/>
    <w:rsid w:val="32F87A9F"/>
    <w:rsid w:val="33B25C32"/>
    <w:rsid w:val="36881C39"/>
    <w:rsid w:val="38113309"/>
    <w:rsid w:val="3959190F"/>
    <w:rsid w:val="3AE61153"/>
    <w:rsid w:val="3B022233"/>
    <w:rsid w:val="3ED72A13"/>
    <w:rsid w:val="3F126828"/>
    <w:rsid w:val="3F243839"/>
    <w:rsid w:val="40F94AAE"/>
    <w:rsid w:val="41C02A6A"/>
    <w:rsid w:val="42781D2B"/>
    <w:rsid w:val="428A678B"/>
    <w:rsid w:val="43F24686"/>
    <w:rsid w:val="4504468A"/>
    <w:rsid w:val="450B0825"/>
    <w:rsid w:val="453817FB"/>
    <w:rsid w:val="477704FE"/>
    <w:rsid w:val="4A0532AD"/>
    <w:rsid w:val="4C163BAB"/>
    <w:rsid w:val="4D5B76C6"/>
    <w:rsid w:val="4DEF2826"/>
    <w:rsid w:val="4F447FEE"/>
    <w:rsid w:val="50344C4A"/>
    <w:rsid w:val="51352DAE"/>
    <w:rsid w:val="515834B5"/>
    <w:rsid w:val="51DA5539"/>
    <w:rsid w:val="51EB6942"/>
    <w:rsid w:val="51FA5F40"/>
    <w:rsid w:val="57002A6E"/>
    <w:rsid w:val="57A1267F"/>
    <w:rsid w:val="587C43AC"/>
    <w:rsid w:val="5DB37156"/>
    <w:rsid w:val="5DED29FB"/>
    <w:rsid w:val="5FBB6F2B"/>
    <w:rsid w:val="628E5CC1"/>
    <w:rsid w:val="6348611F"/>
    <w:rsid w:val="665C52C0"/>
    <w:rsid w:val="66CC0A75"/>
    <w:rsid w:val="66F25982"/>
    <w:rsid w:val="67742A66"/>
    <w:rsid w:val="67BB3602"/>
    <w:rsid w:val="69B569CB"/>
    <w:rsid w:val="6AAC1C42"/>
    <w:rsid w:val="6C0A73AA"/>
    <w:rsid w:val="6C142A57"/>
    <w:rsid w:val="6D816972"/>
    <w:rsid w:val="6F7E1063"/>
    <w:rsid w:val="711B6B6A"/>
    <w:rsid w:val="74B734AD"/>
    <w:rsid w:val="7627263E"/>
    <w:rsid w:val="76B12834"/>
    <w:rsid w:val="792B252F"/>
    <w:rsid w:val="7AAE3D06"/>
    <w:rsid w:val="7AB74ADD"/>
    <w:rsid w:val="7B6174F1"/>
    <w:rsid w:val="7B76725B"/>
    <w:rsid w:val="7DFC0F25"/>
    <w:rsid w:val="7E4F57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1"/>
    <w:pPr>
      <w:outlineLvl w:val="1"/>
    </w:pPr>
    <w:rPr>
      <w:rFonts w:ascii="宋体" w:hAnsi="宋体" w:cs="宋体"/>
      <w:b/>
      <w:bCs/>
      <w:szCs w:val="24"/>
      <w:lang w:val="zh-CN" w:bidi="zh-CN"/>
    </w:rPr>
  </w:style>
  <w:style w:type="paragraph" w:styleId="5">
    <w:name w:val="heading 3"/>
    <w:basedOn w:val="1"/>
    <w:next w:val="1"/>
    <w:unhideWhenUsed/>
    <w:qFormat/>
    <w:uiPriority w:val="0"/>
    <w:pPr>
      <w:keepNext/>
      <w:keepLines/>
      <w:jc w:val="left"/>
      <w:outlineLvl w:val="2"/>
    </w:pPr>
    <w:rPr>
      <w:rFonts w:eastAsia="黑体"/>
      <w:bCs/>
      <w:sz w:val="28"/>
      <w:szCs w:val="32"/>
    </w:rPr>
  </w:style>
  <w:style w:type="paragraph" w:styleId="6">
    <w:name w:val="heading 4"/>
    <w:basedOn w:val="1"/>
    <w:next w:val="7"/>
    <w:qFormat/>
    <w:uiPriority w:val="0"/>
    <w:pPr>
      <w:spacing w:line="240" w:lineRule="auto"/>
      <w:ind w:firstLine="0" w:firstLineChars="0"/>
      <w:jc w:val="center"/>
      <w:outlineLvl w:val="3"/>
    </w:pPr>
    <w:rPr>
      <w:sz w:val="21"/>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 w:val="28"/>
    </w:rPr>
  </w:style>
  <w:style w:type="paragraph" w:customStyle="1" w:styleId="7">
    <w:name w:val="表文字52"/>
    <w:basedOn w:val="1"/>
    <w:qFormat/>
    <w:uiPriority w:val="0"/>
    <w:pPr>
      <w:adjustRightInd w:val="0"/>
      <w:jc w:val="left"/>
    </w:pPr>
    <w:rPr>
      <w:rFonts w:ascii="宋体"/>
      <w:kern w:val="0"/>
    </w:rPr>
  </w:style>
  <w:style w:type="paragraph" w:styleId="8">
    <w:name w:val="E-mail Signature"/>
    <w:basedOn w:val="1"/>
    <w:next w:val="9"/>
    <w:qFormat/>
    <w:uiPriority w:val="0"/>
    <w:pPr>
      <w:spacing w:line="460" w:lineRule="exact"/>
      <w:ind w:firstLine="200"/>
    </w:pPr>
  </w:style>
  <w:style w:type="paragraph" w:customStyle="1" w:styleId="9">
    <w:name w:val="文章"/>
    <w:basedOn w:val="10"/>
    <w:next w:val="11"/>
    <w:qFormat/>
    <w:uiPriority w:val="0"/>
    <w:pPr>
      <w:widowControl/>
      <w:ind w:firstLine="480"/>
      <w:jc w:val="center"/>
    </w:pPr>
    <w:rPr>
      <w:sz w:val="26"/>
    </w:rPr>
  </w:style>
  <w:style w:type="paragraph" w:styleId="10">
    <w:name w:val="Body Text Indent"/>
    <w:basedOn w:val="1"/>
    <w:qFormat/>
    <w:uiPriority w:val="0"/>
    <w:pPr>
      <w:spacing w:before="240"/>
      <w:ind w:firstLine="570"/>
    </w:pPr>
    <w:rPr>
      <w:rFonts w:ascii="宋体"/>
      <w:sz w:val="28"/>
    </w:rPr>
  </w:style>
  <w:style w:type="paragraph" w:styleId="11">
    <w:name w:val="List"/>
    <w:basedOn w:val="1"/>
    <w:next w:val="12"/>
    <w:qFormat/>
    <w:uiPriority w:val="0"/>
    <w:pPr>
      <w:ind w:left="200" w:hanging="200" w:hangingChars="200"/>
    </w:pPr>
    <w:rPr>
      <w:sz w:val="21"/>
      <w:szCs w:val="24"/>
    </w:rPr>
  </w:style>
  <w:style w:type="paragraph" w:styleId="12">
    <w:name w:val="List Bullet 2"/>
    <w:basedOn w:val="1"/>
    <w:next w:val="13"/>
    <w:qFormat/>
    <w:uiPriority w:val="0"/>
    <w:pPr>
      <w:numPr>
        <w:ilvl w:val="0"/>
        <w:numId w:val="1"/>
      </w:numPr>
    </w:pPr>
  </w:style>
  <w:style w:type="paragraph" w:customStyle="1" w:styleId="13">
    <w:name w:val="xl70"/>
    <w:basedOn w:val="1"/>
    <w:next w:val="14"/>
    <w:qFormat/>
    <w:uiPriority w:val="0"/>
    <w:pPr>
      <w:widowControl/>
      <w:spacing w:before="280" w:after="280"/>
    </w:pPr>
    <w:rPr>
      <w:rFonts w:ascii="宋体"/>
    </w:rPr>
  </w:style>
  <w:style w:type="paragraph" w:customStyle="1" w:styleId="14">
    <w:name w:val="正文缩进1"/>
    <w:basedOn w:val="1"/>
    <w:next w:val="15"/>
    <w:qFormat/>
    <w:uiPriority w:val="0"/>
    <w:pPr>
      <w:ind w:firstLine="420"/>
    </w:pPr>
    <w:rPr>
      <w:rFonts w:ascii="宋体"/>
      <w:sz w:val="28"/>
    </w:rPr>
  </w:style>
  <w:style w:type="paragraph" w:customStyle="1" w:styleId="15">
    <w:name w:val="td1"/>
    <w:basedOn w:val="1"/>
    <w:next w:val="1"/>
    <w:qFormat/>
    <w:uiPriority w:val="0"/>
    <w:pPr>
      <w:widowControl/>
      <w:spacing w:before="280" w:after="280" w:line="300" w:lineRule="atLeast"/>
      <w:ind w:firstLine="200"/>
    </w:pPr>
    <w:rPr>
      <w:color w:val="000000"/>
      <w:sz w:val="18"/>
    </w:rPr>
  </w:style>
  <w:style w:type="paragraph" w:styleId="16">
    <w:name w:val="annotation text"/>
    <w:basedOn w:val="1"/>
    <w:link w:val="84"/>
    <w:qFormat/>
    <w:uiPriority w:val="0"/>
    <w:pPr>
      <w:ind w:firstLine="0"/>
      <w:jc w:val="left"/>
    </w:pPr>
    <w:rPr>
      <w:sz w:val="21"/>
    </w:rPr>
  </w:style>
  <w:style w:type="paragraph" w:styleId="17">
    <w:name w:val="Body Text"/>
    <w:basedOn w:val="1"/>
    <w:next w:val="18"/>
    <w:qFormat/>
    <w:uiPriority w:val="0"/>
    <w:pPr>
      <w:ind w:firstLine="0"/>
    </w:pPr>
  </w:style>
  <w:style w:type="paragraph" w:customStyle="1" w:styleId="18">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9">
    <w:name w:val="Plain Text"/>
    <w:basedOn w:val="1"/>
    <w:next w:val="20"/>
    <w:qFormat/>
    <w:uiPriority w:val="0"/>
    <w:pPr>
      <w:ind w:firstLine="0"/>
    </w:pPr>
    <w:rPr>
      <w:rFonts w:ascii="宋体" w:hAnsi="Courier New"/>
      <w:sz w:val="28"/>
      <w:szCs w:val="21"/>
    </w:rPr>
  </w:style>
  <w:style w:type="paragraph" w:styleId="20">
    <w:name w:val="toc 1"/>
    <w:basedOn w:val="1"/>
    <w:next w:val="1"/>
    <w:qFormat/>
    <w:uiPriority w:val="39"/>
  </w:style>
  <w:style w:type="paragraph" w:styleId="21">
    <w:name w:val="Body Text Indent 2"/>
    <w:basedOn w:val="1"/>
    <w:qFormat/>
    <w:uiPriority w:val="0"/>
    <w:pPr>
      <w:spacing w:line="312" w:lineRule="auto"/>
      <w:ind w:firstLine="420"/>
    </w:pPr>
    <w:rPr>
      <w:color w:val="FF0000"/>
    </w:rPr>
  </w:style>
  <w:style w:type="paragraph" w:styleId="22">
    <w:name w:val="Balloon Text"/>
    <w:basedOn w:val="1"/>
    <w:link w:val="83"/>
    <w:qFormat/>
    <w:uiPriority w:val="0"/>
    <w:pPr>
      <w:spacing w:line="240" w:lineRule="auto"/>
    </w:pPr>
    <w:rPr>
      <w:sz w:val="18"/>
      <w:szCs w:val="18"/>
    </w:rPr>
  </w:style>
  <w:style w:type="paragraph" w:styleId="23">
    <w:name w:val="footer"/>
    <w:basedOn w:val="1"/>
    <w:qFormat/>
    <w:uiPriority w:val="0"/>
    <w:pPr>
      <w:tabs>
        <w:tab w:val="center" w:pos="4153"/>
        <w:tab w:val="right" w:pos="8306"/>
      </w:tabs>
      <w:snapToGrid w:val="0"/>
      <w:jc w:val="left"/>
    </w:pPr>
    <w:rPr>
      <w:sz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rPr>
  </w:style>
  <w:style w:type="paragraph" w:styleId="25">
    <w:name w:val="toc 2"/>
    <w:basedOn w:val="1"/>
    <w:next w:val="8"/>
    <w:semiHidden/>
    <w:qFormat/>
    <w:uiPriority w:val="0"/>
    <w:pPr>
      <w:ind w:left="300"/>
      <w:jc w:val="left"/>
    </w:pPr>
    <w:rPr>
      <w:smallCaps/>
      <w:sz w:val="20"/>
    </w:rPr>
  </w:style>
  <w:style w:type="paragraph" w:styleId="26">
    <w:name w:val="Normal (Web)"/>
    <w:basedOn w:val="1"/>
    <w:qFormat/>
    <w:uiPriority w:val="0"/>
    <w:pPr>
      <w:widowControl/>
      <w:spacing w:before="100" w:beforeAutospacing="1" w:after="100" w:afterAutospacing="1"/>
      <w:ind w:firstLine="0"/>
      <w:jc w:val="left"/>
    </w:pPr>
    <w:rPr>
      <w:rFonts w:ascii="Arial Unicode MS" w:hAnsi="Arial Unicode MS" w:eastAsia="Times New Roman"/>
      <w:kern w:val="0"/>
      <w:szCs w:val="24"/>
    </w:rPr>
  </w:style>
  <w:style w:type="paragraph" w:styleId="27">
    <w:name w:val="annotation subject"/>
    <w:basedOn w:val="16"/>
    <w:next w:val="16"/>
    <w:link w:val="85"/>
    <w:qFormat/>
    <w:uiPriority w:val="0"/>
    <w:pPr>
      <w:ind w:firstLine="560"/>
    </w:pPr>
    <w:rPr>
      <w:b/>
      <w:bCs/>
      <w:sz w:val="24"/>
    </w:rPr>
  </w:style>
  <w:style w:type="paragraph" w:styleId="28">
    <w:name w:val="Body Text First Indent"/>
    <w:basedOn w:val="17"/>
    <w:qFormat/>
    <w:uiPriority w:val="0"/>
    <w:pPr>
      <w:ind w:firstLine="420" w:firstLineChars="100"/>
    </w:pPr>
    <w:rPr>
      <w:sz w:val="21"/>
    </w:rPr>
  </w:style>
  <w:style w:type="paragraph" w:styleId="29">
    <w:name w:val="Body Text First Indent 2"/>
    <w:basedOn w:val="10"/>
    <w:qFormat/>
    <w:uiPriority w:val="0"/>
    <w:pPr>
      <w:spacing w:line="460" w:lineRule="exact"/>
      <w:ind w:firstLine="2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Hyperlink"/>
    <w:basedOn w:val="32"/>
    <w:qFormat/>
    <w:uiPriority w:val="99"/>
    <w:rPr>
      <w:color w:val="333333"/>
      <w:sz w:val="24"/>
      <w:szCs w:val="24"/>
      <w:u w:val="none"/>
      <w:vertAlign w:val="baseline"/>
    </w:rPr>
  </w:style>
  <w:style w:type="character" w:styleId="36">
    <w:name w:val="annotation reference"/>
    <w:basedOn w:val="32"/>
    <w:qFormat/>
    <w:uiPriority w:val="0"/>
    <w:rPr>
      <w:sz w:val="21"/>
      <w:szCs w:val="21"/>
    </w:rPr>
  </w:style>
  <w:style w:type="paragraph" w:customStyle="1" w:styleId="37">
    <w:name w:val="Default"/>
    <w:basedOn w:val="38"/>
    <w:next w:val="1"/>
    <w:unhideWhenUsed/>
    <w:qFormat/>
    <w:uiPriority w:val="0"/>
    <w:pPr>
      <w:widowControl w:val="0"/>
      <w:autoSpaceDE w:val="0"/>
      <w:autoSpaceDN w:val="0"/>
    </w:pPr>
    <w:rPr>
      <w:rFonts w:hint="eastAsia" w:hAnsi="宋体"/>
      <w:color w:val="000000"/>
    </w:rPr>
  </w:style>
  <w:style w:type="paragraph" w:customStyle="1" w:styleId="38">
    <w:name w:val="纯文本1"/>
    <w:qFormat/>
    <w:uiPriority w:val="0"/>
    <w:pPr>
      <w:adjustRightInd w:val="0"/>
      <w:jc w:val="center"/>
      <w:textAlignment w:val="baseline"/>
    </w:pPr>
    <w:rPr>
      <w:rFonts w:ascii="宋体" w:hAnsi="Courier New" w:eastAsia="宋体" w:cs="Times New Roman"/>
      <w:sz w:val="24"/>
      <w:lang w:val="en-US" w:eastAsia="zh-CN" w:bidi="ar-SA"/>
    </w:rPr>
  </w:style>
  <w:style w:type="paragraph" w:customStyle="1" w:styleId="39">
    <w:name w:val="正文首行缩进2个字 Char"/>
    <w:basedOn w:val="1"/>
    <w:qFormat/>
    <w:uiPriority w:val="0"/>
    <w:pPr>
      <w:ind w:firstLine="480"/>
    </w:pPr>
    <w:rPr>
      <w:rFonts w:eastAsia="楷体"/>
      <w:szCs w:val="24"/>
    </w:rPr>
  </w:style>
  <w:style w:type="paragraph" w:customStyle="1" w:styleId="40">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41">
    <w:name w:val="标题1"/>
    <w:basedOn w:val="1"/>
    <w:qFormat/>
    <w:uiPriority w:val="0"/>
    <w:pPr>
      <w:spacing w:line="300" w:lineRule="auto"/>
      <w:ind w:firstLine="0"/>
      <w:jc w:val="left"/>
      <w:outlineLvl w:val="0"/>
    </w:pPr>
    <w:rPr>
      <w:rFonts w:hAnsi="宋体"/>
      <w:b/>
      <w:color w:val="0000FF"/>
      <w:sz w:val="30"/>
      <w:szCs w:val="24"/>
    </w:rPr>
  </w:style>
  <w:style w:type="paragraph" w:customStyle="1" w:styleId="42">
    <w:name w:val="样式35"/>
    <w:basedOn w:val="43"/>
    <w:next w:val="44"/>
    <w:qFormat/>
    <w:uiPriority w:val="0"/>
    <w:pPr>
      <w:tabs>
        <w:tab w:val="left" w:pos="0"/>
        <w:tab w:val="left" w:pos="360"/>
        <w:tab w:val="left" w:pos="540"/>
        <w:tab w:val="left" w:pos="567"/>
      </w:tabs>
      <w:spacing w:line="312" w:lineRule="auto"/>
      <w:ind w:firstLine="567"/>
    </w:pPr>
    <w:rPr>
      <w:rFonts w:ascii="宋体"/>
      <w:sz w:val="28"/>
    </w:rPr>
  </w:style>
  <w:style w:type="paragraph" w:customStyle="1" w:styleId="43">
    <w:name w:val="表 内容"/>
    <w:basedOn w:val="1"/>
    <w:qFormat/>
    <w:uiPriority w:val="0"/>
    <w:pPr>
      <w:spacing w:line="276" w:lineRule="auto"/>
      <w:ind w:firstLine="0" w:firstLineChars="0"/>
      <w:jc w:val="center"/>
    </w:pPr>
    <w:rPr>
      <w:rFonts w:ascii="仿宋" w:hAnsi="仿宋" w:eastAsia="仿宋"/>
    </w:rPr>
  </w:style>
  <w:style w:type="paragraph" w:customStyle="1" w:styleId="44">
    <w:name w:val="font6"/>
    <w:basedOn w:val="1"/>
    <w:next w:val="25"/>
    <w:qFormat/>
    <w:uiPriority w:val="0"/>
    <w:pPr>
      <w:widowControl/>
      <w:spacing w:before="280" w:after="280"/>
    </w:pPr>
  </w:style>
  <w:style w:type="paragraph" w:customStyle="1" w:styleId="45">
    <w:name w:val="表头"/>
    <w:basedOn w:val="46"/>
    <w:qFormat/>
    <w:uiPriority w:val="0"/>
    <w:pPr>
      <w:keepNext/>
      <w:spacing w:line="240" w:lineRule="auto"/>
    </w:pPr>
    <w:rPr>
      <w:b/>
      <w:bCs/>
    </w:rPr>
  </w:style>
  <w:style w:type="paragraph" w:customStyle="1" w:styleId="46">
    <w:name w:val="表格五号"/>
    <w:basedOn w:val="1"/>
    <w:next w:val="1"/>
    <w:qFormat/>
    <w:uiPriority w:val="0"/>
    <w:pPr>
      <w:spacing w:line="280" w:lineRule="exact"/>
      <w:jc w:val="center"/>
    </w:pPr>
    <w:rPr>
      <w:sz w:val="21"/>
      <w:szCs w:val="21"/>
    </w:rPr>
  </w:style>
  <w:style w:type="paragraph" w:customStyle="1" w:styleId="47">
    <w:name w:val="表中正文"/>
    <w:basedOn w:val="1"/>
    <w:qFormat/>
    <w:uiPriority w:val="0"/>
    <w:pPr>
      <w:tabs>
        <w:tab w:val="left" w:pos="958"/>
        <w:tab w:val="left" w:pos="7320"/>
        <w:tab w:val="left" w:pos="8160"/>
      </w:tabs>
      <w:adjustRightInd w:val="0"/>
      <w:spacing w:line="360" w:lineRule="atLeast"/>
      <w:ind w:right="113"/>
      <w:jc w:val="center"/>
      <w:textAlignment w:val="baseline"/>
    </w:pPr>
    <w:rPr>
      <w:rFonts w:ascii="宋体" w:hAnsi="宋体"/>
      <w:spacing w:val="6"/>
      <w:kern w:val="20"/>
      <w:szCs w:val="24"/>
    </w:rPr>
  </w:style>
  <w:style w:type="character" w:customStyle="1" w:styleId="48">
    <w:name w:val="font31"/>
    <w:basedOn w:val="32"/>
    <w:qFormat/>
    <w:uiPriority w:val="0"/>
    <w:rPr>
      <w:rFonts w:hint="default" w:ascii="Times New Roman" w:hAnsi="Times New Roman" w:cs="Times New Roman"/>
      <w:b/>
      <w:color w:val="000000"/>
      <w:sz w:val="20"/>
      <w:szCs w:val="20"/>
      <w:u w:val="none"/>
    </w:rPr>
  </w:style>
  <w:style w:type="character" w:customStyle="1" w:styleId="49">
    <w:name w:val="font11"/>
    <w:basedOn w:val="32"/>
    <w:qFormat/>
    <w:uiPriority w:val="0"/>
    <w:rPr>
      <w:rFonts w:hint="default" w:ascii="Times New Roman" w:hAnsi="Times New Roman" w:cs="Times New Roman"/>
      <w:color w:val="000000"/>
      <w:sz w:val="20"/>
      <w:szCs w:val="20"/>
      <w:u w:val="none"/>
      <w:vertAlign w:val="subscript"/>
    </w:rPr>
  </w:style>
  <w:style w:type="character" w:customStyle="1" w:styleId="50">
    <w:name w:val="font61"/>
    <w:basedOn w:val="32"/>
    <w:qFormat/>
    <w:uiPriority w:val="0"/>
    <w:rPr>
      <w:rFonts w:hint="default" w:ascii="Times New Roman" w:hAnsi="Times New Roman" w:cs="Times New Roman"/>
      <w:color w:val="000000"/>
      <w:sz w:val="20"/>
      <w:szCs w:val="20"/>
      <w:u w:val="none"/>
    </w:rPr>
  </w:style>
  <w:style w:type="character" w:customStyle="1" w:styleId="51">
    <w:name w:val="font21"/>
    <w:basedOn w:val="32"/>
    <w:qFormat/>
    <w:uiPriority w:val="0"/>
    <w:rPr>
      <w:rFonts w:hint="eastAsia" w:ascii="宋体" w:hAnsi="宋体" w:eastAsia="宋体" w:cs="宋体"/>
      <w:color w:val="000000"/>
      <w:sz w:val="20"/>
      <w:szCs w:val="20"/>
      <w:u w:val="none"/>
    </w:rPr>
  </w:style>
  <w:style w:type="paragraph" w:customStyle="1" w:styleId="52">
    <w:name w:val="Table Paragraph"/>
    <w:basedOn w:val="1"/>
    <w:qFormat/>
    <w:uiPriority w:val="1"/>
    <w:pPr>
      <w:jc w:val="center"/>
    </w:pPr>
    <w:rPr>
      <w:rFonts w:ascii="宋体" w:hAnsi="宋体" w:cs="宋体"/>
      <w:lang w:val="zh-CN" w:bidi="zh-CN"/>
    </w:rPr>
  </w:style>
  <w:style w:type="paragraph" w:customStyle="1" w:styleId="53">
    <w:name w:val="表格、图表名称"/>
    <w:basedOn w:val="1"/>
    <w:qFormat/>
    <w:uiPriority w:val="0"/>
    <w:pPr>
      <w:ind w:firstLine="0" w:firstLineChars="0"/>
      <w:jc w:val="center"/>
    </w:pPr>
    <w:rPr>
      <w:b/>
      <w:kern w:val="0"/>
      <w:szCs w:val="22"/>
    </w:rPr>
  </w:style>
  <w:style w:type="paragraph" w:styleId="54">
    <w:name w:val="List Paragraph"/>
    <w:basedOn w:val="1"/>
    <w:unhideWhenUsed/>
    <w:qFormat/>
    <w:uiPriority w:val="99"/>
    <w:pPr>
      <w:ind w:firstLine="420"/>
    </w:pPr>
  </w:style>
  <w:style w:type="paragraph" w:customStyle="1" w:styleId="55">
    <w:name w:val="表格 32"/>
    <w:basedOn w:val="1"/>
    <w:qFormat/>
    <w:uiPriority w:val="0"/>
    <w:pPr>
      <w:autoSpaceDE w:val="0"/>
      <w:autoSpaceDN w:val="0"/>
      <w:adjustRightInd w:val="0"/>
      <w:ind w:firstLine="0"/>
      <w:jc w:val="center"/>
      <w:textAlignment w:val="baseline"/>
    </w:pPr>
    <w:rPr>
      <w:rFonts w:ascii="宋体" w:hAnsi="Impact"/>
      <w:kern w:val="24"/>
    </w:rPr>
  </w:style>
  <w:style w:type="paragraph" w:customStyle="1" w:styleId="56">
    <w:name w:val="正文1"/>
    <w:basedOn w:val="1"/>
    <w:qFormat/>
    <w:uiPriority w:val="0"/>
    <w:pPr>
      <w:adjustRightInd w:val="0"/>
      <w:ind w:firstLine="0"/>
    </w:pPr>
    <w:rPr>
      <w:rFonts w:eastAsia="楷体_GB2312"/>
    </w:rPr>
  </w:style>
  <w:style w:type="paragraph" w:customStyle="1" w:styleId="57">
    <w:name w:val="表格 23"/>
    <w:basedOn w:val="1"/>
    <w:qFormat/>
    <w:uiPriority w:val="0"/>
    <w:pPr>
      <w:autoSpaceDE w:val="0"/>
      <w:autoSpaceDN w:val="0"/>
      <w:adjustRightInd w:val="0"/>
      <w:ind w:firstLine="0"/>
      <w:jc w:val="center"/>
    </w:pPr>
    <w:rPr>
      <w:rFonts w:eastAsia="仿宋体"/>
      <w:kern w:val="0"/>
      <w:sz w:val="21"/>
    </w:rPr>
  </w:style>
  <w:style w:type="paragraph" w:customStyle="1" w:styleId="58">
    <w:name w:val="表格2"/>
    <w:basedOn w:val="59"/>
    <w:next w:val="1"/>
    <w:qFormat/>
    <w:uiPriority w:val="0"/>
    <w:pPr>
      <w:keepNext/>
    </w:pPr>
    <w:rPr>
      <w:rFonts w:hAnsi="宋体"/>
      <w:kern w:val="0"/>
      <w:position w:val="-28"/>
      <w:sz w:val="21"/>
    </w:rPr>
  </w:style>
  <w:style w:type="paragraph" w:customStyle="1" w:styleId="59">
    <w:name w:val="表格1"/>
    <w:basedOn w:val="1"/>
    <w:next w:val="17"/>
    <w:qFormat/>
    <w:uiPriority w:val="0"/>
    <w:pPr>
      <w:topLinePunct/>
      <w:autoSpaceDE w:val="0"/>
      <w:autoSpaceDN w:val="0"/>
      <w:adjustRightInd w:val="0"/>
      <w:ind w:firstLine="0"/>
      <w:jc w:val="center"/>
      <w:textAlignment w:val="baseline"/>
    </w:pPr>
    <w:rPr>
      <w:rFonts w:ascii="宋体" w:hAnsi="Impact"/>
      <w:kern w:val="24"/>
    </w:rPr>
  </w:style>
  <w:style w:type="paragraph" w:customStyle="1" w:styleId="60">
    <w:name w:val="正 文"/>
    <w:basedOn w:val="1"/>
    <w:qFormat/>
    <w:uiPriority w:val="0"/>
    <w:rPr>
      <w:rFonts w:ascii="仿宋" w:hAnsi="仿宋" w:eastAsia="仿宋"/>
    </w:rPr>
  </w:style>
  <w:style w:type="paragraph" w:customStyle="1" w:styleId="61">
    <w:name w:val="表格"/>
    <w:basedOn w:val="2"/>
    <w:next w:val="1"/>
    <w:qFormat/>
    <w:uiPriority w:val="0"/>
    <w:pPr>
      <w:adjustRightInd w:val="0"/>
      <w:ind w:firstLine="0"/>
      <w:textAlignment w:val="center"/>
    </w:pPr>
    <w:rPr>
      <w:rFonts w:eastAsia="楷体_GB2312"/>
      <w:sz w:val="24"/>
    </w:rPr>
  </w:style>
  <w:style w:type="paragraph" w:customStyle="1" w:styleId="62">
    <w:name w:val="1正文"/>
    <w:basedOn w:val="1"/>
    <w:qFormat/>
    <w:uiPriority w:val="0"/>
    <w:pPr>
      <w:spacing w:line="500" w:lineRule="exact"/>
      <w:ind w:firstLine="200"/>
    </w:pPr>
  </w:style>
  <w:style w:type="paragraph" w:customStyle="1" w:styleId="63">
    <w:name w:val="1表格标题"/>
    <w:basedOn w:val="1"/>
    <w:qFormat/>
    <w:uiPriority w:val="0"/>
    <w:pPr>
      <w:spacing w:line="460" w:lineRule="exact"/>
      <w:jc w:val="center"/>
    </w:pPr>
    <w:rPr>
      <w:b/>
      <w:bCs/>
      <w:sz w:val="21"/>
    </w:rPr>
  </w:style>
  <w:style w:type="table" w:customStyle="1" w:styleId="64">
    <w:name w:val="网格型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5">
    <w:name w:val="样式 Times New Roman 行距: 1.5 倍行距"/>
    <w:basedOn w:val="1"/>
    <w:qFormat/>
    <w:uiPriority w:val="0"/>
    <w:pPr>
      <w:ind w:firstLine="480"/>
    </w:pPr>
    <w:rPr>
      <w:rFonts w:cs="宋体"/>
    </w:rPr>
  </w:style>
  <w:style w:type="paragraph" w:customStyle="1" w:styleId="66">
    <w:name w:val="表"/>
    <w:basedOn w:val="1"/>
    <w:qFormat/>
    <w:uiPriority w:val="0"/>
    <w:pPr>
      <w:snapToGrid w:val="0"/>
      <w:jc w:val="center"/>
    </w:pPr>
    <w:rPr>
      <w:spacing w:val="2"/>
    </w:rPr>
  </w:style>
  <w:style w:type="paragraph" w:customStyle="1" w:styleId="67">
    <w:name w:val="样式9"/>
    <w:basedOn w:val="65"/>
    <w:qFormat/>
    <w:uiPriority w:val="0"/>
    <w:rPr>
      <w:rFonts w:cs="Arial"/>
    </w:rPr>
  </w:style>
  <w:style w:type="paragraph" w:customStyle="1" w:styleId="68">
    <w:name w:val="居中正文"/>
    <w:basedOn w:val="28"/>
    <w:qFormat/>
    <w:uiPriority w:val="0"/>
    <w:pPr>
      <w:adjustRightInd w:val="0"/>
      <w:ind w:firstLine="0" w:firstLineChars="0"/>
      <w:jc w:val="center"/>
      <w:textAlignment w:val="baseline"/>
    </w:pPr>
    <w:rPr>
      <w:rFonts w:ascii="宋体"/>
      <w:kern w:val="28"/>
      <w:sz w:val="24"/>
    </w:rPr>
  </w:style>
  <w:style w:type="paragraph" w:customStyle="1" w:styleId="69">
    <w:name w:val="表格数字"/>
    <w:basedOn w:val="1"/>
    <w:qFormat/>
    <w:uiPriority w:val="0"/>
    <w:pPr>
      <w:spacing w:line="360" w:lineRule="exact"/>
      <w:jc w:val="center"/>
    </w:pPr>
    <w:rPr>
      <w:rFonts w:ascii="Arial" w:hAnsi="Arial" w:cs="宋体"/>
    </w:rPr>
  </w:style>
  <w:style w:type="paragraph" w:customStyle="1" w:styleId="70">
    <w:name w:val="环评正文"/>
    <w:basedOn w:val="1"/>
    <w:qFormat/>
    <w:uiPriority w:val="99"/>
    <w:rPr>
      <w:rFonts w:ascii="宋体" w:hAnsi="宋体" w:cs="宋体"/>
      <w:szCs w:val="24"/>
    </w:rPr>
  </w:style>
  <w:style w:type="character" w:customStyle="1" w:styleId="71">
    <w:name w:val="d1"/>
    <w:basedOn w:val="32"/>
    <w:qFormat/>
    <w:uiPriority w:val="0"/>
    <w:rPr>
      <w:rFonts w:hint="default" w:ascii="Times New Roman" w:hAnsi="Times New Roman"/>
      <w:color w:val="5C5C5C"/>
      <w:sz w:val="23"/>
      <w:szCs w:val="23"/>
      <w:u w:val="none"/>
    </w:rPr>
  </w:style>
  <w:style w:type="character" w:customStyle="1" w:styleId="72">
    <w:name w:val="fontstyle31"/>
    <w:basedOn w:val="32"/>
    <w:qFormat/>
    <w:uiPriority w:val="0"/>
    <w:rPr>
      <w:rFonts w:ascii="Times New Roman" w:hAnsi="Times New Roman" w:eastAsia="Times New Roman" w:cs="Times New Roman"/>
      <w:color w:val="000000"/>
      <w:sz w:val="22"/>
      <w:szCs w:val="22"/>
    </w:rPr>
  </w:style>
  <w:style w:type="character" w:customStyle="1" w:styleId="73">
    <w:name w:val="fontstyle11"/>
    <w:basedOn w:val="32"/>
    <w:qFormat/>
    <w:uiPriority w:val="0"/>
    <w:rPr>
      <w:rFonts w:ascii="宋体" w:hAnsi="宋体" w:eastAsia="宋体" w:cs="宋体"/>
      <w:color w:val="000000"/>
      <w:sz w:val="22"/>
      <w:szCs w:val="22"/>
    </w:rPr>
  </w:style>
  <w:style w:type="paragraph" w:customStyle="1" w:styleId="74">
    <w:name w:val="表格样式"/>
    <w:basedOn w:val="1"/>
    <w:qFormat/>
    <w:uiPriority w:val="99"/>
    <w:pPr>
      <w:jc w:val="center"/>
    </w:pPr>
    <w:rPr>
      <w:rFonts w:ascii="宋体" w:hAnsi="宋体"/>
      <w:b/>
      <w:color w:val="000000"/>
      <w:szCs w:val="24"/>
    </w:rPr>
  </w:style>
  <w:style w:type="paragraph" w:customStyle="1" w:styleId="75">
    <w:name w:val="p17"/>
    <w:basedOn w:val="1"/>
    <w:qFormat/>
    <w:uiPriority w:val="0"/>
    <w:pPr>
      <w:widowControl/>
    </w:pPr>
    <w:rPr>
      <w:rFonts w:ascii="宋体" w:hAnsi="宋体" w:cs="宋体"/>
      <w:kern w:val="0"/>
      <w:sz w:val="28"/>
      <w:szCs w:val="28"/>
    </w:rPr>
  </w:style>
  <w:style w:type="paragraph" w:customStyle="1" w:styleId="76">
    <w:name w:val="正文01"/>
    <w:basedOn w:val="1"/>
    <w:qFormat/>
    <w:uiPriority w:val="0"/>
    <w:pPr>
      <w:ind w:firstLine="482"/>
    </w:pPr>
    <w:rPr>
      <w:szCs w:val="24"/>
    </w:rPr>
  </w:style>
  <w:style w:type="paragraph" w:customStyle="1" w:styleId="77">
    <w:name w:val="Char Char Char Char Char Char Char Char Char Char"/>
    <w:basedOn w:val="1"/>
    <w:qFormat/>
    <w:uiPriority w:val="0"/>
    <w:pPr>
      <w:ind w:firstLine="200"/>
    </w:pPr>
    <w:rPr>
      <w:rFonts w:ascii="宋体" w:hAnsi="宋体" w:cs="宋体"/>
      <w:szCs w:val="24"/>
    </w:rPr>
  </w:style>
  <w:style w:type="paragraph" w:customStyle="1" w:styleId="78">
    <w:name w:val="正文2"/>
    <w:basedOn w:val="1"/>
    <w:qFormat/>
    <w:uiPriority w:val="0"/>
    <w:pPr>
      <w:adjustRightInd w:val="0"/>
      <w:snapToGrid w:val="0"/>
      <w:spacing w:line="440" w:lineRule="atLeast"/>
      <w:ind w:firstLine="567"/>
    </w:pPr>
  </w:style>
  <w:style w:type="paragraph" w:customStyle="1" w:styleId="79">
    <w:name w:val="样式 表头 + 段前: 0.5 行 段后: 0.5 行"/>
    <w:basedOn w:val="1"/>
    <w:qFormat/>
    <w:uiPriority w:val="0"/>
    <w:pPr>
      <w:autoSpaceDE w:val="0"/>
      <w:autoSpaceDN w:val="0"/>
      <w:adjustRightInd w:val="0"/>
      <w:spacing w:before="100" w:beforeAutospacing="1" w:after="100" w:afterAutospacing="1" w:line="480" w:lineRule="exact"/>
      <w:jc w:val="center"/>
    </w:pPr>
    <w:rPr>
      <w:b/>
      <w:bCs/>
      <w:lang w:val="zh-CN"/>
    </w:rPr>
  </w:style>
  <w:style w:type="paragraph" w:customStyle="1" w:styleId="80">
    <w:name w:val="标题3"/>
    <w:basedOn w:val="5"/>
    <w:qFormat/>
    <w:uiPriority w:val="0"/>
    <w:pPr>
      <w:spacing w:line="440" w:lineRule="exact"/>
      <w:ind w:left="646" w:firstLine="400"/>
    </w:pPr>
    <w:rPr>
      <w:rFonts w:ascii="Arial" w:hAnsi="Arial"/>
      <w:sz w:val="24"/>
    </w:rPr>
  </w:style>
  <w:style w:type="paragraph" w:customStyle="1" w:styleId="81">
    <w:name w:val="报告正文-连续目录"/>
    <w:basedOn w:val="1"/>
    <w:qFormat/>
    <w:uiPriority w:val="0"/>
    <w:pPr>
      <w:spacing w:line="440" w:lineRule="exact"/>
      <w:ind w:firstLine="200"/>
    </w:pPr>
    <w:rPr>
      <w:rFonts w:ascii="Arial" w:hAnsi="Arial"/>
      <w:snapToGrid w:val="0"/>
      <w:kern w:val="0"/>
    </w:rPr>
  </w:style>
  <w:style w:type="character" w:customStyle="1" w:styleId="82">
    <w:name w:val="正文-biao Char"/>
    <w:qFormat/>
    <w:uiPriority w:val="0"/>
    <w:rPr>
      <w:rFonts w:hAnsi="宋体" w:eastAsia="宋体"/>
      <w:bCs/>
      <w:kern w:val="2"/>
      <w:sz w:val="24"/>
      <w:szCs w:val="21"/>
      <w:lang w:val="en-US" w:eastAsia="zh-CN" w:bidi="ar-SA"/>
    </w:rPr>
  </w:style>
  <w:style w:type="character" w:customStyle="1" w:styleId="83">
    <w:name w:val="批注框文本 Char"/>
    <w:basedOn w:val="32"/>
    <w:link w:val="22"/>
    <w:qFormat/>
    <w:uiPriority w:val="0"/>
    <w:rPr>
      <w:kern w:val="2"/>
      <w:sz w:val="18"/>
      <w:szCs w:val="18"/>
    </w:rPr>
  </w:style>
  <w:style w:type="character" w:customStyle="1" w:styleId="84">
    <w:name w:val="批注文字 Char"/>
    <w:basedOn w:val="32"/>
    <w:link w:val="16"/>
    <w:qFormat/>
    <w:uiPriority w:val="0"/>
    <w:rPr>
      <w:kern w:val="2"/>
      <w:sz w:val="21"/>
    </w:rPr>
  </w:style>
  <w:style w:type="character" w:customStyle="1" w:styleId="85">
    <w:name w:val="批注主题 Char"/>
    <w:basedOn w:val="84"/>
    <w:link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8.wmf"/><Relationship Id="rId24" Type="http://schemas.openxmlformats.org/officeDocument/2006/relationships/image" Target="media/image7.wmf"/><Relationship Id="rId23" Type="http://schemas.openxmlformats.org/officeDocument/2006/relationships/oleObject" Target="embeddings/oleObject2.bin"/><Relationship Id="rId22" Type="http://schemas.openxmlformats.org/officeDocument/2006/relationships/image" Target="media/image6.wmf"/><Relationship Id="rId21" Type="http://schemas.openxmlformats.org/officeDocument/2006/relationships/oleObject" Target="embeddings/oleObject1.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extobjs>
    <extobj name="ECB019B1-382A-4266-B25C-5B523AA43C14-1">
      <extobjdata type="ECB019B1-382A-4266-B25C-5B523AA43C14" data="ewogICAiRmlsZUlkIiA6ICI4OTYyNDkwMDE1NSIsCiAgICJHcm91cElkIiA6ICIyMDI2MTY2MjAiLAogICAiSW1hZ2UiIDogImlWQk9SdzBLR2dvQUFBQU5TVWhFVWdBQUJTMEFBQVFIQ0FZQUFBQVpOVXliQUFBQUNYQklXWE1BQUFzVEFBQUxFd0VBbXB3WUFBQWdBRWxFUVZSNG5PemRlWHdrWlowLzhFOTF1cXZ2SzBtbmM5L25UR1prZWhCRkVWQlFVWkZEMFVWM3ZSWVVXSFc5RU5mcko3Q3VpdXNLaUxpNHVxRHJCU0kzb2h3aWlod3pRekpYWmliMzFiazY2YVR2dTd2cTkwZTZ4NTZtYzh4TVpqcVQrYnhmcjd3bTlkUlQxVStIa0s3NjF2Tjh2d0F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0FkOGovQnkzNXRCZTdYVitTQUFBQUFFbEZUa1N1UW1DQyIsCiAgICJUaGVtZSIgOiAiIiwKICAgIlR5cGUiIDogImZsb3ciLAogICA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6498</Words>
  <Characters>37039</Characters>
  <Lines>308</Lines>
  <Paragraphs>86</Paragraphs>
  <TotalTime>11</TotalTime>
  <ScaleCrop>false</ScaleCrop>
  <LinksUpToDate>false</LinksUpToDate>
  <CharactersWithSpaces>43451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2021-03-31T00:20:00Z</dcterms:created>
  <dc:creator>晴天</dc:creator>
  <cp:lastModifiedBy>晴天</cp:lastModifiedBy>
  <cp:lastPrinted>2021-08-27T07:37:03Z</cp:lastPrinted>
  <dcterms:modified xsi:type="dcterms:W3CDTF">2021-08-27T10:03:23Z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72114682CD3C48889E33B51A7FCBEC48</vt:lpwstr>
  </property>
</Properties>
</file>