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sz w:val="32"/>
          <w:szCs w:val="32"/>
        </w:rPr>
      </w:pPr>
      <w:r>
        <w:rPr>
          <w:b/>
          <w:bCs/>
          <w:sz w:val="58"/>
        </w:rPr>
        <w:drawing>
          <wp:inline distT="0" distB="0" distL="114300" distR="114300">
            <wp:extent cx="1239520" cy="1139825"/>
            <wp:effectExtent l="0" t="0" r="17780" b="3175"/>
            <wp:docPr id="8" name="图片 8" descr="d6f3a80571c82eed9b606b3614f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6f3a80571c82eed9b606b3614f5312"/>
                    <pic:cNvPicPr>
                      <a:picLocks noChangeAspect="1"/>
                    </pic:cNvPicPr>
                  </pic:nvPicPr>
                  <pic:blipFill>
                    <a:blip r:embed="rId24" cstate="print"/>
                    <a:stretch>
                      <a:fillRect/>
                    </a:stretch>
                  </pic:blipFill>
                  <pic:spPr>
                    <a:xfrm>
                      <a:off x="0" y="0"/>
                      <a:ext cx="1239520" cy="1139825"/>
                    </a:xfrm>
                    <a:prstGeom prst="rect">
                      <a:avLst/>
                    </a:prstGeom>
                  </pic:spPr>
                </pic:pic>
              </a:graphicData>
            </a:graphic>
          </wp:inline>
        </w:drawing>
      </w:r>
    </w:p>
    <w:p>
      <w:pPr>
        <w:jc w:val="center"/>
        <w:rPr>
          <w:rFonts w:hAnsi="宋体"/>
          <w:b/>
          <w:bCs/>
          <w:sz w:val="72"/>
          <w:szCs w:val="72"/>
        </w:rPr>
      </w:pPr>
    </w:p>
    <w:p>
      <w:pPr>
        <w:jc w:val="center"/>
        <w:rPr>
          <w:b/>
          <w:bCs/>
          <w:kern w:val="24"/>
          <w:sz w:val="72"/>
          <w:szCs w:val="72"/>
        </w:rPr>
      </w:pPr>
      <w:r>
        <w:rPr>
          <w:rFonts w:hAnsi="宋体"/>
          <w:b/>
          <w:bCs/>
          <w:sz w:val="72"/>
          <w:szCs w:val="72"/>
        </w:rPr>
        <w:t>建设项目环境影响报告表</w:t>
      </w:r>
    </w:p>
    <w:p>
      <w:pPr>
        <w:spacing w:line="700" w:lineRule="exact"/>
        <w:ind w:firstLine="312" w:firstLineChars="149"/>
        <w:jc w:val="both"/>
      </w:pPr>
    </w:p>
    <w:p>
      <w:pPr>
        <w:spacing w:line="700" w:lineRule="exact"/>
        <w:jc w:val="center"/>
        <w:rPr>
          <w:b w:val="0"/>
          <w:bCs w:val="0"/>
          <w:sz w:val="48"/>
          <w:szCs w:val="48"/>
        </w:rPr>
      </w:pPr>
      <w:r>
        <w:rPr>
          <w:rFonts w:hAnsi="宋体"/>
          <w:b w:val="0"/>
          <w:bCs w:val="0"/>
          <w:sz w:val="48"/>
          <w:szCs w:val="48"/>
        </w:rPr>
        <w:t>（污染影响类）</w:t>
      </w:r>
    </w:p>
    <w:p>
      <w:pPr>
        <w:pStyle w:val="39"/>
        <w:ind w:firstLine="482"/>
      </w:pPr>
    </w:p>
    <w:p>
      <w:pPr>
        <w:pStyle w:val="39"/>
        <w:ind w:firstLine="482"/>
      </w:pPr>
    </w:p>
    <w:p>
      <w:pPr>
        <w:pStyle w:val="39"/>
        <w:ind w:firstLine="482"/>
      </w:pPr>
    </w:p>
    <w:tbl>
      <w:tblPr>
        <w:tblStyle w:val="40"/>
        <w:tblpPr w:leftFromText="180" w:rightFromText="180" w:vertAnchor="text" w:horzAnchor="page" w:tblpX="1885" w:tblpY="749"/>
        <w:tblOverlap w:val="never"/>
        <w:tblW w:w="0" w:type="auto"/>
        <w:jc w:val="center"/>
        <w:tblLayout w:type="fixed"/>
        <w:tblCellMar>
          <w:top w:w="0" w:type="dxa"/>
          <w:left w:w="108" w:type="dxa"/>
          <w:bottom w:w="0" w:type="dxa"/>
          <w:right w:w="108" w:type="dxa"/>
        </w:tblCellMar>
      </w:tblPr>
      <w:tblGrid>
        <w:gridCol w:w="2376"/>
        <w:gridCol w:w="6128"/>
      </w:tblGrid>
      <w:tr>
        <w:tblPrEx>
          <w:tblCellMar>
            <w:top w:w="0" w:type="dxa"/>
            <w:left w:w="108" w:type="dxa"/>
            <w:bottom w:w="0" w:type="dxa"/>
            <w:right w:w="108" w:type="dxa"/>
          </w:tblCellMar>
        </w:tblPrEx>
        <w:trPr>
          <w:trHeight w:val="737" w:hRule="atLeast"/>
          <w:jc w:val="center"/>
        </w:trPr>
        <w:tc>
          <w:tcPr>
            <w:tcW w:w="2376" w:type="dxa"/>
            <w:noWrap/>
            <w:vAlign w:val="center"/>
          </w:tcPr>
          <w:p>
            <w:pPr>
              <w:keepNext w:val="0"/>
              <w:keepLines w:val="0"/>
              <w:pageBreakBefore w:val="0"/>
              <w:widowControl w:val="0"/>
              <w:kinsoku/>
              <w:wordWrap/>
              <w:overflowPunct/>
              <w:topLinePunct w:val="0"/>
              <w:autoSpaceDE/>
              <w:autoSpaceDN/>
              <w:bidi w:val="0"/>
              <w:adjustRightInd/>
              <w:snapToGrid/>
              <w:jc w:val="distribute"/>
              <w:textAlignment w:val="auto"/>
              <w:rPr>
                <w:b w:val="0"/>
                <w:bCs w:val="0"/>
                <w:spacing w:val="20"/>
                <w:sz w:val="32"/>
                <w:szCs w:val="32"/>
              </w:rPr>
            </w:pPr>
            <w:r>
              <w:rPr>
                <w:rFonts w:hAnsi="宋体"/>
                <w:b w:val="0"/>
                <w:bCs w:val="0"/>
                <w:spacing w:val="20"/>
                <w:sz w:val="32"/>
                <w:szCs w:val="32"/>
              </w:rPr>
              <w:t>项目名称</w:t>
            </w:r>
            <w:r>
              <w:rPr>
                <w:b w:val="0"/>
                <w:bCs w:val="0"/>
                <w:spacing w:val="20"/>
                <w:sz w:val="32"/>
                <w:szCs w:val="32"/>
              </w:rPr>
              <w:t>:</w:t>
            </w:r>
          </w:p>
        </w:tc>
        <w:tc>
          <w:tcPr>
            <w:tcW w:w="6128"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distribute"/>
              <w:textAlignment w:val="auto"/>
              <w:rPr>
                <w:rFonts w:hint="eastAsia" w:eastAsia="宋体"/>
                <w:b w:val="0"/>
                <w:bCs w:val="0"/>
                <w:kern w:val="0"/>
                <w:sz w:val="32"/>
                <w:szCs w:val="32"/>
                <w:u w:val="single"/>
                <w:lang w:eastAsia="zh-CN"/>
              </w:rPr>
            </w:pPr>
            <w:r>
              <w:rPr>
                <w:rFonts w:hint="eastAsia" w:hAnsi="宋体"/>
                <w:b w:val="0"/>
                <w:bCs w:val="0"/>
                <w:sz w:val="32"/>
                <w:szCs w:val="32"/>
                <w:u w:val="single"/>
                <w:lang w:eastAsia="zh-CN"/>
              </w:rPr>
              <w:t>年产高档纺织面料3800万米、家纺四件套10万套建设项目</w:t>
            </w:r>
          </w:p>
        </w:tc>
      </w:tr>
      <w:tr>
        <w:tblPrEx>
          <w:tblCellMar>
            <w:top w:w="0" w:type="dxa"/>
            <w:left w:w="108" w:type="dxa"/>
            <w:bottom w:w="0" w:type="dxa"/>
            <w:right w:w="108" w:type="dxa"/>
          </w:tblCellMar>
        </w:tblPrEx>
        <w:trPr>
          <w:trHeight w:val="737" w:hRule="atLeast"/>
          <w:jc w:val="center"/>
        </w:trPr>
        <w:tc>
          <w:tcPr>
            <w:tcW w:w="2376" w:type="dxa"/>
            <w:noWrap/>
            <w:vAlign w:val="center"/>
          </w:tcPr>
          <w:p>
            <w:pPr>
              <w:keepNext w:val="0"/>
              <w:keepLines w:val="0"/>
              <w:pageBreakBefore w:val="0"/>
              <w:widowControl w:val="0"/>
              <w:kinsoku/>
              <w:wordWrap/>
              <w:overflowPunct/>
              <w:topLinePunct w:val="0"/>
              <w:autoSpaceDE/>
              <w:autoSpaceDN/>
              <w:bidi w:val="0"/>
              <w:adjustRightInd/>
              <w:snapToGrid/>
              <w:jc w:val="distribute"/>
              <w:textAlignment w:val="auto"/>
              <w:rPr>
                <w:rFonts w:hAnsi="宋体"/>
                <w:b w:val="0"/>
                <w:bCs w:val="0"/>
                <w:spacing w:val="20"/>
                <w:sz w:val="32"/>
                <w:szCs w:val="32"/>
              </w:rPr>
            </w:pPr>
            <w:r>
              <w:rPr>
                <w:rFonts w:hAnsi="宋体"/>
                <w:b w:val="0"/>
                <w:bCs w:val="0"/>
                <w:spacing w:val="20"/>
                <w:sz w:val="32"/>
                <w:szCs w:val="32"/>
              </w:rPr>
              <w:t>建设单位</w:t>
            </w:r>
          </w:p>
          <w:p>
            <w:pPr>
              <w:keepNext w:val="0"/>
              <w:keepLines w:val="0"/>
              <w:pageBreakBefore w:val="0"/>
              <w:widowControl w:val="0"/>
              <w:kinsoku/>
              <w:wordWrap/>
              <w:overflowPunct/>
              <w:topLinePunct w:val="0"/>
              <w:autoSpaceDE/>
              <w:autoSpaceDN/>
              <w:bidi w:val="0"/>
              <w:adjustRightInd/>
              <w:snapToGrid/>
              <w:jc w:val="distribute"/>
              <w:textAlignment w:val="auto"/>
              <w:rPr>
                <w:b w:val="0"/>
                <w:bCs w:val="0"/>
                <w:spacing w:val="20"/>
                <w:sz w:val="32"/>
                <w:szCs w:val="32"/>
              </w:rPr>
            </w:pPr>
            <w:r>
              <w:rPr>
                <w:rFonts w:hAnsi="宋体"/>
                <w:b w:val="0"/>
                <w:bCs w:val="0"/>
                <w:spacing w:val="20"/>
                <w:sz w:val="32"/>
                <w:szCs w:val="32"/>
              </w:rPr>
              <w:t>（盖章）</w:t>
            </w:r>
            <w:r>
              <w:rPr>
                <w:b w:val="0"/>
                <w:bCs w:val="0"/>
                <w:spacing w:val="20"/>
                <w:sz w:val="32"/>
                <w:szCs w:val="32"/>
              </w:rPr>
              <w:t>:</w:t>
            </w:r>
          </w:p>
        </w:tc>
        <w:tc>
          <w:tcPr>
            <w:tcW w:w="6128"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distribute"/>
              <w:textAlignment w:val="auto"/>
              <w:rPr>
                <w:rFonts w:hint="eastAsia" w:eastAsia="宋体"/>
                <w:b w:val="0"/>
                <w:bCs w:val="0"/>
                <w:kern w:val="0"/>
                <w:sz w:val="32"/>
                <w:szCs w:val="32"/>
                <w:u w:val="single"/>
                <w:lang w:eastAsia="zh-CN"/>
              </w:rPr>
            </w:pPr>
            <w:r>
              <w:rPr>
                <w:rFonts w:hint="eastAsia" w:hAnsi="宋体"/>
                <w:b w:val="0"/>
                <w:bCs w:val="0"/>
                <w:sz w:val="32"/>
                <w:szCs w:val="32"/>
                <w:u w:val="single"/>
                <w:lang w:eastAsia="zh-CN"/>
              </w:rPr>
              <w:t>长兴钱宇纺织有限公司</w:t>
            </w:r>
          </w:p>
        </w:tc>
      </w:tr>
      <w:tr>
        <w:tblPrEx>
          <w:tblCellMar>
            <w:top w:w="0" w:type="dxa"/>
            <w:left w:w="108" w:type="dxa"/>
            <w:bottom w:w="0" w:type="dxa"/>
            <w:right w:w="108" w:type="dxa"/>
          </w:tblCellMar>
        </w:tblPrEx>
        <w:trPr>
          <w:trHeight w:val="737" w:hRule="atLeast"/>
          <w:jc w:val="center"/>
        </w:trPr>
        <w:tc>
          <w:tcPr>
            <w:tcW w:w="2376" w:type="dxa"/>
            <w:noWrap/>
            <w:vAlign w:val="center"/>
          </w:tcPr>
          <w:p>
            <w:pPr>
              <w:keepNext w:val="0"/>
              <w:keepLines w:val="0"/>
              <w:pageBreakBefore w:val="0"/>
              <w:widowControl w:val="0"/>
              <w:kinsoku/>
              <w:wordWrap/>
              <w:overflowPunct/>
              <w:topLinePunct w:val="0"/>
              <w:autoSpaceDE/>
              <w:autoSpaceDN/>
              <w:bidi w:val="0"/>
              <w:adjustRightInd/>
              <w:snapToGrid/>
              <w:jc w:val="distribute"/>
              <w:textAlignment w:val="auto"/>
              <w:rPr>
                <w:b w:val="0"/>
                <w:bCs w:val="0"/>
                <w:spacing w:val="20"/>
                <w:sz w:val="32"/>
                <w:szCs w:val="32"/>
              </w:rPr>
            </w:pPr>
            <w:r>
              <w:rPr>
                <w:rFonts w:hAnsi="宋体"/>
                <w:b w:val="0"/>
                <w:bCs w:val="0"/>
                <w:spacing w:val="20"/>
                <w:sz w:val="32"/>
                <w:szCs w:val="32"/>
              </w:rPr>
              <w:t>编制日期</w:t>
            </w:r>
            <w:r>
              <w:rPr>
                <w:b w:val="0"/>
                <w:bCs w:val="0"/>
                <w:spacing w:val="20"/>
                <w:sz w:val="32"/>
                <w:szCs w:val="32"/>
              </w:rPr>
              <w:t>:</w:t>
            </w:r>
          </w:p>
        </w:tc>
        <w:tc>
          <w:tcPr>
            <w:tcW w:w="6128"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distribute"/>
              <w:textAlignment w:val="auto"/>
              <w:rPr>
                <w:b w:val="0"/>
                <w:bCs w:val="0"/>
                <w:spacing w:val="-11"/>
                <w:kern w:val="0"/>
                <w:sz w:val="32"/>
                <w:szCs w:val="32"/>
                <w:u w:val="single"/>
              </w:rPr>
            </w:pPr>
            <w:r>
              <w:rPr>
                <w:rFonts w:hAnsi="宋体"/>
                <w:b w:val="0"/>
                <w:bCs w:val="0"/>
                <w:spacing w:val="9"/>
                <w:kern w:val="0"/>
                <w:sz w:val="32"/>
                <w:szCs w:val="32"/>
                <w:u w:val="single"/>
              </w:rPr>
              <w:t>二〇二二年</w:t>
            </w:r>
            <w:r>
              <w:rPr>
                <w:rFonts w:hint="eastAsia" w:hAnsi="宋体"/>
                <w:b w:val="0"/>
                <w:bCs w:val="0"/>
                <w:spacing w:val="9"/>
                <w:kern w:val="0"/>
                <w:sz w:val="32"/>
                <w:szCs w:val="32"/>
                <w:u w:val="single"/>
                <w:lang w:eastAsia="zh-CN"/>
              </w:rPr>
              <w:t>九</w:t>
            </w:r>
            <w:r>
              <w:rPr>
                <w:rFonts w:hAnsi="宋体"/>
                <w:b w:val="0"/>
                <w:bCs w:val="0"/>
                <w:spacing w:val="9"/>
                <w:kern w:val="0"/>
                <w:sz w:val="32"/>
                <w:szCs w:val="32"/>
                <w:u w:val="single"/>
              </w:rPr>
              <w:t>月</w:t>
            </w:r>
          </w:p>
        </w:tc>
      </w:tr>
    </w:tbl>
    <w:p>
      <w:pPr>
        <w:spacing w:line="360" w:lineRule="auto"/>
        <w:rPr>
          <w:b/>
          <w:bCs/>
          <w:sz w:val="32"/>
          <w:szCs w:val="32"/>
        </w:rPr>
      </w:pPr>
    </w:p>
    <w:p>
      <w:pPr>
        <w:adjustRightInd w:val="0"/>
        <w:snapToGrid w:val="0"/>
        <w:jc w:val="center"/>
        <w:rPr>
          <w:b/>
          <w:bCs/>
          <w:sz w:val="32"/>
          <w:szCs w:val="32"/>
        </w:rPr>
      </w:pPr>
    </w:p>
    <w:p>
      <w:pPr>
        <w:adjustRightInd w:val="0"/>
        <w:snapToGrid w:val="0"/>
        <w:rPr>
          <w:b/>
          <w:bCs/>
          <w:sz w:val="32"/>
          <w:szCs w:val="32"/>
        </w:rPr>
      </w:pPr>
    </w:p>
    <w:p>
      <w:pPr>
        <w:adjustRightInd w:val="0"/>
        <w:snapToGrid w:val="0"/>
        <w:jc w:val="center"/>
        <w:rPr>
          <w:b/>
          <w:bCs/>
          <w:sz w:val="32"/>
          <w:szCs w:val="32"/>
        </w:rPr>
      </w:pPr>
    </w:p>
    <w:p>
      <w:pPr>
        <w:adjustRightInd w:val="0"/>
        <w:snapToGrid w:val="0"/>
        <w:jc w:val="both"/>
        <w:rPr>
          <w:rFonts w:hint="eastAsia"/>
          <w:b/>
          <w:bCs/>
          <w:sz w:val="32"/>
          <w:szCs w:val="32"/>
          <w:lang w:eastAsia="zh-CN"/>
        </w:rPr>
      </w:pPr>
    </w:p>
    <w:p>
      <w:pPr>
        <w:adjustRightInd w:val="0"/>
        <w:snapToGrid w:val="0"/>
        <w:jc w:val="both"/>
        <w:rPr>
          <w:rFonts w:hint="eastAsia"/>
          <w:b/>
          <w:bCs/>
          <w:sz w:val="32"/>
          <w:szCs w:val="32"/>
          <w:lang w:eastAsia="zh-CN"/>
        </w:rPr>
      </w:pPr>
    </w:p>
    <w:p>
      <w:pPr>
        <w:adjustRightInd w:val="0"/>
        <w:snapToGrid w:val="0"/>
        <w:jc w:val="center"/>
        <w:rPr>
          <w:rFonts w:hint="eastAsia" w:eastAsia="宋体"/>
          <w:b/>
          <w:bCs/>
          <w:sz w:val="32"/>
          <w:szCs w:val="32"/>
          <w:lang w:eastAsia="zh-CN"/>
        </w:rPr>
      </w:pPr>
    </w:p>
    <w:p>
      <w:pPr>
        <w:adjustRightInd w:val="0"/>
        <w:snapToGrid w:val="0"/>
        <w:jc w:val="center"/>
        <w:rPr>
          <w:b/>
          <w:bCs/>
          <w:sz w:val="32"/>
          <w:szCs w:val="32"/>
        </w:rPr>
      </w:pPr>
    </w:p>
    <w:p>
      <w:pPr>
        <w:adjustRightInd w:val="0"/>
        <w:snapToGrid w:val="0"/>
        <w:jc w:val="center"/>
        <w:rPr>
          <w:b/>
          <w:bCs/>
          <w:sz w:val="32"/>
          <w:szCs w:val="32"/>
        </w:rPr>
      </w:pPr>
      <w:r>
        <w:rPr>
          <w:rFonts w:hAnsi="宋体"/>
          <w:b/>
          <w:bCs/>
          <w:sz w:val="32"/>
          <w:szCs w:val="32"/>
        </w:rPr>
        <w:t>中华人民共和国生态环境部制</w:t>
      </w:r>
    </w:p>
    <w:p>
      <w:pPr>
        <w:spacing w:line="360" w:lineRule="auto"/>
        <w:jc w:val="both"/>
        <w:rPr>
          <w:b/>
          <w:sz w:val="36"/>
          <w:szCs w:val="36"/>
        </w:rPr>
      </w:pPr>
    </w:p>
    <w:p>
      <w:pPr>
        <w:spacing w:line="360" w:lineRule="auto"/>
        <w:jc w:val="center"/>
        <w:rPr>
          <w:b/>
          <w:sz w:val="36"/>
          <w:szCs w:val="36"/>
        </w:rPr>
        <w:sectPr>
          <w:headerReference r:id="rId3" w:type="default"/>
          <w:headerReference r:id="rId4" w:type="even"/>
          <w:footerReference r:id="rId5" w:type="even"/>
          <w:pgSz w:w="11906" w:h="16838"/>
          <w:pgMar w:top="1588" w:right="1418" w:bottom="1418" w:left="1418" w:header="1134" w:footer="1134" w:gutter="0"/>
          <w:pgBorders>
            <w:top w:val="none" w:sz="0" w:space="0"/>
            <w:left w:val="none" w:sz="0" w:space="0"/>
            <w:bottom w:val="none" w:sz="0" w:space="0"/>
            <w:right w:val="none" w:sz="0" w:space="0"/>
          </w:pgBorders>
          <w:pgNumType w:start="1"/>
          <w:cols w:space="720" w:num="1"/>
          <w:docGrid w:linePitch="312" w:charSpace="0"/>
        </w:sectPr>
      </w:pPr>
    </w:p>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spacing w:line="360" w:lineRule="auto"/>
        <w:jc w:val="center"/>
        <w:rPr>
          <w:b/>
          <w:sz w:val="36"/>
          <w:szCs w:val="36"/>
        </w:rPr>
      </w:pPr>
    </w:p>
    <w:p>
      <w:pPr>
        <w:pStyle w:val="39"/>
        <w:ind w:firstLine="0" w:firstLineChars="0"/>
      </w:pPr>
    </w:p>
    <w:p>
      <w:pPr>
        <w:pStyle w:val="39"/>
        <w:ind w:firstLine="482"/>
      </w:pPr>
    </w:p>
    <w:p>
      <w:pPr>
        <w:pStyle w:val="39"/>
        <w:ind w:firstLine="482"/>
      </w:pPr>
    </w:p>
    <w:p>
      <w:pPr>
        <w:pStyle w:val="39"/>
        <w:ind w:firstLine="482"/>
      </w:pPr>
    </w:p>
    <w:p>
      <w:pPr>
        <w:pStyle w:val="22"/>
        <w:rPr>
          <w:rFonts w:ascii="Times New Roman" w:hAnsi="Times New Roman" w:cs="Times New Roman"/>
        </w:rPr>
        <w:sectPr>
          <w:footerReference r:id="rId6" w:type="default"/>
          <w:footerReference r:id="rId7" w:type="even"/>
          <w:pgSz w:w="11906" w:h="16838"/>
          <w:pgMar w:top="1588" w:right="1418" w:bottom="1418" w:left="1418" w:header="1134" w:footer="1134" w:gutter="0"/>
          <w:pgBorders>
            <w:top w:val="none" w:sz="0" w:space="0"/>
            <w:left w:val="none" w:sz="0" w:space="0"/>
            <w:bottom w:val="none" w:sz="0" w:space="0"/>
            <w:right w:val="none" w:sz="0" w:space="0"/>
          </w:pgBorders>
          <w:pgNumType w:start="1"/>
          <w:cols w:space="720" w:num="1"/>
          <w:docGrid w:linePitch="312" w:charSpace="0"/>
        </w:sectPr>
      </w:pPr>
    </w:p>
    <w:p>
      <w:pPr>
        <w:pStyle w:val="22"/>
        <w:spacing w:line="460" w:lineRule="exact"/>
        <w:ind w:firstLine="0"/>
        <w:rPr>
          <w:rFonts w:ascii="Times New Roman" w:hAnsi="Times New Roman" w:cs="Times New Roman"/>
          <w:sz w:val="24"/>
          <w:szCs w:val="24"/>
        </w:rPr>
      </w:pPr>
    </w:p>
    <w:p>
      <w:pPr>
        <w:pStyle w:val="22"/>
        <w:spacing w:line="460" w:lineRule="exact"/>
        <w:ind w:firstLine="0"/>
        <w:rPr>
          <w:rFonts w:ascii="Times New Roman" w:hAnsi="Times New Roman" w:cs="Times New Roman"/>
        </w:rPr>
      </w:pPr>
      <w:r>
        <w:rPr>
          <w:rFonts w:ascii="Times New Roman" w:hAnsi="宋体" w:cs="Times New Roman"/>
          <w:sz w:val="24"/>
          <w:szCs w:val="24"/>
        </w:rPr>
        <w:t>目</w:t>
      </w:r>
      <w:r>
        <w:rPr>
          <w:rFonts w:ascii="Times New Roman" w:hAnsi="Times New Roman" w:cs="Times New Roman"/>
          <w:sz w:val="24"/>
          <w:szCs w:val="24"/>
        </w:rPr>
        <w:t xml:space="preserve"> </w:t>
      </w:r>
      <w:r>
        <w:rPr>
          <w:rFonts w:ascii="Times New Roman" w:hAnsi="宋体" w:cs="Times New Roman"/>
          <w:sz w:val="24"/>
          <w:szCs w:val="24"/>
        </w:rPr>
        <w:t>录</w:t>
      </w:r>
    </w:p>
    <w:p>
      <w:pPr>
        <w:pStyle w:val="24"/>
        <w:tabs>
          <w:tab w:val="right" w:leader="dot" w:pos="9070"/>
          <w:tab w:val="clear" w:pos="8606"/>
        </w:tabs>
        <w:spacing w:line="460" w:lineRule="exact"/>
        <w:rPr>
          <w:b w:val="0"/>
          <w:bCs/>
          <w:szCs w:val="21"/>
        </w:rPr>
      </w:pPr>
      <w:r>
        <w:rPr>
          <w:b w:val="0"/>
          <w:bCs/>
          <w:sz w:val="24"/>
        </w:rPr>
        <w:fldChar w:fldCharType="begin"/>
      </w:r>
      <w:r>
        <w:rPr>
          <w:b w:val="0"/>
          <w:bCs/>
          <w:sz w:val="24"/>
        </w:rPr>
        <w:instrText xml:space="preserve"> TOC \o "1-3" \h \z \u </w:instrText>
      </w:r>
      <w:r>
        <w:rPr>
          <w:b w:val="0"/>
          <w:bCs/>
          <w:sz w:val="24"/>
        </w:rPr>
        <w:fldChar w:fldCharType="separate"/>
      </w:r>
      <w:r>
        <w:fldChar w:fldCharType="begin"/>
      </w:r>
      <w:r>
        <w:instrText xml:space="preserve"> HYPERLINK \l "_Toc2287" </w:instrText>
      </w:r>
      <w:r>
        <w:fldChar w:fldCharType="separate"/>
      </w:r>
      <w:r>
        <w:rPr>
          <w:rFonts w:hAnsi="宋体"/>
          <w:b w:val="0"/>
          <w:bCs/>
          <w:szCs w:val="21"/>
        </w:rPr>
        <w:t>一、建设项目基本状况</w:t>
      </w:r>
      <w:r>
        <w:rPr>
          <w:b w:val="0"/>
          <w:bCs/>
          <w:szCs w:val="21"/>
        </w:rPr>
        <w:tab/>
      </w:r>
      <w:r>
        <w:rPr>
          <w:b w:val="0"/>
          <w:bCs/>
          <w:szCs w:val="21"/>
        </w:rPr>
        <w:fldChar w:fldCharType="begin"/>
      </w:r>
      <w:r>
        <w:rPr>
          <w:b w:val="0"/>
          <w:bCs/>
          <w:szCs w:val="21"/>
        </w:rPr>
        <w:instrText xml:space="preserve"> PAGEREF _Toc2287 </w:instrText>
      </w:r>
      <w:r>
        <w:rPr>
          <w:b w:val="0"/>
          <w:bCs/>
          <w:szCs w:val="21"/>
        </w:rPr>
        <w:fldChar w:fldCharType="separate"/>
      </w:r>
      <w:r>
        <w:rPr>
          <w:b w:val="0"/>
          <w:bCs/>
          <w:szCs w:val="21"/>
        </w:rPr>
        <w:t>1</w:t>
      </w:r>
      <w:r>
        <w:rPr>
          <w:b w:val="0"/>
          <w:bCs/>
          <w:szCs w:val="21"/>
        </w:rPr>
        <w:fldChar w:fldCharType="end"/>
      </w:r>
      <w:r>
        <w:rPr>
          <w:b w:val="0"/>
          <w:bCs/>
          <w:szCs w:val="21"/>
        </w:rPr>
        <w:fldChar w:fldCharType="end"/>
      </w:r>
    </w:p>
    <w:p>
      <w:pPr>
        <w:pStyle w:val="24"/>
        <w:tabs>
          <w:tab w:val="right" w:leader="dot" w:pos="9070"/>
          <w:tab w:val="clear" w:pos="8606"/>
        </w:tabs>
        <w:spacing w:line="460" w:lineRule="exact"/>
        <w:rPr>
          <w:b w:val="0"/>
          <w:bCs/>
          <w:szCs w:val="21"/>
        </w:rPr>
      </w:pPr>
      <w:r>
        <w:fldChar w:fldCharType="begin"/>
      </w:r>
      <w:r>
        <w:instrText xml:space="preserve"> HYPERLINK \l "_Toc5256" </w:instrText>
      </w:r>
      <w:r>
        <w:fldChar w:fldCharType="separate"/>
      </w:r>
      <w:r>
        <w:rPr>
          <w:rFonts w:hAnsi="宋体"/>
          <w:b w:val="0"/>
          <w:bCs/>
          <w:szCs w:val="21"/>
        </w:rPr>
        <w:t>二、建设项目工程分析</w:t>
      </w:r>
      <w:r>
        <w:rPr>
          <w:b w:val="0"/>
          <w:bCs/>
          <w:szCs w:val="21"/>
        </w:rPr>
        <w:tab/>
      </w:r>
      <w:r>
        <w:rPr>
          <w:b w:val="0"/>
          <w:bCs/>
          <w:szCs w:val="21"/>
        </w:rPr>
        <w:fldChar w:fldCharType="begin"/>
      </w:r>
      <w:r>
        <w:rPr>
          <w:b w:val="0"/>
          <w:bCs/>
          <w:szCs w:val="21"/>
        </w:rPr>
        <w:instrText xml:space="preserve"> PAGEREF _Toc5256 </w:instrText>
      </w:r>
      <w:r>
        <w:rPr>
          <w:b w:val="0"/>
          <w:bCs/>
          <w:szCs w:val="21"/>
        </w:rPr>
        <w:fldChar w:fldCharType="separate"/>
      </w:r>
      <w:r>
        <w:rPr>
          <w:b w:val="0"/>
          <w:bCs/>
          <w:szCs w:val="21"/>
        </w:rPr>
        <w:t>10</w:t>
      </w:r>
      <w:r>
        <w:rPr>
          <w:b w:val="0"/>
          <w:bCs/>
          <w:szCs w:val="21"/>
        </w:rPr>
        <w:fldChar w:fldCharType="end"/>
      </w:r>
      <w:r>
        <w:rPr>
          <w:b w:val="0"/>
          <w:bCs/>
          <w:szCs w:val="21"/>
        </w:rPr>
        <w:fldChar w:fldCharType="end"/>
      </w:r>
    </w:p>
    <w:p>
      <w:pPr>
        <w:pStyle w:val="24"/>
        <w:tabs>
          <w:tab w:val="right" w:leader="dot" w:pos="9070"/>
          <w:tab w:val="clear" w:pos="8606"/>
        </w:tabs>
        <w:spacing w:line="460" w:lineRule="exact"/>
        <w:rPr>
          <w:b w:val="0"/>
          <w:bCs/>
          <w:szCs w:val="21"/>
        </w:rPr>
      </w:pPr>
      <w:r>
        <w:fldChar w:fldCharType="begin"/>
      </w:r>
      <w:r>
        <w:instrText xml:space="preserve"> HYPERLINK \l "_Toc5201" </w:instrText>
      </w:r>
      <w:r>
        <w:fldChar w:fldCharType="separate"/>
      </w:r>
      <w:r>
        <w:rPr>
          <w:rFonts w:hAnsi="宋体"/>
          <w:b w:val="0"/>
          <w:bCs/>
          <w:szCs w:val="21"/>
        </w:rPr>
        <w:t>三、区域环境质量现状、环境保护目标及评价标准</w:t>
      </w:r>
      <w:r>
        <w:rPr>
          <w:b w:val="0"/>
          <w:bCs/>
          <w:szCs w:val="21"/>
        </w:rPr>
        <w:tab/>
      </w:r>
      <w:r>
        <w:rPr>
          <w:b w:val="0"/>
          <w:bCs/>
          <w:szCs w:val="21"/>
        </w:rPr>
        <w:fldChar w:fldCharType="begin"/>
      </w:r>
      <w:r>
        <w:rPr>
          <w:b w:val="0"/>
          <w:bCs/>
          <w:szCs w:val="21"/>
        </w:rPr>
        <w:instrText xml:space="preserve"> PAGEREF _Toc5201 </w:instrText>
      </w:r>
      <w:r>
        <w:rPr>
          <w:b w:val="0"/>
          <w:bCs/>
          <w:szCs w:val="21"/>
        </w:rPr>
        <w:fldChar w:fldCharType="separate"/>
      </w:r>
      <w:r>
        <w:rPr>
          <w:b w:val="0"/>
          <w:bCs/>
          <w:szCs w:val="21"/>
        </w:rPr>
        <w:t>28</w:t>
      </w:r>
      <w:r>
        <w:rPr>
          <w:b w:val="0"/>
          <w:bCs/>
          <w:szCs w:val="21"/>
        </w:rPr>
        <w:fldChar w:fldCharType="end"/>
      </w:r>
      <w:r>
        <w:rPr>
          <w:b w:val="0"/>
          <w:bCs/>
          <w:szCs w:val="21"/>
        </w:rPr>
        <w:fldChar w:fldCharType="end"/>
      </w:r>
    </w:p>
    <w:p>
      <w:pPr>
        <w:pStyle w:val="24"/>
        <w:tabs>
          <w:tab w:val="right" w:leader="dot" w:pos="9070"/>
          <w:tab w:val="clear" w:pos="8606"/>
        </w:tabs>
        <w:spacing w:line="460" w:lineRule="exact"/>
        <w:rPr>
          <w:b w:val="0"/>
          <w:bCs/>
          <w:szCs w:val="21"/>
        </w:rPr>
      </w:pPr>
      <w:r>
        <w:fldChar w:fldCharType="begin"/>
      </w:r>
      <w:r>
        <w:instrText xml:space="preserve"> HYPERLINK \l "_Toc10795" </w:instrText>
      </w:r>
      <w:r>
        <w:fldChar w:fldCharType="separate"/>
      </w:r>
      <w:r>
        <w:rPr>
          <w:rFonts w:hAnsi="宋体"/>
          <w:b w:val="0"/>
          <w:bCs/>
          <w:szCs w:val="21"/>
        </w:rPr>
        <w:t>四、主要环境影响和保护措施</w:t>
      </w:r>
      <w:r>
        <w:rPr>
          <w:b w:val="0"/>
          <w:bCs/>
          <w:szCs w:val="21"/>
        </w:rPr>
        <w:tab/>
      </w:r>
      <w:r>
        <w:rPr>
          <w:b w:val="0"/>
          <w:bCs/>
          <w:szCs w:val="21"/>
        </w:rPr>
        <w:fldChar w:fldCharType="begin"/>
      </w:r>
      <w:r>
        <w:rPr>
          <w:b w:val="0"/>
          <w:bCs/>
          <w:szCs w:val="21"/>
        </w:rPr>
        <w:instrText xml:space="preserve"> PAGEREF _Toc10795 </w:instrText>
      </w:r>
      <w:r>
        <w:rPr>
          <w:b w:val="0"/>
          <w:bCs/>
          <w:szCs w:val="21"/>
        </w:rPr>
        <w:fldChar w:fldCharType="separate"/>
      </w:r>
      <w:r>
        <w:rPr>
          <w:b w:val="0"/>
          <w:bCs/>
          <w:szCs w:val="21"/>
        </w:rPr>
        <w:t>43</w:t>
      </w:r>
      <w:r>
        <w:rPr>
          <w:b w:val="0"/>
          <w:bCs/>
          <w:szCs w:val="21"/>
        </w:rPr>
        <w:fldChar w:fldCharType="end"/>
      </w:r>
      <w:r>
        <w:rPr>
          <w:b w:val="0"/>
          <w:bCs/>
          <w:szCs w:val="21"/>
        </w:rPr>
        <w:fldChar w:fldCharType="end"/>
      </w:r>
    </w:p>
    <w:p>
      <w:pPr>
        <w:pStyle w:val="24"/>
        <w:tabs>
          <w:tab w:val="right" w:leader="dot" w:pos="9070"/>
          <w:tab w:val="clear" w:pos="8606"/>
        </w:tabs>
        <w:spacing w:line="460" w:lineRule="exact"/>
        <w:rPr>
          <w:b w:val="0"/>
          <w:bCs/>
          <w:szCs w:val="21"/>
          <w:highlight w:val="none"/>
        </w:rPr>
      </w:pPr>
      <w:r>
        <w:rPr>
          <w:highlight w:val="none"/>
        </w:rPr>
        <w:fldChar w:fldCharType="begin"/>
      </w:r>
      <w:r>
        <w:rPr>
          <w:highlight w:val="none"/>
        </w:rPr>
        <w:instrText xml:space="preserve"> HYPERLINK \l "_Toc14320" </w:instrText>
      </w:r>
      <w:r>
        <w:rPr>
          <w:highlight w:val="none"/>
        </w:rPr>
        <w:fldChar w:fldCharType="separate"/>
      </w:r>
      <w:r>
        <w:rPr>
          <w:rFonts w:hAnsi="宋体"/>
          <w:b w:val="0"/>
          <w:bCs/>
          <w:szCs w:val="21"/>
          <w:highlight w:val="none"/>
        </w:rPr>
        <w:t>五、环境保护措施监督检查清单</w:t>
      </w:r>
      <w:r>
        <w:rPr>
          <w:b w:val="0"/>
          <w:bCs/>
          <w:szCs w:val="21"/>
          <w:highlight w:val="none"/>
        </w:rPr>
        <w:tab/>
      </w:r>
      <w:r>
        <w:rPr>
          <w:b w:val="0"/>
          <w:bCs/>
          <w:szCs w:val="21"/>
          <w:highlight w:val="none"/>
        </w:rPr>
        <w:fldChar w:fldCharType="begin"/>
      </w:r>
      <w:r>
        <w:rPr>
          <w:b w:val="0"/>
          <w:bCs/>
          <w:szCs w:val="21"/>
          <w:highlight w:val="none"/>
        </w:rPr>
        <w:instrText xml:space="preserve"> PAGEREF _Toc14320 </w:instrText>
      </w:r>
      <w:r>
        <w:rPr>
          <w:b w:val="0"/>
          <w:bCs/>
          <w:szCs w:val="21"/>
          <w:highlight w:val="none"/>
        </w:rPr>
        <w:fldChar w:fldCharType="separate"/>
      </w:r>
      <w:r>
        <w:rPr>
          <w:b w:val="0"/>
          <w:bCs/>
          <w:szCs w:val="21"/>
          <w:highlight w:val="none"/>
        </w:rPr>
        <w:t>75</w:t>
      </w:r>
      <w:r>
        <w:rPr>
          <w:b w:val="0"/>
          <w:bCs/>
          <w:szCs w:val="21"/>
          <w:highlight w:val="none"/>
        </w:rPr>
        <w:fldChar w:fldCharType="end"/>
      </w:r>
      <w:r>
        <w:rPr>
          <w:b w:val="0"/>
          <w:bCs/>
          <w:szCs w:val="21"/>
          <w:highlight w:val="none"/>
        </w:rPr>
        <w:fldChar w:fldCharType="end"/>
      </w:r>
    </w:p>
    <w:p>
      <w:pPr>
        <w:pStyle w:val="24"/>
        <w:tabs>
          <w:tab w:val="right" w:leader="dot" w:pos="9070"/>
          <w:tab w:val="clear" w:pos="8606"/>
        </w:tabs>
        <w:spacing w:line="460" w:lineRule="exact"/>
        <w:rPr>
          <w:b w:val="0"/>
          <w:bCs/>
        </w:rPr>
      </w:pPr>
      <w:r>
        <w:rPr>
          <w:highlight w:val="none"/>
        </w:rPr>
        <w:fldChar w:fldCharType="begin"/>
      </w:r>
      <w:r>
        <w:rPr>
          <w:highlight w:val="none"/>
        </w:rPr>
        <w:instrText xml:space="preserve"> HYPERLINK \l "_Toc12382" </w:instrText>
      </w:r>
      <w:r>
        <w:rPr>
          <w:highlight w:val="none"/>
        </w:rPr>
        <w:fldChar w:fldCharType="separate"/>
      </w:r>
      <w:r>
        <w:rPr>
          <w:rFonts w:hAnsi="宋体"/>
          <w:b w:val="0"/>
          <w:bCs/>
          <w:szCs w:val="21"/>
          <w:highlight w:val="none"/>
        </w:rPr>
        <w:t>六、结论</w:t>
      </w:r>
      <w:r>
        <w:rPr>
          <w:b w:val="0"/>
          <w:bCs/>
          <w:szCs w:val="21"/>
          <w:highlight w:val="none"/>
        </w:rPr>
        <w:tab/>
      </w:r>
      <w:r>
        <w:rPr>
          <w:b w:val="0"/>
          <w:bCs/>
          <w:szCs w:val="21"/>
          <w:highlight w:val="none"/>
        </w:rPr>
        <w:fldChar w:fldCharType="begin"/>
      </w:r>
      <w:r>
        <w:rPr>
          <w:b w:val="0"/>
          <w:bCs/>
          <w:szCs w:val="21"/>
          <w:highlight w:val="none"/>
        </w:rPr>
        <w:instrText xml:space="preserve"> PAGEREF _Toc12382 </w:instrText>
      </w:r>
      <w:r>
        <w:rPr>
          <w:b w:val="0"/>
          <w:bCs/>
          <w:szCs w:val="21"/>
          <w:highlight w:val="none"/>
        </w:rPr>
        <w:fldChar w:fldCharType="separate"/>
      </w:r>
      <w:r>
        <w:rPr>
          <w:b w:val="0"/>
          <w:bCs/>
          <w:szCs w:val="21"/>
          <w:highlight w:val="none"/>
        </w:rPr>
        <w:t>78</w:t>
      </w:r>
      <w:r>
        <w:rPr>
          <w:b w:val="0"/>
          <w:bCs/>
          <w:szCs w:val="21"/>
          <w:highlight w:val="none"/>
        </w:rPr>
        <w:fldChar w:fldCharType="end"/>
      </w:r>
      <w:r>
        <w:rPr>
          <w:b w:val="0"/>
          <w:bCs/>
          <w:szCs w:val="21"/>
          <w:highlight w:val="none"/>
        </w:rPr>
        <w:fldChar w:fldCharType="end"/>
      </w:r>
    </w:p>
    <w:p>
      <w:pPr>
        <w:spacing w:line="460" w:lineRule="exact"/>
        <w:rPr>
          <w:bCs/>
        </w:rPr>
      </w:pPr>
      <w:r>
        <w:rPr>
          <w:bCs/>
        </w:rPr>
        <w:fldChar w:fldCharType="end"/>
      </w:r>
    </w:p>
    <w:p>
      <w:pPr>
        <w:spacing w:line="460" w:lineRule="exact"/>
        <w:rPr>
          <w:b/>
          <w:szCs w:val="21"/>
        </w:rPr>
      </w:pPr>
      <w:r>
        <w:rPr>
          <w:rFonts w:hAnsi="宋体"/>
          <w:szCs w:val="21"/>
        </w:rPr>
        <w:t>附表</w:t>
      </w:r>
    </w:p>
    <w:p>
      <w:pPr>
        <w:spacing w:line="460" w:lineRule="exact"/>
        <w:rPr>
          <w:b/>
          <w:szCs w:val="21"/>
        </w:rPr>
      </w:pPr>
      <w:r>
        <w:rPr>
          <w:rFonts w:hAnsi="宋体"/>
          <w:bCs/>
          <w:szCs w:val="21"/>
        </w:rPr>
        <w:t>建设项目污染物排放量汇总表</w:t>
      </w:r>
    </w:p>
    <w:p>
      <w:pPr>
        <w:spacing w:line="460" w:lineRule="exact"/>
        <w:rPr>
          <w:rFonts w:hAnsi="宋体"/>
          <w:szCs w:val="21"/>
        </w:rPr>
      </w:pPr>
    </w:p>
    <w:p>
      <w:pPr>
        <w:spacing w:line="460" w:lineRule="exact"/>
        <w:rPr>
          <w:szCs w:val="21"/>
        </w:rPr>
      </w:pPr>
      <w:r>
        <w:rPr>
          <w:rFonts w:hAnsi="宋体"/>
          <w:szCs w:val="21"/>
        </w:rPr>
        <w:t>附图</w:t>
      </w:r>
    </w:p>
    <w:p>
      <w:pPr>
        <w:spacing w:line="460" w:lineRule="exact"/>
        <w:rPr>
          <w:szCs w:val="21"/>
        </w:rPr>
      </w:pPr>
      <w:r>
        <w:rPr>
          <w:rFonts w:hAnsi="宋体"/>
          <w:szCs w:val="21"/>
        </w:rPr>
        <w:t>附图</w:t>
      </w:r>
      <w:r>
        <w:rPr>
          <w:szCs w:val="21"/>
        </w:rPr>
        <w:t xml:space="preserve">1 </w:t>
      </w:r>
      <w:r>
        <w:rPr>
          <w:rFonts w:hAnsi="宋体"/>
          <w:szCs w:val="21"/>
        </w:rPr>
        <w:t>建设项目地理位置图</w:t>
      </w:r>
    </w:p>
    <w:p>
      <w:pPr>
        <w:spacing w:line="460" w:lineRule="exact"/>
        <w:rPr>
          <w:szCs w:val="21"/>
        </w:rPr>
      </w:pPr>
      <w:r>
        <w:rPr>
          <w:rFonts w:hAnsi="宋体"/>
          <w:szCs w:val="21"/>
        </w:rPr>
        <w:t>附图</w:t>
      </w:r>
      <w:r>
        <w:rPr>
          <w:szCs w:val="21"/>
        </w:rPr>
        <w:t xml:space="preserve">2 </w:t>
      </w:r>
      <w:r>
        <w:rPr>
          <w:rFonts w:hAnsi="宋体"/>
          <w:szCs w:val="21"/>
        </w:rPr>
        <w:t>建设项目周围环境状况图</w:t>
      </w:r>
    </w:p>
    <w:p>
      <w:pPr>
        <w:spacing w:line="460" w:lineRule="exact"/>
        <w:rPr>
          <w:szCs w:val="21"/>
        </w:rPr>
      </w:pPr>
      <w:r>
        <w:rPr>
          <w:rFonts w:hAnsi="宋体"/>
          <w:szCs w:val="21"/>
        </w:rPr>
        <w:t>附图</w:t>
      </w:r>
      <w:r>
        <w:rPr>
          <w:szCs w:val="21"/>
        </w:rPr>
        <w:t xml:space="preserve">3 </w:t>
      </w:r>
      <w:r>
        <w:rPr>
          <w:rFonts w:hAnsi="宋体"/>
          <w:szCs w:val="21"/>
        </w:rPr>
        <w:t>建设项目厂区平面布置图</w:t>
      </w:r>
    </w:p>
    <w:p>
      <w:pPr>
        <w:spacing w:line="460" w:lineRule="exact"/>
        <w:rPr>
          <w:szCs w:val="21"/>
        </w:rPr>
      </w:pPr>
      <w:r>
        <w:rPr>
          <w:rFonts w:hAnsi="宋体"/>
          <w:szCs w:val="21"/>
        </w:rPr>
        <w:t>附图</w:t>
      </w:r>
      <w:r>
        <w:rPr>
          <w:szCs w:val="21"/>
        </w:rPr>
        <w:t xml:space="preserve">4 </w:t>
      </w:r>
      <w:r>
        <w:rPr>
          <w:rFonts w:hAnsi="宋体"/>
          <w:szCs w:val="21"/>
        </w:rPr>
        <w:t>建设项目周围大气环境保护目标分布图</w:t>
      </w:r>
    </w:p>
    <w:p>
      <w:pPr>
        <w:spacing w:line="460" w:lineRule="exact"/>
        <w:rPr>
          <w:szCs w:val="21"/>
        </w:rPr>
      </w:pPr>
      <w:r>
        <w:rPr>
          <w:rFonts w:hAnsi="宋体"/>
          <w:szCs w:val="21"/>
        </w:rPr>
        <w:t>附图</w:t>
      </w:r>
      <w:r>
        <w:rPr>
          <w:szCs w:val="21"/>
        </w:rPr>
        <w:t xml:space="preserve">5 </w:t>
      </w:r>
      <w:r>
        <w:rPr>
          <w:rFonts w:hAnsi="宋体"/>
          <w:szCs w:val="21"/>
        </w:rPr>
        <w:t>建设项目</w:t>
      </w:r>
      <w:r>
        <w:rPr>
          <w:rFonts w:hint="eastAsia" w:hAnsi="宋体"/>
          <w:szCs w:val="21"/>
          <w:lang w:eastAsia="zh-CN"/>
        </w:rPr>
        <w:t>环境空气</w:t>
      </w:r>
      <w:r>
        <w:rPr>
          <w:rFonts w:hAnsi="宋体"/>
          <w:szCs w:val="21"/>
        </w:rPr>
        <w:t>监测点位图</w:t>
      </w:r>
    </w:p>
    <w:p>
      <w:pPr>
        <w:spacing w:line="460" w:lineRule="exact"/>
        <w:rPr>
          <w:szCs w:val="21"/>
        </w:rPr>
      </w:pPr>
      <w:r>
        <w:rPr>
          <w:rFonts w:hAnsi="宋体"/>
          <w:szCs w:val="21"/>
        </w:rPr>
        <w:t>附图</w:t>
      </w:r>
      <w:r>
        <w:rPr>
          <w:szCs w:val="21"/>
        </w:rPr>
        <w:t xml:space="preserve">6 </w:t>
      </w:r>
      <w:r>
        <w:rPr>
          <w:rFonts w:hint="eastAsia"/>
          <w:szCs w:val="21"/>
        </w:rPr>
        <w:t>长兴县环境管控单元分类图</w:t>
      </w:r>
    </w:p>
    <w:p>
      <w:pPr>
        <w:spacing w:line="460" w:lineRule="exact"/>
        <w:rPr>
          <w:rFonts w:hint="eastAsia"/>
          <w:szCs w:val="21"/>
        </w:rPr>
      </w:pPr>
      <w:r>
        <w:rPr>
          <w:rFonts w:hAnsi="宋体"/>
          <w:szCs w:val="21"/>
        </w:rPr>
        <w:t>附图</w:t>
      </w:r>
      <w:r>
        <w:rPr>
          <w:szCs w:val="21"/>
        </w:rPr>
        <w:t xml:space="preserve">7 </w:t>
      </w:r>
      <w:r>
        <w:rPr>
          <w:rFonts w:hint="eastAsia"/>
          <w:szCs w:val="21"/>
        </w:rPr>
        <w:t>长兴县环境空气质量功能区划图</w:t>
      </w:r>
    </w:p>
    <w:p>
      <w:pPr>
        <w:tabs>
          <w:tab w:val="left" w:pos="7140"/>
        </w:tabs>
        <w:spacing w:line="460" w:lineRule="exact"/>
        <w:rPr>
          <w:rFonts w:hint="eastAsia" w:ascii="Times New Roman" w:hAnsi="Times New Roman" w:eastAsia="宋体" w:cs="Times New Roman"/>
          <w:kern w:val="2"/>
          <w:sz w:val="21"/>
          <w:szCs w:val="21"/>
          <w:lang w:val="en-US" w:eastAsia="zh-CN" w:bidi="ar-SA"/>
        </w:rPr>
      </w:pPr>
      <w:r>
        <w:rPr>
          <w:rFonts w:hint="eastAsia" w:hAnsi="宋体"/>
          <w:bCs/>
          <w:szCs w:val="21"/>
          <w:lang w:eastAsia="zh-CN"/>
        </w:rPr>
        <w:t>附图</w:t>
      </w:r>
      <w:r>
        <w:rPr>
          <w:rFonts w:hint="eastAsia" w:hAnsi="宋体"/>
          <w:bCs/>
          <w:szCs w:val="21"/>
          <w:lang w:val="en-US" w:eastAsia="zh-CN"/>
        </w:rPr>
        <w:t xml:space="preserve">8 </w:t>
      </w:r>
      <w:r>
        <w:rPr>
          <w:rFonts w:hint="eastAsia" w:ascii="Times New Roman" w:hAnsi="Times New Roman" w:eastAsia="宋体" w:cs="Times New Roman"/>
          <w:kern w:val="2"/>
          <w:sz w:val="21"/>
          <w:szCs w:val="21"/>
          <w:lang w:val="en-US" w:eastAsia="zh-CN" w:bidi="ar-SA"/>
        </w:rPr>
        <w:t>长兴县水环境功能区划图</w:t>
      </w:r>
    </w:p>
    <w:p>
      <w:pPr>
        <w:tabs>
          <w:tab w:val="left" w:pos="7140"/>
        </w:tabs>
        <w:spacing w:line="460" w:lineRule="exact"/>
        <w:rPr>
          <w:rFonts w:hint="eastAsia" w:ascii="Times New Roman" w:hAnsi="Times New Roman" w:eastAsia="宋体" w:cs="Times New Roman"/>
          <w:kern w:val="2"/>
          <w:sz w:val="21"/>
          <w:szCs w:val="21"/>
          <w:lang w:val="en-US" w:eastAsia="zh-CN" w:bidi="ar-SA"/>
        </w:rPr>
      </w:pPr>
      <w:r>
        <w:rPr>
          <w:rFonts w:hint="eastAsia" w:hAnsi="宋体"/>
          <w:bCs/>
          <w:szCs w:val="21"/>
          <w:lang w:eastAsia="zh-CN"/>
        </w:rPr>
        <w:t>附图</w:t>
      </w:r>
      <w:r>
        <w:rPr>
          <w:rFonts w:hint="eastAsia" w:hAnsi="宋体"/>
          <w:bCs/>
          <w:szCs w:val="21"/>
          <w:lang w:val="en-US" w:eastAsia="zh-CN"/>
        </w:rPr>
        <w:t>9 长兴县生态保护红线分布图</w:t>
      </w:r>
    </w:p>
    <w:p>
      <w:pPr>
        <w:tabs>
          <w:tab w:val="left" w:pos="7140"/>
        </w:tabs>
        <w:spacing w:line="460" w:lineRule="exact"/>
        <w:rPr>
          <w:rFonts w:hint="eastAsia" w:ascii="Times New Roman" w:hAnsi="Times New Roman" w:eastAsia="宋体" w:cs="Times New Roman"/>
          <w:kern w:val="2"/>
          <w:sz w:val="21"/>
          <w:szCs w:val="21"/>
          <w:lang w:val="en-US" w:eastAsia="zh-CN" w:bidi="ar-SA"/>
        </w:rPr>
      </w:pPr>
      <w:r>
        <w:rPr>
          <w:rFonts w:hint="eastAsia" w:hAnsi="宋体"/>
          <w:bCs/>
          <w:szCs w:val="21"/>
          <w:lang w:eastAsia="zh-CN"/>
        </w:rPr>
        <w:t>附图</w:t>
      </w:r>
      <w:r>
        <w:rPr>
          <w:rFonts w:hint="eastAsia" w:hAnsi="宋体"/>
          <w:bCs/>
          <w:szCs w:val="21"/>
          <w:lang w:val="en-US" w:eastAsia="zh-CN"/>
        </w:rPr>
        <w:t>10 长兴县城市声环境功能区划图</w:t>
      </w:r>
    </w:p>
    <w:p>
      <w:pPr>
        <w:tabs>
          <w:tab w:val="left" w:pos="7140"/>
        </w:tabs>
        <w:spacing w:line="460" w:lineRule="exact"/>
        <w:rPr>
          <w:rFonts w:hint="eastAsia" w:ascii="Times New Roman" w:hAnsi="Times New Roman" w:eastAsia="宋体" w:cs="Times New Roman"/>
          <w:kern w:val="2"/>
          <w:sz w:val="21"/>
          <w:szCs w:val="21"/>
          <w:lang w:val="en-US" w:eastAsia="zh-CN" w:bidi="ar-SA"/>
        </w:rPr>
      </w:pPr>
      <w:r>
        <w:rPr>
          <w:rFonts w:hint="eastAsia" w:hAnsi="宋体"/>
          <w:bCs/>
          <w:szCs w:val="21"/>
          <w:lang w:eastAsia="zh-CN"/>
        </w:rPr>
        <w:t>附图</w:t>
      </w:r>
      <w:r>
        <w:rPr>
          <w:rFonts w:hint="eastAsia" w:hAnsi="宋体"/>
          <w:bCs/>
          <w:szCs w:val="21"/>
          <w:lang w:val="en-US" w:eastAsia="zh-CN"/>
        </w:rPr>
        <w:t>11 长兴县工业平台位置图</w:t>
      </w:r>
    </w:p>
    <w:p>
      <w:pPr>
        <w:pStyle w:val="5"/>
        <w:rPr>
          <w:rFonts w:hint="default"/>
          <w:lang w:val="en-US" w:eastAsia="zh-CN"/>
        </w:rPr>
      </w:pPr>
    </w:p>
    <w:p>
      <w:pPr>
        <w:tabs>
          <w:tab w:val="left" w:pos="7140"/>
        </w:tabs>
        <w:spacing w:line="460" w:lineRule="exact"/>
        <w:rPr>
          <w:bCs/>
          <w:szCs w:val="21"/>
        </w:rPr>
      </w:pPr>
      <w:r>
        <w:rPr>
          <w:rFonts w:hAnsi="宋体"/>
          <w:bCs/>
          <w:szCs w:val="21"/>
        </w:rPr>
        <w:t>附件</w:t>
      </w:r>
    </w:p>
    <w:p>
      <w:pPr>
        <w:spacing w:line="460" w:lineRule="exact"/>
        <w:rPr>
          <w:szCs w:val="21"/>
        </w:rPr>
      </w:pPr>
      <w:r>
        <w:rPr>
          <w:rFonts w:hAnsi="宋体"/>
          <w:szCs w:val="21"/>
        </w:rPr>
        <w:t>附件</w:t>
      </w:r>
      <w:r>
        <w:rPr>
          <w:szCs w:val="21"/>
        </w:rPr>
        <w:t xml:space="preserve">1 </w:t>
      </w:r>
      <w:r>
        <w:rPr>
          <w:rFonts w:hAnsi="宋体"/>
          <w:szCs w:val="21"/>
        </w:rPr>
        <w:t>浙江省</w:t>
      </w:r>
      <w:r>
        <w:rPr>
          <w:rFonts w:hint="eastAsia" w:hAnsi="宋体"/>
          <w:szCs w:val="21"/>
        </w:rPr>
        <w:t>备案项目登记赋码基本信息表</w:t>
      </w:r>
    </w:p>
    <w:p>
      <w:pPr>
        <w:spacing w:line="460" w:lineRule="exact"/>
        <w:rPr>
          <w:rFonts w:hAnsi="宋体"/>
          <w:szCs w:val="21"/>
        </w:rPr>
      </w:pPr>
      <w:r>
        <w:rPr>
          <w:rFonts w:hAnsi="宋体"/>
          <w:szCs w:val="21"/>
        </w:rPr>
        <w:t>附件</w:t>
      </w:r>
      <w:r>
        <w:rPr>
          <w:szCs w:val="21"/>
        </w:rPr>
        <w:t xml:space="preserve">2 </w:t>
      </w:r>
      <w:r>
        <w:rPr>
          <w:rFonts w:hAnsi="宋体"/>
          <w:szCs w:val="21"/>
        </w:rPr>
        <w:t>营业执照</w:t>
      </w:r>
    </w:p>
    <w:p>
      <w:pPr>
        <w:spacing w:line="460" w:lineRule="exact"/>
        <w:rPr>
          <w:szCs w:val="21"/>
        </w:rPr>
      </w:pPr>
      <w:r>
        <w:rPr>
          <w:rFonts w:hAnsi="宋体"/>
          <w:szCs w:val="21"/>
        </w:rPr>
        <w:t>附件</w:t>
      </w:r>
      <w:r>
        <w:rPr>
          <w:szCs w:val="21"/>
        </w:rPr>
        <w:t xml:space="preserve">3 </w:t>
      </w:r>
      <w:r>
        <w:rPr>
          <w:rFonts w:hAnsi="宋体"/>
          <w:szCs w:val="21"/>
        </w:rPr>
        <w:t>法人身份证</w:t>
      </w:r>
    </w:p>
    <w:p>
      <w:pPr>
        <w:spacing w:line="460" w:lineRule="exact"/>
        <w:rPr>
          <w:szCs w:val="21"/>
        </w:rPr>
      </w:pPr>
    </w:p>
    <w:p>
      <w:pPr>
        <w:spacing w:line="460" w:lineRule="exact"/>
        <w:rPr>
          <w:rFonts w:hint="eastAsia"/>
          <w:szCs w:val="21"/>
          <w:lang w:eastAsia="zh-CN"/>
        </w:rPr>
      </w:pPr>
      <w:r>
        <w:rPr>
          <w:rFonts w:hAnsi="宋体"/>
          <w:szCs w:val="21"/>
        </w:rPr>
        <w:t>附件</w:t>
      </w:r>
      <w:r>
        <w:rPr>
          <w:szCs w:val="21"/>
        </w:rPr>
        <w:t xml:space="preserve">4 </w:t>
      </w:r>
      <w:r>
        <w:rPr>
          <w:rFonts w:hint="eastAsia"/>
          <w:szCs w:val="21"/>
          <w:lang w:eastAsia="zh-CN"/>
        </w:rPr>
        <w:t>土地证</w:t>
      </w:r>
    </w:p>
    <w:p>
      <w:pPr>
        <w:spacing w:line="460" w:lineRule="exact"/>
        <w:rPr>
          <w:rFonts w:hint="eastAsia" w:hAnsi="宋体" w:eastAsia="宋体"/>
          <w:szCs w:val="21"/>
          <w:lang w:eastAsia="zh-CN"/>
        </w:rPr>
      </w:pPr>
      <w:r>
        <w:rPr>
          <w:rFonts w:hAnsi="宋体"/>
          <w:szCs w:val="21"/>
        </w:rPr>
        <w:t>附件</w:t>
      </w:r>
      <w:r>
        <w:rPr>
          <w:szCs w:val="21"/>
        </w:rPr>
        <w:t xml:space="preserve">5 </w:t>
      </w:r>
      <w:r>
        <w:rPr>
          <w:rFonts w:hint="eastAsia"/>
          <w:szCs w:val="21"/>
          <w:lang w:eastAsia="zh-CN"/>
        </w:rPr>
        <w:t>现状核查审查意见</w:t>
      </w:r>
    </w:p>
    <w:p>
      <w:pPr>
        <w:spacing w:line="460" w:lineRule="exact"/>
        <w:rPr>
          <w:rFonts w:hint="default" w:eastAsia="宋体"/>
          <w:szCs w:val="21"/>
          <w:lang w:val="en-US" w:eastAsia="zh-CN"/>
        </w:rPr>
      </w:pPr>
      <w:r>
        <w:rPr>
          <w:rFonts w:hint="eastAsia"/>
          <w:szCs w:val="21"/>
          <w:lang w:eastAsia="zh-CN"/>
        </w:rPr>
        <w:t>附件</w:t>
      </w:r>
      <w:r>
        <w:rPr>
          <w:rFonts w:hint="eastAsia"/>
          <w:szCs w:val="21"/>
          <w:lang w:val="en-US" w:eastAsia="zh-CN"/>
        </w:rPr>
        <w:t xml:space="preserve">6 </w:t>
      </w:r>
      <w:r>
        <w:rPr>
          <w:rFonts w:hint="eastAsia"/>
          <w:szCs w:val="21"/>
          <w:lang w:eastAsia="zh-CN"/>
        </w:rPr>
        <w:t>水浆</w:t>
      </w:r>
      <w:r>
        <w:rPr>
          <w:rFonts w:hint="eastAsia"/>
          <w:szCs w:val="21"/>
          <w:lang w:val="en-US" w:eastAsia="zh-CN"/>
        </w:rPr>
        <w:t>MSDS</w:t>
      </w:r>
    </w:p>
    <w:p>
      <w:pPr>
        <w:spacing w:line="460" w:lineRule="exact"/>
        <w:rPr>
          <w:szCs w:val="21"/>
        </w:rPr>
      </w:pPr>
      <w:r>
        <w:rPr>
          <w:rFonts w:hint="eastAsia"/>
          <w:szCs w:val="21"/>
          <w:lang w:val="en-US" w:eastAsia="zh-CN"/>
        </w:rPr>
        <w:t>附件7 喷水织机集聚审核表</w:t>
      </w:r>
    </w:p>
    <w:p>
      <w:pPr>
        <w:spacing w:line="460" w:lineRule="exact"/>
        <w:rPr>
          <w:rFonts w:hint="eastAsia" w:eastAsia="宋体"/>
          <w:szCs w:val="21"/>
          <w:lang w:eastAsia="zh-CN"/>
        </w:rPr>
      </w:pPr>
      <w:r>
        <w:rPr>
          <w:rFonts w:hint="eastAsia"/>
          <w:szCs w:val="21"/>
        </w:rPr>
        <w:t>附件</w:t>
      </w:r>
      <w:r>
        <w:rPr>
          <w:rFonts w:hint="eastAsia"/>
          <w:szCs w:val="21"/>
          <w:lang w:val="en-US" w:eastAsia="zh-CN"/>
        </w:rPr>
        <w:t>8</w:t>
      </w:r>
      <w:r>
        <w:rPr>
          <w:rFonts w:hint="eastAsia"/>
          <w:szCs w:val="21"/>
        </w:rPr>
        <w:t xml:space="preserve"> 危废处置</w:t>
      </w:r>
      <w:r>
        <w:rPr>
          <w:rFonts w:hint="eastAsia"/>
          <w:szCs w:val="21"/>
          <w:lang w:eastAsia="zh-CN"/>
        </w:rPr>
        <w:t>承诺书</w:t>
      </w:r>
    </w:p>
    <w:p>
      <w:pPr>
        <w:spacing w:line="460" w:lineRule="exact"/>
        <w:rPr>
          <w:szCs w:val="21"/>
        </w:rPr>
      </w:pPr>
      <w:r>
        <w:rPr>
          <w:rFonts w:hAnsi="宋体"/>
          <w:szCs w:val="21"/>
        </w:rPr>
        <w:t>附件</w:t>
      </w:r>
      <w:r>
        <w:rPr>
          <w:rFonts w:hint="eastAsia"/>
          <w:szCs w:val="21"/>
          <w:lang w:val="en-US" w:eastAsia="zh-CN"/>
        </w:rPr>
        <w:t>9</w:t>
      </w:r>
      <w:r>
        <w:rPr>
          <w:szCs w:val="21"/>
        </w:rPr>
        <w:t xml:space="preserve"> </w:t>
      </w:r>
      <w:r>
        <w:rPr>
          <w:rFonts w:hAnsi="宋体"/>
          <w:szCs w:val="21"/>
        </w:rPr>
        <w:t>关于要求</w:t>
      </w:r>
      <w:r>
        <w:rPr>
          <w:rFonts w:hint="eastAsia" w:hAnsi="宋体"/>
          <w:szCs w:val="21"/>
        </w:rPr>
        <w:t>关于要求许可建设项目环境影响评价文件的申请书</w:t>
      </w:r>
    </w:p>
    <w:p>
      <w:pPr>
        <w:spacing w:line="460" w:lineRule="exact"/>
        <w:rPr>
          <w:rFonts w:hAnsi="宋体"/>
          <w:szCs w:val="21"/>
        </w:rPr>
      </w:pPr>
      <w:r>
        <w:rPr>
          <w:rFonts w:hAnsi="宋体"/>
          <w:szCs w:val="21"/>
        </w:rPr>
        <w:t>附件</w:t>
      </w:r>
      <w:r>
        <w:rPr>
          <w:rFonts w:hint="eastAsia"/>
          <w:szCs w:val="21"/>
          <w:lang w:val="en-US" w:eastAsia="zh-CN"/>
        </w:rPr>
        <w:t>10</w:t>
      </w:r>
      <w:r>
        <w:rPr>
          <w:szCs w:val="21"/>
        </w:rPr>
        <w:t xml:space="preserve"> </w:t>
      </w:r>
      <w:r>
        <w:rPr>
          <w:rFonts w:hAnsi="宋体"/>
          <w:szCs w:val="21"/>
        </w:rPr>
        <w:t>生态信用承诺书</w:t>
      </w:r>
    </w:p>
    <w:p>
      <w:pPr>
        <w:spacing w:line="460" w:lineRule="exact"/>
        <w:rPr>
          <w:sz w:val="24"/>
        </w:rPr>
      </w:pPr>
      <w:r>
        <w:rPr>
          <w:rFonts w:hint="eastAsia" w:hAnsi="宋体"/>
          <w:szCs w:val="21"/>
        </w:rPr>
        <w:t>附件1</w:t>
      </w:r>
      <w:r>
        <w:rPr>
          <w:rFonts w:hint="eastAsia" w:hAnsi="宋体"/>
          <w:szCs w:val="21"/>
          <w:lang w:val="en-US" w:eastAsia="zh-CN"/>
        </w:rPr>
        <w:t>1</w:t>
      </w:r>
      <w:r>
        <w:rPr>
          <w:rFonts w:hint="eastAsia" w:hAnsi="宋体"/>
          <w:szCs w:val="21"/>
        </w:rPr>
        <w:t xml:space="preserve"> 建设项目准入意见书</w:t>
      </w:r>
    </w:p>
    <w:p>
      <w:pPr>
        <w:spacing w:line="460" w:lineRule="exact"/>
        <w:rPr>
          <w:sz w:val="24"/>
        </w:rPr>
      </w:pPr>
      <w:r>
        <w:rPr>
          <w:rFonts w:hint="eastAsia" w:hAnsi="宋体"/>
          <w:szCs w:val="21"/>
        </w:rPr>
        <w:t>附件1</w:t>
      </w:r>
      <w:r>
        <w:rPr>
          <w:rFonts w:hint="eastAsia" w:hAnsi="宋体"/>
          <w:szCs w:val="21"/>
          <w:lang w:val="en-US" w:eastAsia="zh-CN"/>
        </w:rPr>
        <w:t>2</w:t>
      </w:r>
      <w:r>
        <w:rPr>
          <w:rFonts w:hint="eastAsia" w:hAnsi="宋体"/>
          <w:szCs w:val="21"/>
        </w:rPr>
        <w:t xml:space="preserve"> 删除涉密事项的说明</w:t>
      </w:r>
    </w:p>
    <w:p>
      <w:pPr>
        <w:spacing w:line="460" w:lineRule="exact"/>
        <w:rPr>
          <w:rFonts w:hint="eastAsia" w:eastAsia="宋体"/>
          <w:sz w:val="24"/>
          <w:lang w:eastAsia="zh-CN"/>
        </w:rPr>
      </w:pPr>
      <w:r>
        <w:rPr>
          <w:rFonts w:hint="eastAsia" w:hAnsi="宋体"/>
          <w:szCs w:val="21"/>
        </w:rPr>
        <w:t>附件1</w:t>
      </w:r>
      <w:r>
        <w:rPr>
          <w:rFonts w:hint="eastAsia" w:hAnsi="宋体"/>
          <w:szCs w:val="21"/>
          <w:lang w:val="en-US" w:eastAsia="zh-CN"/>
        </w:rPr>
        <w:t>3</w:t>
      </w:r>
      <w:r>
        <w:rPr>
          <w:rFonts w:hint="eastAsia" w:hAnsi="宋体"/>
          <w:szCs w:val="21"/>
        </w:rPr>
        <w:t xml:space="preserve"> 环评文件质量保证承诺书</w:t>
      </w:r>
    </w:p>
    <w:p>
      <w:pPr>
        <w:spacing w:line="460" w:lineRule="exact"/>
        <w:rPr>
          <w:rFonts w:hint="eastAsia" w:eastAsia="宋体"/>
          <w:sz w:val="24"/>
          <w:lang w:eastAsia="zh-CN"/>
        </w:rPr>
      </w:pPr>
      <w:r>
        <w:rPr>
          <w:rFonts w:hint="eastAsia" w:hAnsi="宋体"/>
          <w:szCs w:val="21"/>
        </w:rPr>
        <w:t>附件1</w:t>
      </w:r>
      <w:r>
        <w:rPr>
          <w:rFonts w:hint="eastAsia" w:hAnsi="宋体"/>
          <w:szCs w:val="21"/>
          <w:lang w:val="en-US" w:eastAsia="zh-CN"/>
        </w:rPr>
        <w:t xml:space="preserve">4 </w:t>
      </w:r>
      <w:r>
        <w:rPr>
          <w:rFonts w:hint="eastAsia" w:hAnsi="宋体"/>
          <w:szCs w:val="21"/>
          <w:lang w:eastAsia="zh-CN"/>
        </w:rPr>
        <w:t>授权委托书</w:t>
      </w:r>
      <w:bookmarkStart w:id="42" w:name="_GoBack"/>
      <w:bookmarkEnd w:id="42"/>
    </w:p>
    <w:p>
      <w:pPr>
        <w:rPr>
          <w:sz w:val="24"/>
        </w:rPr>
      </w:pPr>
    </w:p>
    <w:p>
      <w:pPr>
        <w:rPr>
          <w:sz w:val="24"/>
        </w:rPr>
      </w:pPr>
    </w:p>
    <w:p>
      <w:pPr>
        <w:rPr>
          <w:sz w:val="24"/>
        </w:rPr>
      </w:pPr>
    </w:p>
    <w:p>
      <w:pPr>
        <w:rPr>
          <w:sz w:val="24"/>
        </w:rPr>
      </w:pPr>
    </w:p>
    <w:p>
      <w:pPr>
        <w:rPr>
          <w:sz w:val="24"/>
        </w:rPr>
      </w:pPr>
    </w:p>
    <w:p>
      <w:pPr>
        <w:rPr>
          <w:sz w:val="24"/>
        </w:rPr>
      </w:pPr>
    </w:p>
    <w:p>
      <w:pPr>
        <w:rPr>
          <w:sz w:val="24"/>
        </w:rPr>
      </w:pPr>
    </w:p>
    <w:p>
      <w:pPr>
        <w:tabs>
          <w:tab w:val="left" w:pos="2940"/>
        </w:tabs>
        <w:rPr>
          <w:sz w:val="24"/>
        </w:rPr>
      </w:pPr>
      <w:r>
        <w:rPr>
          <w:sz w:val="24"/>
        </w:rPr>
        <w:tab/>
      </w:r>
    </w:p>
    <w:p>
      <w:pPr>
        <w:rPr>
          <w:sz w:val="24"/>
        </w:rPr>
      </w:pPr>
    </w:p>
    <w:p>
      <w:pPr>
        <w:rPr>
          <w:sz w:val="24"/>
        </w:rPr>
        <w:sectPr>
          <w:headerReference r:id="rId8" w:type="default"/>
          <w:footerReference r:id="rId9" w:type="default"/>
          <w:footerReference r:id="rId10" w:type="even"/>
          <w:pgSz w:w="11906" w:h="16838"/>
          <w:pgMar w:top="1588" w:right="1418" w:bottom="1418" w:left="1418" w:header="1134" w:footer="1134" w:gutter="0"/>
          <w:pgBorders>
            <w:top w:val="none" w:sz="0" w:space="0"/>
            <w:left w:val="none" w:sz="0" w:space="0"/>
            <w:bottom w:val="none" w:sz="0" w:space="0"/>
            <w:right w:val="none" w:sz="0" w:space="0"/>
          </w:pgBorders>
          <w:pgNumType w:fmt="upperRoman" w:start="1"/>
          <w:cols w:space="720" w:num="1"/>
          <w:docGrid w:linePitch="312" w:charSpace="0"/>
        </w:sectPr>
      </w:pPr>
    </w:p>
    <w:p>
      <w:pPr>
        <w:spacing w:line="500" w:lineRule="exact"/>
        <w:jc w:val="center"/>
        <w:outlineLvl w:val="0"/>
        <w:rPr>
          <w:rFonts w:ascii="黑体" w:hAnsi="黑体" w:eastAsia="黑体"/>
          <w:sz w:val="28"/>
          <w:szCs w:val="28"/>
        </w:rPr>
      </w:pPr>
      <w:bookmarkStart w:id="0" w:name="_Toc2287"/>
      <w:r>
        <w:rPr>
          <w:rFonts w:ascii="黑体" w:hAnsi="黑体" w:eastAsia="黑体"/>
          <w:sz w:val="28"/>
          <w:szCs w:val="28"/>
        </w:rPr>
        <w:t>一、建设项目基本状况</w:t>
      </w:r>
      <w:bookmarkEnd w:id="0"/>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54"/>
        <w:gridCol w:w="2690"/>
        <w:gridCol w:w="1450"/>
        <w:gridCol w:w="3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bCs/>
                <w:kern w:val="0"/>
                <w:sz w:val="24"/>
              </w:rPr>
            </w:pPr>
            <w:r>
              <w:rPr>
                <w:rFonts w:hAnsi="宋体"/>
                <w:bCs/>
                <w:kern w:val="0"/>
                <w:sz w:val="24"/>
              </w:rPr>
              <w:t>建设项目</w:t>
            </w:r>
          </w:p>
          <w:p>
            <w:pPr>
              <w:widowControl/>
              <w:wordWrap w:val="0"/>
              <w:jc w:val="center"/>
              <w:rPr>
                <w:bCs/>
                <w:kern w:val="0"/>
                <w:sz w:val="24"/>
              </w:rPr>
            </w:pPr>
            <w:r>
              <w:rPr>
                <w:rFonts w:hAnsi="宋体"/>
                <w:bCs/>
                <w:kern w:val="0"/>
                <w:sz w:val="24"/>
              </w:rPr>
              <w:t>名称</w:t>
            </w:r>
          </w:p>
        </w:tc>
        <w:tc>
          <w:tcPr>
            <w:tcW w:w="7617" w:type="dxa"/>
            <w:gridSpan w:val="3"/>
            <w:noWrap/>
            <w:tcMar>
              <w:top w:w="84" w:type="dxa"/>
              <w:left w:w="167" w:type="dxa"/>
              <w:bottom w:w="84" w:type="dxa"/>
              <w:right w:w="167" w:type="dxa"/>
            </w:tcMar>
            <w:vAlign w:val="center"/>
          </w:tcPr>
          <w:p>
            <w:pPr>
              <w:widowControl/>
              <w:wordWrap w:val="0"/>
              <w:jc w:val="center"/>
              <w:rPr>
                <w:rFonts w:hint="eastAsia" w:eastAsia="宋体"/>
                <w:bCs/>
                <w:kern w:val="0"/>
                <w:sz w:val="24"/>
                <w:lang w:eastAsia="zh-CN"/>
              </w:rPr>
            </w:pPr>
            <w:r>
              <w:rPr>
                <w:rFonts w:hint="eastAsia" w:hAnsi="宋体"/>
                <w:bCs/>
                <w:kern w:val="0"/>
                <w:sz w:val="24"/>
                <w:lang w:eastAsia="zh-CN"/>
              </w:rPr>
              <w:t>年产高档纺织面料3800万米、家纺四件套10万套建设项目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bCs/>
                <w:kern w:val="0"/>
                <w:sz w:val="24"/>
              </w:rPr>
            </w:pPr>
            <w:r>
              <w:rPr>
                <w:rFonts w:hAnsi="宋体"/>
                <w:bCs/>
                <w:kern w:val="0"/>
                <w:sz w:val="24"/>
              </w:rPr>
              <w:t>项目代码</w:t>
            </w:r>
          </w:p>
        </w:tc>
        <w:tc>
          <w:tcPr>
            <w:tcW w:w="7617" w:type="dxa"/>
            <w:gridSpan w:val="3"/>
            <w:noWrap/>
            <w:tcMar>
              <w:top w:w="84" w:type="dxa"/>
              <w:left w:w="167" w:type="dxa"/>
              <w:bottom w:w="84" w:type="dxa"/>
              <w:right w:w="167" w:type="dxa"/>
            </w:tcMar>
            <w:vAlign w:val="center"/>
          </w:tcPr>
          <w:p>
            <w:pPr>
              <w:widowControl/>
              <w:wordWrap w:val="0"/>
              <w:jc w:val="center"/>
              <w:rPr>
                <w:rFonts w:hint="eastAsia" w:eastAsia="宋体"/>
                <w:bCs/>
                <w:kern w:val="0"/>
                <w:sz w:val="24"/>
                <w:lang w:eastAsia="zh-CN"/>
              </w:rPr>
            </w:pPr>
            <w:r>
              <w:rPr>
                <w:rFonts w:hint="eastAsia"/>
                <w:bCs/>
                <w:kern w:val="0"/>
                <w:sz w:val="24"/>
                <w:lang w:eastAsia="zh-CN"/>
              </w:rPr>
              <w:t>2205-330522-07-02-540132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bCs/>
                <w:kern w:val="0"/>
                <w:sz w:val="24"/>
              </w:rPr>
            </w:pPr>
            <w:r>
              <w:rPr>
                <w:rFonts w:hAnsi="宋体"/>
                <w:bCs/>
                <w:kern w:val="0"/>
                <w:sz w:val="24"/>
              </w:rPr>
              <w:t>建设单位</w:t>
            </w:r>
          </w:p>
          <w:p>
            <w:pPr>
              <w:widowControl/>
              <w:wordWrap w:val="0"/>
              <w:jc w:val="center"/>
              <w:rPr>
                <w:bCs/>
                <w:kern w:val="0"/>
                <w:sz w:val="24"/>
              </w:rPr>
            </w:pPr>
            <w:r>
              <w:rPr>
                <w:rFonts w:hAnsi="宋体"/>
                <w:bCs/>
                <w:kern w:val="0"/>
                <w:sz w:val="24"/>
              </w:rPr>
              <w:t>联系人</w:t>
            </w:r>
          </w:p>
        </w:tc>
        <w:tc>
          <w:tcPr>
            <w:tcW w:w="2690" w:type="dxa"/>
            <w:noWrap/>
            <w:tcMar>
              <w:top w:w="84" w:type="dxa"/>
              <w:left w:w="167" w:type="dxa"/>
              <w:bottom w:w="84" w:type="dxa"/>
              <w:right w:w="167" w:type="dxa"/>
            </w:tcMar>
            <w:vAlign w:val="center"/>
          </w:tcPr>
          <w:p>
            <w:pPr>
              <w:widowControl/>
              <w:wordWrap w:val="0"/>
              <w:jc w:val="center"/>
              <w:rPr>
                <w:bCs/>
                <w:kern w:val="0"/>
                <w:sz w:val="24"/>
              </w:rPr>
            </w:pPr>
            <w:r>
              <w:rPr>
                <w:rFonts w:hint="eastAsia"/>
                <w:bCs/>
                <w:kern w:val="0"/>
                <w:sz w:val="24"/>
              </w:rPr>
              <w:t>陈志刚</w:t>
            </w:r>
          </w:p>
        </w:tc>
        <w:tc>
          <w:tcPr>
            <w:tcW w:w="1450" w:type="dxa"/>
            <w:noWrap/>
            <w:tcMar>
              <w:top w:w="16" w:type="dxa"/>
              <w:left w:w="16" w:type="dxa"/>
              <w:bottom w:w="0" w:type="dxa"/>
              <w:right w:w="16" w:type="dxa"/>
            </w:tcMar>
            <w:vAlign w:val="center"/>
          </w:tcPr>
          <w:p>
            <w:pPr>
              <w:widowControl/>
              <w:wordWrap w:val="0"/>
              <w:jc w:val="center"/>
              <w:rPr>
                <w:kern w:val="0"/>
                <w:sz w:val="24"/>
              </w:rPr>
            </w:pPr>
            <w:r>
              <w:rPr>
                <w:rFonts w:hAnsi="宋体"/>
                <w:bCs/>
                <w:kern w:val="0"/>
                <w:sz w:val="24"/>
              </w:rPr>
              <w:t>联系方式</w:t>
            </w:r>
          </w:p>
        </w:tc>
        <w:tc>
          <w:tcPr>
            <w:tcW w:w="3477" w:type="dxa"/>
            <w:noWrap/>
            <w:tcMar>
              <w:top w:w="16" w:type="dxa"/>
              <w:left w:w="16" w:type="dxa"/>
              <w:bottom w:w="0" w:type="dxa"/>
              <w:right w:w="16" w:type="dxa"/>
            </w:tcMar>
            <w:vAlign w:val="center"/>
          </w:tcPr>
          <w:p>
            <w:pPr>
              <w:widowControl/>
              <w:wordWrap w:val="0"/>
              <w:jc w:val="center"/>
              <w:rPr>
                <w:kern w:val="0"/>
                <w:sz w:val="24"/>
              </w:rPr>
            </w:pPr>
            <w:r>
              <w:rPr>
                <w:rFonts w:hint="eastAsia"/>
                <w:kern w:val="0"/>
                <w:sz w:val="24"/>
              </w:rPr>
              <w:t>13735139661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bCs/>
                <w:kern w:val="0"/>
                <w:sz w:val="24"/>
              </w:rPr>
            </w:pPr>
            <w:r>
              <w:rPr>
                <w:rFonts w:hAnsi="宋体"/>
                <w:bCs/>
                <w:kern w:val="0"/>
                <w:sz w:val="24"/>
              </w:rPr>
              <w:t>建设地点</w:t>
            </w:r>
          </w:p>
        </w:tc>
        <w:tc>
          <w:tcPr>
            <w:tcW w:w="7617" w:type="dxa"/>
            <w:gridSpan w:val="3"/>
            <w:noWrap/>
            <w:tcMar>
              <w:top w:w="84" w:type="dxa"/>
              <w:left w:w="167" w:type="dxa"/>
              <w:bottom w:w="84" w:type="dxa"/>
              <w:right w:w="167" w:type="dxa"/>
            </w:tcMar>
            <w:vAlign w:val="center"/>
          </w:tcPr>
          <w:p>
            <w:pPr>
              <w:widowControl/>
              <w:wordWrap w:val="0"/>
              <w:jc w:val="center"/>
              <w:rPr>
                <w:bCs/>
                <w:kern w:val="0"/>
                <w:sz w:val="24"/>
              </w:rPr>
            </w:pPr>
            <w:r>
              <w:rPr>
                <w:rFonts w:hint="eastAsia" w:hAnsi="宋体"/>
                <w:kern w:val="0"/>
                <w:sz w:val="24"/>
                <w:u w:val="single"/>
                <w:lang w:eastAsia="zh-CN"/>
              </w:rPr>
              <w:t>浙江</w:t>
            </w:r>
            <w:r>
              <w:rPr>
                <w:rFonts w:hint="eastAsia" w:hAnsi="宋体"/>
                <w:kern w:val="0"/>
                <w:sz w:val="24"/>
                <w:lang w:eastAsia="zh-CN"/>
              </w:rPr>
              <w:t>省</w:t>
            </w:r>
            <w:r>
              <w:rPr>
                <w:rFonts w:hint="eastAsia" w:hAnsi="宋体"/>
                <w:kern w:val="0"/>
                <w:sz w:val="24"/>
                <w:u w:val="single"/>
                <w:lang w:eastAsia="zh-CN"/>
              </w:rPr>
              <w:t>长兴</w:t>
            </w:r>
            <w:r>
              <w:rPr>
                <w:rFonts w:hint="eastAsia" w:hAnsi="宋体"/>
                <w:kern w:val="0"/>
                <w:sz w:val="24"/>
                <w:lang w:eastAsia="zh-CN"/>
              </w:rPr>
              <w:t>县</w:t>
            </w:r>
            <w:r>
              <w:rPr>
                <w:rFonts w:hint="eastAsia" w:hAnsi="宋体"/>
                <w:kern w:val="0"/>
                <w:sz w:val="24"/>
                <w:u w:val="single"/>
                <w:lang w:eastAsia="zh-CN"/>
              </w:rPr>
              <w:t>虹星桥</w:t>
            </w:r>
            <w:r>
              <w:rPr>
                <w:rFonts w:hint="eastAsia" w:hAnsi="宋体"/>
                <w:kern w:val="0"/>
                <w:sz w:val="24"/>
                <w:lang w:eastAsia="zh-CN"/>
              </w:rPr>
              <w:t>镇</w:t>
            </w:r>
            <w:r>
              <w:rPr>
                <w:rFonts w:hint="eastAsia" w:hAnsi="宋体"/>
                <w:kern w:val="0"/>
                <w:sz w:val="24"/>
                <w:u w:val="single"/>
                <w:lang w:eastAsia="zh-CN"/>
              </w:rPr>
              <w:t>工业集中区</w:t>
            </w:r>
            <w:r>
              <w:rPr>
                <w:rFonts w:hAnsi="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bCs/>
                <w:kern w:val="0"/>
                <w:sz w:val="24"/>
              </w:rPr>
            </w:pPr>
            <w:r>
              <w:rPr>
                <w:rFonts w:hAnsi="宋体"/>
                <w:bCs/>
                <w:kern w:val="0"/>
                <w:sz w:val="24"/>
              </w:rPr>
              <w:t>地理坐标</w:t>
            </w:r>
          </w:p>
        </w:tc>
        <w:tc>
          <w:tcPr>
            <w:tcW w:w="7617" w:type="dxa"/>
            <w:gridSpan w:val="3"/>
            <w:noWrap/>
            <w:tcMar>
              <w:top w:w="84" w:type="dxa"/>
              <w:left w:w="167" w:type="dxa"/>
              <w:bottom w:w="84" w:type="dxa"/>
              <w:right w:w="167" w:type="dxa"/>
            </w:tcMar>
            <w:vAlign w:val="center"/>
          </w:tcPr>
          <w:p>
            <w:pPr>
              <w:widowControl/>
              <w:wordWrap w:val="0"/>
              <w:jc w:val="center"/>
              <w:rPr>
                <w:bCs/>
                <w:kern w:val="0"/>
                <w:sz w:val="24"/>
              </w:rPr>
            </w:pPr>
            <w:r>
              <w:rPr>
                <w:rFonts w:hAnsi="宋体"/>
                <w:kern w:val="0"/>
                <w:sz w:val="24"/>
              </w:rPr>
              <w:t>（</w:t>
            </w:r>
            <w:r>
              <w:rPr>
                <w:kern w:val="0"/>
                <w:sz w:val="24"/>
              </w:rPr>
              <w:t xml:space="preserve">E </w:t>
            </w:r>
            <w:r>
              <w:rPr>
                <w:rFonts w:hint="eastAsia"/>
                <w:color w:val="auto"/>
                <w:kern w:val="0"/>
                <w:sz w:val="24"/>
                <w:u w:val="single"/>
                <w:lang w:val="en-US" w:eastAsia="zh-CN"/>
              </w:rPr>
              <w:t>119</w:t>
            </w:r>
            <w:r>
              <w:rPr>
                <w:rFonts w:hAnsi="宋体"/>
                <w:color w:val="auto"/>
                <w:kern w:val="0"/>
                <w:sz w:val="24"/>
              </w:rPr>
              <w:t>度</w:t>
            </w:r>
            <w:r>
              <w:rPr>
                <w:rFonts w:hint="eastAsia"/>
                <w:color w:val="auto"/>
                <w:kern w:val="0"/>
                <w:sz w:val="24"/>
                <w:u w:val="single"/>
                <w:lang w:val="en-US" w:eastAsia="zh-CN"/>
              </w:rPr>
              <w:t>52</w:t>
            </w:r>
            <w:r>
              <w:rPr>
                <w:rFonts w:hAnsi="宋体"/>
                <w:color w:val="auto"/>
                <w:kern w:val="0"/>
                <w:sz w:val="24"/>
              </w:rPr>
              <w:t>分</w:t>
            </w:r>
            <w:r>
              <w:rPr>
                <w:rFonts w:hint="eastAsia"/>
                <w:color w:val="auto"/>
                <w:kern w:val="0"/>
                <w:sz w:val="24"/>
                <w:u w:val="single"/>
                <w:lang w:val="en-US" w:eastAsia="zh-CN"/>
              </w:rPr>
              <w:t>47.273</w:t>
            </w:r>
            <w:r>
              <w:rPr>
                <w:rFonts w:hAnsi="宋体"/>
                <w:color w:val="auto"/>
                <w:kern w:val="0"/>
                <w:sz w:val="24"/>
              </w:rPr>
              <w:t>秒，</w:t>
            </w:r>
            <w:r>
              <w:rPr>
                <w:color w:val="auto"/>
                <w:kern w:val="0"/>
                <w:sz w:val="24"/>
              </w:rPr>
              <w:t xml:space="preserve">N </w:t>
            </w:r>
            <w:r>
              <w:rPr>
                <w:color w:val="auto"/>
                <w:kern w:val="0"/>
                <w:sz w:val="24"/>
                <w:u w:val="single"/>
              </w:rPr>
              <w:t>30</w:t>
            </w:r>
            <w:r>
              <w:rPr>
                <w:rFonts w:hAnsi="宋体"/>
                <w:color w:val="auto"/>
                <w:kern w:val="0"/>
                <w:sz w:val="24"/>
              </w:rPr>
              <w:t>度</w:t>
            </w:r>
            <w:r>
              <w:rPr>
                <w:rFonts w:hint="eastAsia"/>
                <w:color w:val="auto"/>
                <w:kern w:val="0"/>
                <w:sz w:val="24"/>
                <w:u w:val="single"/>
                <w:lang w:val="en-US" w:eastAsia="zh-CN"/>
              </w:rPr>
              <w:t>55</w:t>
            </w:r>
            <w:r>
              <w:rPr>
                <w:rFonts w:hAnsi="宋体"/>
                <w:color w:val="auto"/>
                <w:kern w:val="0"/>
                <w:sz w:val="24"/>
              </w:rPr>
              <w:t>分</w:t>
            </w:r>
            <w:r>
              <w:rPr>
                <w:rFonts w:hint="eastAsia"/>
                <w:color w:val="auto"/>
                <w:kern w:val="0"/>
                <w:sz w:val="24"/>
                <w:u w:val="single"/>
                <w:lang w:val="en-US" w:eastAsia="zh-CN"/>
              </w:rPr>
              <w:t>48.232</w:t>
            </w:r>
            <w:r>
              <w:rPr>
                <w:rFonts w:hAnsi="宋体"/>
                <w:color w:val="auto"/>
                <w:kern w:val="0"/>
                <w:sz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bCs/>
                <w:kern w:val="0"/>
                <w:sz w:val="24"/>
              </w:rPr>
            </w:pPr>
            <w:r>
              <w:rPr>
                <w:rFonts w:hAnsi="宋体"/>
                <w:bCs/>
                <w:kern w:val="0"/>
                <w:sz w:val="24"/>
              </w:rPr>
              <w:t>国民经济</w:t>
            </w:r>
          </w:p>
          <w:p>
            <w:pPr>
              <w:widowControl/>
              <w:wordWrap w:val="0"/>
              <w:jc w:val="center"/>
              <w:rPr>
                <w:bCs/>
                <w:kern w:val="0"/>
                <w:sz w:val="24"/>
              </w:rPr>
            </w:pPr>
            <w:r>
              <w:rPr>
                <w:rFonts w:hAnsi="宋体"/>
                <w:bCs/>
                <w:kern w:val="0"/>
                <w:sz w:val="24"/>
              </w:rPr>
              <w:t>行业类别</w:t>
            </w:r>
          </w:p>
        </w:tc>
        <w:tc>
          <w:tcPr>
            <w:tcW w:w="2690" w:type="dxa"/>
            <w:noWrap/>
            <w:tcMar>
              <w:top w:w="84" w:type="dxa"/>
              <w:left w:w="167" w:type="dxa"/>
              <w:bottom w:w="84" w:type="dxa"/>
              <w:right w:w="167" w:type="dxa"/>
            </w:tcMar>
            <w:vAlign w:val="center"/>
          </w:tcPr>
          <w:p>
            <w:pPr>
              <w:widowControl/>
              <w:jc w:val="center"/>
              <w:rPr>
                <w:bCs/>
                <w:kern w:val="0"/>
                <w:sz w:val="24"/>
              </w:rPr>
            </w:pPr>
            <w:r>
              <w:rPr>
                <w:rFonts w:hAnsi="宋体"/>
                <w:bCs/>
                <w:kern w:val="0"/>
                <w:sz w:val="24"/>
              </w:rPr>
              <w:t>化纤织造加工</w:t>
            </w:r>
            <w:r>
              <w:rPr>
                <w:bCs/>
                <w:kern w:val="0"/>
                <w:sz w:val="24"/>
              </w:rPr>
              <w:t>C1751</w:t>
            </w:r>
          </w:p>
          <w:p>
            <w:pPr>
              <w:widowControl/>
              <w:jc w:val="center"/>
              <w:rPr>
                <w:rFonts w:hint="eastAsia" w:eastAsia="宋体"/>
                <w:bCs/>
                <w:kern w:val="0"/>
                <w:sz w:val="24"/>
                <w:lang w:eastAsia="zh-CN"/>
              </w:rPr>
            </w:pPr>
            <w:r>
              <w:rPr>
                <w:rFonts w:hint="eastAsia"/>
                <w:bCs/>
                <w:kern w:val="0"/>
                <w:sz w:val="24"/>
                <w:lang w:eastAsia="zh-CN"/>
              </w:rPr>
              <w:t>涤纶纤维制造</w:t>
            </w:r>
            <w:r>
              <w:rPr>
                <w:rFonts w:hint="eastAsia"/>
                <w:bCs/>
                <w:kern w:val="0"/>
                <w:sz w:val="24"/>
                <w:lang w:val="en-US" w:eastAsia="zh-CN"/>
              </w:rPr>
              <w:t xml:space="preserve"> C2822</w:t>
            </w:r>
          </w:p>
        </w:tc>
        <w:tc>
          <w:tcPr>
            <w:tcW w:w="1450" w:type="dxa"/>
            <w:noWrap/>
            <w:tcMar>
              <w:top w:w="16" w:type="dxa"/>
              <w:left w:w="16" w:type="dxa"/>
              <w:bottom w:w="0" w:type="dxa"/>
              <w:right w:w="16" w:type="dxa"/>
            </w:tcMar>
            <w:vAlign w:val="center"/>
          </w:tcPr>
          <w:p>
            <w:pPr>
              <w:widowControl/>
              <w:wordWrap w:val="0"/>
              <w:jc w:val="center"/>
              <w:rPr>
                <w:bCs/>
                <w:kern w:val="0"/>
                <w:sz w:val="24"/>
              </w:rPr>
            </w:pPr>
            <w:r>
              <w:rPr>
                <w:rFonts w:hAnsi="宋体"/>
                <w:bCs/>
                <w:kern w:val="0"/>
                <w:sz w:val="24"/>
              </w:rPr>
              <w:t>建设项目</w:t>
            </w:r>
          </w:p>
          <w:p>
            <w:pPr>
              <w:widowControl/>
              <w:wordWrap w:val="0"/>
              <w:jc w:val="center"/>
              <w:rPr>
                <w:bCs/>
                <w:kern w:val="0"/>
                <w:sz w:val="24"/>
              </w:rPr>
            </w:pPr>
            <w:r>
              <w:rPr>
                <w:rFonts w:hAnsi="宋体"/>
                <w:bCs/>
                <w:kern w:val="0"/>
                <w:sz w:val="24"/>
              </w:rPr>
              <w:t>行业类别</w:t>
            </w:r>
          </w:p>
        </w:tc>
        <w:tc>
          <w:tcPr>
            <w:tcW w:w="3477" w:type="dxa"/>
            <w:noWrap/>
            <w:tcMar>
              <w:top w:w="16" w:type="dxa"/>
              <w:left w:w="16" w:type="dxa"/>
              <w:bottom w:w="0" w:type="dxa"/>
              <w:right w:w="16" w:type="dxa"/>
            </w:tcMar>
            <w:vAlign w:val="center"/>
          </w:tcPr>
          <w:p>
            <w:pPr>
              <w:widowControl/>
              <w:rPr>
                <w:sz w:val="24"/>
              </w:rPr>
            </w:pPr>
            <w:r>
              <w:rPr>
                <w:rFonts w:hAnsi="宋体"/>
                <w:sz w:val="24"/>
              </w:rPr>
              <w:t>十四、纺织业</w:t>
            </w:r>
            <w:r>
              <w:rPr>
                <w:sz w:val="24"/>
              </w:rPr>
              <w:t xml:space="preserve"> 17</w:t>
            </w:r>
            <w:r>
              <w:rPr>
                <w:rFonts w:hint="eastAsia"/>
                <w:sz w:val="24"/>
                <w:lang w:val="en-US" w:eastAsia="zh-CN"/>
              </w:rPr>
              <w:t xml:space="preserve">  </w:t>
            </w:r>
            <w:r>
              <w:rPr>
                <w:sz w:val="24"/>
              </w:rPr>
              <w:t>28.</w:t>
            </w:r>
            <w:r>
              <w:rPr>
                <w:rFonts w:hAnsi="宋体"/>
                <w:sz w:val="24"/>
              </w:rPr>
              <w:t>化纤织造及印染精加工</w:t>
            </w:r>
            <w:r>
              <w:rPr>
                <w:sz w:val="24"/>
              </w:rPr>
              <w:t>175</w:t>
            </w:r>
          </w:p>
          <w:p>
            <w:pPr>
              <w:widowControl/>
              <w:rPr>
                <w:rFonts w:hint="eastAsia" w:eastAsia="宋体"/>
                <w:kern w:val="0"/>
                <w:sz w:val="24"/>
                <w:lang w:eastAsia="zh-CN"/>
              </w:rPr>
            </w:pPr>
            <w:r>
              <w:rPr>
                <w:rFonts w:hint="eastAsia"/>
                <w:sz w:val="24"/>
                <w:lang w:eastAsia="zh-CN"/>
              </w:rPr>
              <w:t>二十五、化学纤维制造业28  50.合成纤维制造282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bCs/>
                <w:kern w:val="0"/>
                <w:sz w:val="24"/>
              </w:rPr>
            </w:pPr>
            <w:r>
              <w:rPr>
                <w:rFonts w:hAnsi="宋体"/>
                <w:bCs/>
                <w:kern w:val="0"/>
                <w:sz w:val="24"/>
              </w:rPr>
              <w:t>建设性质</w:t>
            </w:r>
          </w:p>
        </w:tc>
        <w:tc>
          <w:tcPr>
            <w:tcW w:w="2690" w:type="dxa"/>
            <w:noWrap/>
            <w:tcMar>
              <w:top w:w="84" w:type="dxa"/>
              <w:left w:w="167" w:type="dxa"/>
              <w:bottom w:w="84" w:type="dxa"/>
              <w:right w:w="167" w:type="dxa"/>
            </w:tcMar>
            <w:vAlign w:val="center"/>
          </w:tcPr>
          <w:p>
            <w:pPr>
              <w:widowControl/>
              <w:wordWrap w:val="0"/>
              <w:jc w:val="left"/>
              <w:rPr>
                <w:kern w:val="0"/>
                <w:sz w:val="24"/>
              </w:rPr>
            </w:pPr>
            <w:r>
              <w:rPr>
                <w:kern w:val="0"/>
                <w:sz w:val="24"/>
              </w:rPr>
              <w:sym w:font="Wingdings 2" w:char="00A3"/>
            </w:r>
            <w:r>
              <w:rPr>
                <w:rFonts w:hAnsi="宋体"/>
                <w:kern w:val="0"/>
                <w:sz w:val="24"/>
              </w:rPr>
              <w:t>新建（迁建）</w:t>
            </w:r>
          </w:p>
          <w:p>
            <w:pPr>
              <w:widowControl/>
              <w:wordWrap w:val="0"/>
              <w:jc w:val="left"/>
              <w:rPr>
                <w:kern w:val="0"/>
                <w:sz w:val="24"/>
              </w:rPr>
            </w:pPr>
            <w:r>
              <w:rPr>
                <w:kern w:val="0"/>
                <w:sz w:val="24"/>
              </w:rPr>
              <w:sym w:font="Wingdings 2" w:char="0052"/>
            </w:r>
            <w:r>
              <w:rPr>
                <w:rFonts w:hAnsi="宋体"/>
                <w:kern w:val="0"/>
                <w:sz w:val="24"/>
              </w:rPr>
              <w:t>改建</w:t>
            </w:r>
          </w:p>
          <w:p>
            <w:pPr>
              <w:widowControl/>
              <w:wordWrap w:val="0"/>
              <w:jc w:val="left"/>
              <w:rPr>
                <w:kern w:val="0"/>
                <w:sz w:val="24"/>
              </w:rPr>
            </w:pPr>
            <w:r>
              <w:rPr>
                <w:kern w:val="0"/>
                <w:sz w:val="24"/>
              </w:rPr>
              <w:sym w:font="Wingdings 2" w:char="00A3"/>
            </w:r>
            <w:r>
              <w:rPr>
                <w:rFonts w:hAnsi="宋体"/>
                <w:kern w:val="0"/>
                <w:sz w:val="24"/>
              </w:rPr>
              <w:t>扩建</w:t>
            </w:r>
          </w:p>
          <w:p>
            <w:pPr>
              <w:widowControl/>
              <w:wordWrap w:val="0"/>
              <w:jc w:val="left"/>
              <w:rPr>
                <w:bCs/>
                <w:kern w:val="0"/>
                <w:sz w:val="24"/>
              </w:rPr>
            </w:pPr>
            <w:r>
              <w:rPr>
                <w:kern w:val="0"/>
                <w:sz w:val="24"/>
              </w:rPr>
              <w:sym w:font="Wingdings 2" w:char="00A3"/>
            </w:r>
            <w:r>
              <w:rPr>
                <w:rFonts w:hAnsi="宋体"/>
                <w:kern w:val="0"/>
                <w:sz w:val="24"/>
              </w:rPr>
              <w:t>技术改造</w:t>
            </w:r>
          </w:p>
        </w:tc>
        <w:tc>
          <w:tcPr>
            <w:tcW w:w="1450" w:type="dxa"/>
            <w:noWrap/>
            <w:tcMar>
              <w:top w:w="16" w:type="dxa"/>
              <w:left w:w="16" w:type="dxa"/>
              <w:bottom w:w="0" w:type="dxa"/>
              <w:right w:w="16" w:type="dxa"/>
            </w:tcMar>
            <w:vAlign w:val="center"/>
          </w:tcPr>
          <w:p>
            <w:pPr>
              <w:widowControl/>
              <w:wordWrap w:val="0"/>
              <w:jc w:val="center"/>
              <w:rPr>
                <w:bCs/>
                <w:kern w:val="0"/>
                <w:sz w:val="24"/>
              </w:rPr>
            </w:pPr>
            <w:r>
              <w:rPr>
                <w:rFonts w:hAnsi="宋体"/>
                <w:bCs/>
                <w:kern w:val="0"/>
                <w:sz w:val="24"/>
              </w:rPr>
              <w:t>建设项目</w:t>
            </w:r>
          </w:p>
          <w:p>
            <w:pPr>
              <w:widowControl/>
              <w:wordWrap w:val="0"/>
              <w:jc w:val="center"/>
              <w:rPr>
                <w:bCs/>
                <w:kern w:val="0"/>
                <w:sz w:val="24"/>
              </w:rPr>
            </w:pPr>
            <w:r>
              <w:rPr>
                <w:rFonts w:hAnsi="宋体"/>
                <w:bCs/>
                <w:kern w:val="0"/>
                <w:sz w:val="24"/>
              </w:rPr>
              <w:t>申报情形</w:t>
            </w:r>
          </w:p>
        </w:tc>
        <w:tc>
          <w:tcPr>
            <w:tcW w:w="3477" w:type="dxa"/>
            <w:noWrap/>
            <w:tcMar>
              <w:top w:w="16" w:type="dxa"/>
              <w:left w:w="16" w:type="dxa"/>
              <w:bottom w:w="0" w:type="dxa"/>
              <w:right w:w="16" w:type="dxa"/>
            </w:tcMar>
            <w:vAlign w:val="center"/>
          </w:tcPr>
          <w:p>
            <w:pPr>
              <w:widowControl/>
              <w:wordWrap w:val="0"/>
              <w:jc w:val="left"/>
              <w:rPr>
                <w:kern w:val="0"/>
                <w:sz w:val="24"/>
              </w:rPr>
            </w:pPr>
            <w:r>
              <w:rPr>
                <w:kern w:val="0"/>
                <w:sz w:val="24"/>
              </w:rPr>
              <w:sym w:font="Wingdings 2" w:char="0052"/>
            </w:r>
            <w:r>
              <w:rPr>
                <w:rFonts w:hAnsi="宋体"/>
                <w:kern w:val="0"/>
                <w:sz w:val="24"/>
              </w:rPr>
              <w:t>首次申报项目</w:t>
            </w:r>
          </w:p>
          <w:p>
            <w:pPr>
              <w:widowControl/>
              <w:wordWrap w:val="0"/>
              <w:jc w:val="left"/>
              <w:rPr>
                <w:kern w:val="0"/>
                <w:sz w:val="24"/>
              </w:rPr>
            </w:pPr>
            <w:r>
              <w:rPr>
                <w:kern w:val="0"/>
                <w:sz w:val="24"/>
              </w:rPr>
              <w:t>□</w:t>
            </w:r>
            <w:r>
              <w:rPr>
                <w:rFonts w:hAnsi="宋体"/>
                <w:kern w:val="0"/>
                <w:sz w:val="24"/>
              </w:rPr>
              <w:t>不予批准后再次申报项目</w:t>
            </w:r>
          </w:p>
          <w:p>
            <w:pPr>
              <w:widowControl/>
              <w:wordWrap w:val="0"/>
              <w:jc w:val="left"/>
              <w:rPr>
                <w:kern w:val="0"/>
                <w:sz w:val="24"/>
              </w:rPr>
            </w:pPr>
            <w:r>
              <w:rPr>
                <w:kern w:val="0"/>
                <w:sz w:val="24"/>
              </w:rPr>
              <w:t>□</w:t>
            </w:r>
            <w:r>
              <w:rPr>
                <w:rFonts w:hAnsi="宋体"/>
                <w:kern w:val="0"/>
                <w:sz w:val="24"/>
              </w:rPr>
              <w:t>超五年重新审核项目</w:t>
            </w:r>
            <w:r>
              <w:rPr>
                <w:kern w:val="0"/>
                <w:sz w:val="24"/>
              </w:rPr>
              <w:t>    </w:t>
            </w:r>
          </w:p>
          <w:p>
            <w:pPr>
              <w:widowControl/>
              <w:wordWrap w:val="0"/>
              <w:jc w:val="left"/>
              <w:rPr>
                <w:kern w:val="0"/>
                <w:sz w:val="24"/>
              </w:rPr>
            </w:pPr>
            <w:r>
              <w:rPr>
                <w:kern w:val="0"/>
                <w:sz w:val="24"/>
              </w:rPr>
              <w:t>□</w:t>
            </w:r>
            <w:r>
              <w:rPr>
                <w:rFonts w:hAnsi="宋体"/>
                <w:kern w:val="0"/>
                <w:sz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54" w:type="dxa"/>
            <w:noWrap/>
            <w:tcMar>
              <w:top w:w="16" w:type="dxa"/>
              <w:left w:w="16" w:type="dxa"/>
              <w:bottom w:w="0" w:type="dxa"/>
              <w:right w:w="16" w:type="dxa"/>
            </w:tcMar>
            <w:vAlign w:val="center"/>
          </w:tcPr>
          <w:p>
            <w:pPr>
              <w:widowControl/>
              <w:wordWrap w:val="0"/>
              <w:jc w:val="center"/>
              <w:rPr>
                <w:bCs/>
                <w:color w:val="auto"/>
                <w:kern w:val="0"/>
                <w:sz w:val="24"/>
              </w:rPr>
            </w:pPr>
            <w:r>
              <w:rPr>
                <w:rFonts w:hAnsi="宋体"/>
                <w:bCs/>
                <w:color w:val="auto"/>
                <w:kern w:val="0"/>
                <w:sz w:val="24"/>
              </w:rPr>
              <w:t>项目审批（核准</w:t>
            </w:r>
            <w:r>
              <w:rPr>
                <w:bCs/>
                <w:color w:val="auto"/>
                <w:kern w:val="0"/>
                <w:sz w:val="24"/>
              </w:rPr>
              <w:t>/</w:t>
            </w:r>
            <w:r>
              <w:rPr>
                <w:rFonts w:hAnsi="宋体"/>
                <w:bCs/>
                <w:color w:val="auto"/>
                <w:kern w:val="0"/>
                <w:sz w:val="24"/>
              </w:rPr>
              <w:t>备案）部门</w:t>
            </w:r>
          </w:p>
          <w:p>
            <w:pPr>
              <w:widowControl/>
              <w:wordWrap w:val="0"/>
              <w:jc w:val="center"/>
              <w:rPr>
                <w:bCs/>
                <w:color w:val="auto"/>
                <w:kern w:val="0"/>
                <w:sz w:val="24"/>
              </w:rPr>
            </w:pPr>
            <w:r>
              <w:rPr>
                <w:rFonts w:hAnsi="宋体"/>
                <w:bCs/>
                <w:color w:val="auto"/>
                <w:kern w:val="0"/>
                <w:sz w:val="24"/>
              </w:rPr>
              <w:t>（选填）</w:t>
            </w:r>
          </w:p>
        </w:tc>
        <w:tc>
          <w:tcPr>
            <w:tcW w:w="2690" w:type="dxa"/>
            <w:noWrap/>
            <w:tcMar>
              <w:top w:w="84" w:type="dxa"/>
              <w:left w:w="167" w:type="dxa"/>
              <w:bottom w:w="84" w:type="dxa"/>
              <w:right w:w="167" w:type="dxa"/>
            </w:tcMar>
            <w:vAlign w:val="center"/>
          </w:tcPr>
          <w:p>
            <w:pPr>
              <w:widowControl/>
              <w:wordWrap w:val="0"/>
              <w:jc w:val="center"/>
              <w:rPr>
                <w:bCs/>
                <w:color w:val="auto"/>
                <w:kern w:val="0"/>
                <w:sz w:val="24"/>
              </w:rPr>
            </w:pPr>
            <w:r>
              <w:rPr>
                <w:rFonts w:hint="eastAsia"/>
                <w:bCs/>
                <w:color w:val="auto"/>
                <w:spacing w:val="-6"/>
                <w:kern w:val="0"/>
                <w:sz w:val="24"/>
              </w:rPr>
              <w:t>长兴县经济和信息化局</w:t>
            </w:r>
          </w:p>
        </w:tc>
        <w:tc>
          <w:tcPr>
            <w:tcW w:w="1450" w:type="dxa"/>
            <w:noWrap/>
            <w:tcMar>
              <w:top w:w="16" w:type="dxa"/>
              <w:left w:w="16" w:type="dxa"/>
              <w:bottom w:w="0" w:type="dxa"/>
              <w:right w:w="16" w:type="dxa"/>
            </w:tcMar>
            <w:vAlign w:val="center"/>
          </w:tcPr>
          <w:p>
            <w:pPr>
              <w:widowControl/>
              <w:wordWrap w:val="0"/>
              <w:jc w:val="center"/>
              <w:rPr>
                <w:bCs/>
                <w:color w:val="auto"/>
                <w:kern w:val="0"/>
                <w:sz w:val="24"/>
              </w:rPr>
            </w:pPr>
            <w:r>
              <w:rPr>
                <w:rFonts w:hAnsi="宋体"/>
                <w:bCs/>
                <w:color w:val="auto"/>
                <w:kern w:val="0"/>
                <w:sz w:val="24"/>
              </w:rPr>
              <w:t>项目审批（核准</w:t>
            </w:r>
            <w:r>
              <w:rPr>
                <w:bCs/>
                <w:color w:val="auto"/>
                <w:kern w:val="0"/>
                <w:sz w:val="24"/>
              </w:rPr>
              <w:t>/</w:t>
            </w:r>
            <w:r>
              <w:rPr>
                <w:rFonts w:hAnsi="宋体"/>
                <w:bCs/>
                <w:color w:val="auto"/>
                <w:kern w:val="0"/>
                <w:sz w:val="24"/>
              </w:rPr>
              <w:t>备案）文号（选填）</w:t>
            </w:r>
          </w:p>
        </w:tc>
        <w:tc>
          <w:tcPr>
            <w:tcW w:w="3477" w:type="dxa"/>
            <w:noWrap/>
            <w:tcMar>
              <w:top w:w="16" w:type="dxa"/>
              <w:left w:w="16" w:type="dxa"/>
              <w:bottom w:w="0" w:type="dxa"/>
              <w:right w:w="16" w:type="dxa"/>
            </w:tcMar>
            <w:vAlign w:val="center"/>
          </w:tcPr>
          <w:p>
            <w:pPr>
              <w:widowControl/>
              <w:wordWrap w:val="0"/>
              <w:jc w:val="center"/>
              <w:rPr>
                <w:rFonts w:hint="eastAsia" w:eastAsia="宋体"/>
                <w:color w:val="auto"/>
                <w:kern w:val="0"/>
                <w:sz w:val="24"/>
                <w:lang w:eastAsia="zh-CN"/>
              </w:rPr>
            </w:pPr>
            <w:r>
              <w:rPr>
                <w:rFonts w:hint="eastAsia"/>
                <w:color w:val="auto"/>
                <w:kern w:val="0"/>
                <w:sz w:val="24"/>
                <w:lang w:eastAsia="zh-CN"/>
              </w:rPr>
              <w:t>2205-330522-07-02-540132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bCs/>
                <w:color w:val="auto"/>
                <w:kern w:val="0"/>
                <w:sz w:val="24"/>
              </w:rPr>
            </w:pPr>
            <w:r>
              <w:rPr>
                <w:rFonts w:hAnsi="宋体"/>
                <w:bCs/>
                <w:color w:val="auto"/>
                <w:kern w:val="0"/>
                <w:sz w:val="24"/>
              </w:rPr>
              <w:t>总投资</w:t>
            </w:r>
          </w:p>
          <w:p>
            <w:pPr>
              <w:widowControl/>
              <w:wordWrap w:val="0"/>
              <w:jc w:val="center"/>
              <w:rPr>
                <w:bCs/>
                <w:color w:val="auto"/>
                <w:kern w:val="0"/>
                <w:sz w:val="24"/>
              </w:rPr>
            </w:pPr>
            <w:r>
              <w:rPr>
                <w:rFonts w:hAnsi="宋体"/>
                <w:bCs/>
                <w:color w:val="auto"/>
                <w:kern w:val="0"/>
                <w:sz w:val="24"/>
              </w:rPr>
              <w:t>（万元）</w:t>
            </w:r>
          </w:p>
        </w:tc>
        <w:tc>
          <w:tcPr>
            <w:tcW w:w="2690" w:type="dxa"/>
            <w:noWrap/>
            <w:tcMar>
              <w:top w:w="84" w:type="dxa"/>
              <w:left w:w="167" w:type="dxa"/>
              <w:bottom w:w="84" w:type="dxa"/>
              <w:right w:w="167" w:type="dxa"/>
            </w:tcMar>
            <w:vAlign w:val="center"/>
          </w:tcPr>
          <w:p>
            <w:pPr>
              <w:widowControl/>
              <w:wordWrap w:val="0"/>
              <w:jc w:val="center"/>
              <w:rPr>
                <w:rFonts w:hint="default" w:eastAsia="宋体"/>
                <w:bCs/>
                <w:color w:val="auto"/>
                <w:kern w:val="0"/>
                <w:sz w:val="24"/>
                <w:lang w:val="en-US" w:eastAsia="zh-CN"/>
              </w:rPr>
            </w:pPr>
            <w:r>
              <w:rPr>
                <w:rFonts w:hint="eastAsia"/>
                <w:bCs/>
                <w:color w:val="auto"/>
                <w:kern w:val="0"/>
                <w:sz w:val="24"/>
                <w:lang w:val="en-US" w:eastAsia="zh-CN"/>
              </w:rPr>
              <w:t>5200</w:t>
            </w:r>
          </w:p>
        </w:tc>
        <w:tc>
          <w:tcPr>
            <w:tcW w:w="1450" w:type="dxa"/>
            <w:noWrap/>
            <w:tcMar>
              <w:top w:w="16" w:type="dxa"/>
              <w:left w:w="16" w:type="dxa"/>
              <w:bottom w:w="0" w:type="dxa"/>
              <w:right w:w="16" w:type="dxa"/>
            </w:tcMar>
            <w:vAlign w:val="center"/>
          </w:tcPr>
          <w:p>
            <w:pPr>
              <w:widowControl/>
              <w:wordWrap w:val="0"/>
              <w:jc w:val="center"/>
              <w:rPr>
                <w:bCs/>
                <w:color w:val="auto"/>
                <w:kern w:val="0"/>
                <w:sz w:val="24"/>
              </w:rPr>
            </w:pPr>
            <w:r>
              <w:rPr>
                <w:rFonts w:hAnsi="宋体"/>
                <w:bCs/>
                <w:color w:val="auto"/>
                <w:kern w:val="0"/>
                <w:sz w:val="24"/>
              </w:rPr>
              <w:t>环保投资</w:t>
            </w:r>
          </w:p>
          <w:p>
            <w:pPr>
              <w:widowControl/>
              <w:wordWrap w:val="0"/>
              <w:jc w:val="center"/>
              <w:rPr>
                <w:bCs/>
                <w:color w:val="auto"/>
                <w:kern w:val="0"/>
                <w:sz w:val="24"/>
              </w:rPr>
            </w:pPr>
            <w:r>
              <w:rPr>
                <w:rFonts w:hAnsi="宋体"/>
                <w:bCs/>
                <w:color w:val="auto"/>
                <w:kern w:val="0"/>
                <w:sz w:val="24"/>
              </w:rPr>
              <w:t>（万元）</w:t>
            </w:r>
          </w:p>
        </w:tc>
        <w:tc>
          <w:tcPr>
            <w:tcW w:w="3477" w:type="dxa"/>
            <w:noWrap/>
            <w:tcMar>
              <w:top w:w="84" w:type="dxa"/>
              <w:left w:w="167" w:type="dxa"/>
              <w:bottom w:w="84" w:type="dxa"/>
              <w:right w:w="167" w:type="dxa"/>
            </w:tcMar>
            <w:vAlign w:val="center"/>
          </w:tcPr>
          <w:p>
            <w:pPr>
              <w:widowControl/>
              <w:wordWrap w:val="0"/>
              <w:jc w:val="center"/>
              <w:rPr>
                <w:rFonts w:hint="default" w:eastAsia="宋体"/>
                <w:color w:val="auto"/>
                <w:kern w:val="0"/>
                <w:sz w:val="24"/>
                <w:lang w:val="en-US" w:eastAsia="zh-CN"/>
              </w:rPr>
            </w:pPr>
            <w:r>
              <w:rPr>
                <w:rFonts w:hint="eastAsia"/>
                <w:color w:val="auto"/>
                <w:kern w:val="0"/>
                <w:sz w:val="24"/>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bCs/>
                <w:color w:val="auto"/>
                <w:kern w:val="0"/>
                <w:sz w:val="24"/>
              </w:rPr>
            </w:pPr>
            <w:r>
              <w:rPr>
                <w:rFonts w:hAnsi="宋体"/>
                <w:bCs/>
                <w:color w:val="auto"/>
                <w:kern w:val="0"/>
                <w:sz w:val="24"/>
              </w:rPr>
              <w:t>环保投资占比（</w:t>
            </w:r>
            <w:r>
              <w:rPr>
                <w:bCs/>
                <w:color w:val="auto"/>
                <w:kern w:val="0"/>
                <w:sz w:val="24"/>
              </w:rPr>
              <w:t>%</w:t>
            </w:r>
            <w:r>
              <w:rPr>
                <w:rFonts w:hAnsi="宋体"/>
                <w:bCs/>
                <w:color w:val="auto"/>
                <w:kern w:val="0"/>
                <w:sz w:val="24"/>
              </w:rPr>
              <w:t>）</w:t>
            </w:r>
          </w:p>
        </w:tc>
        <w:tc>
          <w:tcPr>
            <w:tcW w:w="2690" w:type="dxa"/>
            <w:noWrap/>
            <w:tcMar>
              <w:top w:w="84" w:type="dxa"/>
              <w:left w:w="167" w:type="dxa"/>
              <w:bottom w:w="84" w:type="dxa"/>
              <w:right w:w="167" w:type="dxa"/>
            </w:tcMar>
            <w:vAlign w:val="center"/>
          </w:tcPr>
          <w:p>
            <w:pPr>
              <w:widowControl/>
              <w:wordWrap w:val="0"/>
              <w:jc w:val="center"/>
              <w:rPr>
                <w:rFonts w:hint="default" w:eastAsia="宋体"/>
                <w:bCs/>
                <w:color w:val="auto"/>
                <w:kern w:val="0"/>
                <w:sz w:val="24"/>
                <w:lang w:val="en-US" w:eastAsia="zh-CN"/>
              </w:rPr>
            </w:pPr>
            <w:r>
              <w:rPr>
                <w:rFonts w:hint="eastAsia"/>
                <w:bCs/>
                <w:color w:val="auto"/>
                <w:kern w:val="0"/>
                <w:sz w:val="24"/>
                <w:lang w:val="en-US" w:eastAsia="zh-CN"/>
              </w:rPr>
              <w:t>1.21</w:t>
            </w:r>
          </w:p>
        </w:tc>
        <w:tc>
          <w:tcPr>
            <w:tcW w:w="1450" w:type="dxa"/>
            <w:noWrap/>
            <w:tcMar>
              <w:top w:w="16" w:type="dxa"/>
              <w:left w:w="16" w:type="dxa"/>
              <w:bottom w:w="0" w:type="dxa"/>
              <w:right w:w="16" w:type="dxa"/>
            </w:tcMar>
            <w:vAlign w:val="center"/>
          </w:tcPr>
          <w:p>
            <w:pPr>
              <w:widowControl/>
              <w:wordWrap w:val="0"/>
              <w:jc w:val="center"/>
              <w:rPr>
                <w:bCs/>
                <w:color w:val="auto"/>
                <w:kern w:val="0"/>
                <w:sz w:val="24"/>
              </w:rPr>
            </w:pPr>
            <w:r>
              <w:rPr>
                <w:rFonts w:hAnsi="宋体"/>
                <w:bCs/>
                <w:color w:val="auto"/>
                <w:kern w:val="0"/>
                <w:sz w:val="24"/>
              </w:rPr>
              <w:t>施工工期</w:t>
            </w:r>
          </w:p>
        </w:tc>
        <w:tc>
          <w:tcPr>
            <w:tcW w:w="3477" w:type="dxa"/>
            <w:noWrap/>
            <w:tcMar>
              <w:top w:w="84" w:type="dxa"/>
              <w:left w:w="167" w:type="dxa"/>
              <w:bottom w:w="84" w:type="dxa"/>
              <w:right w:w="167" w:type="dxa"/>
            </w:tcMar>
            <w:vAlign w:val="center"/>
          </w:tcPr>
          <w:p>
            <w:pPr>
              <w:widowControl/>
              <w:wordWrap w:val="0"/>
              <w:jc w:val="center"/>
              <w:rPr>
                <w:color w:val="auto"/>
                <w:kern w:val="0"/>
                <w:sz w:val="24"/>
              </w:rPr>
            </w:pPr>
            <w:r>
              <w:rPr>
                <w:rFonts w:hint="eastAsia"/>
                <w:color w:val="auto"/>
                <w:kern w:val="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54" w:type="dxa"/>
            <w:noWrap/>
            <w:tcMar>
              <w:top w:w="16" w:type="dxa"/>
              <w:left w:w="16" w:type="dxa"/>
              <w:bottom w:w="0" w:type="dxa"/>
              <w:right w:w="16" w:type="dxa"/>
            </w:tcMar>
            <w:vAlign w:val="center"/>
          </w:tcPr>
          <w:p>
            <w:pPr>
              <w:widowControl/>
              <w:wordWrap w:val="0"/>
              <w:jc w:val="center"/>
              <w:rPr>
                <w:rFonts w:hAnsi="宋体"/>
                <w:bCs/>
                <w:color w:val="auto"/>
                <w:kern w:val="0"/>
                <w:sz w:val="24"/>
              </w:rPr>
            </w:pPr>
            <w:r>
              <w:rPr>
                <w:rFonts w:hAnsi="宋体"/>
                <w:bCs/>
                <w:color w:val="auto"/>
                <w:kern w:val="0"/>
                <w:sz w:val="24"/>
              </w:rPr>
              <w:t>是否开工</w:t>
            </w:r>
          </w:p>
          <w:p>
            <w:pPr>
              <w:widowControl/>
              <w:wordWrap w:val="0"/>
              <w:jc w:val="center"/>
              <w:rPr>
                <w:bCs/>
                <w:color w:val="auto"/>
                <w:kern w:val="0"/>
                <w:sz w:val="24"/>
              </w:rPr>
            </w:pPr>
            <w:r>
              <w:rPr>
                <w:rFonts w:hAnsi="宋体"/>
                <w:bCs/>
                <w:color w:val="auto"/>
                <w:kern w:val="0"/>
                <w:sz w:val="24"/>
              </w:rPr>
              <w:t>建设</w:t>
            </w:r>
          </w:p>
        </w:tc>
        <w:tc>
          <w:tcPr>
            <w:tcW w:w="2690" w:type="dxa"/>
            <w:noWrap/>
            <w:tcMar>
              <w:top w:w="84" w:type="dxa"/>
              <w:left w:w="167" w:type="dxa"/>
              <w:bottom w:w="84" w:type="dxa"/>
              <w:right w:w="167" w:type="dxa"/>
            </w:tcMar>
            <w:vAlign w:val="center"/>
          </w:tcPr>
          <w:p>
            <w:pPr>
              <w:widowControl/>
              <w:wordWrap w:val="0"/>
              <w:rPr>
                <w:color w:val="auto"/>
                <w:kern w:val="0"/>
                <w:sz w:val="24"/>
              </w:rPr>
            </w:pPr>
            <w:r>
              <w:rPr>
                <w:color w:val="auto"/>
                <w:kern w:val="0"/>
                <w:sz w:val="24"/>
              </w:rPr>
              <w:sym w:font="Wingdings 2" w:char="0052"/>
            </w:r>
            <w:r>
              <w:rPr>
                <w:rFonts w:hAnsi="宋体"/>
                <w:color w:val="auto"/>
                <w:kern w:val="0"/>
                <w:sz w:val="24"/>
              </w:rPr>
              <w:t>否</w:t>
            </w:r>
          </w:p>
          <w:p>
            <w:pPr>
              <w:widowControl/>
              <w:wordWrap w:val="0"/>
              <w:rPr>
                <w:bCs/>
                <w:color w:val="auto"/>
                <w:kern w:val="0"/>
                <w:sz w:val="24"/>
              </w:rPr>
            </w:pPr>
            <w:r>
              <w:rPr>
                <w:color w:val="auto"/>
                <w:kern w:val="0"/>
                <w:sz w:val="24"/>
              </w:rPr>
              <w:sym w:font="Wingdings 2" w:char="00A3"/>
            </w:r>
            <w:r>
              <w:rPr>
                <w:rFonts w:hAnsi="宋体"/>
                <w:color w:val="auto"/>
                <w:kern w:val="0"/>
                <w:sz w:val="24"/>
              </w:rPr>
              <w:t>是：</w:t>
            </w:r>
          </w:p>
        </w:tc>
        <w:tc>
          <w:tcPr>
            <w:tcW w:w="1450" w:type="dxa"/>
            <w:noWrap/>
            <w:tcMar>
              <w:top w:w="16" w:type="dxa"/>
              <w:left w:w="16" w:type="dxa"/>
              <w:bottom w:w="0" w:type="dxa"/>
              <w:right w:w="16" w:type="dxa"/>
            </w:tcMar>
            <w:vAlign w:val="center"/>
          </w:tcPr>
          <w:p>
            <w:pPr>
              <w:widowControl/>
              <w:wordWrap w:val="0"/>
              <w:jc w:val="center"/>
              <w:rPr>
                <w:bCs/>
                <w:color w:val="auto"/>
                <w:kern w:val="0"/>
                <w:sz w:val="24"/>
              </w:rPr>
            </w:pPr>
            <w:r>
              <w:rPr>
                <w:rFonts w:hAnsi="宋体"/>
                <w:bCs/>
                <w:color w:val="auto"/>
                <w:spacing w:val="-6"/>
                <w:kern w:val="0"/>
                <w:sz w:val="24"/>
              </w:rPr>
              <w:t>用地（用海）</w:t>
            </w:r>
          </w:p>
          <w:p>
            <w:pPr>
              <w:widowControl/>
              <w:wordWrap w:val="0"/>
              <w:jc w:val="center"/>
              <w:rPr>
                <w:bCs/>
                <w:color w:val="auto"/>
                <w:kern w:val="0"/>
                <w:sz w:val="24"/>
              </w:rPr>
            </w:pPr>
            <w:r>
              <w:rPr>
                <w:rFonts w:hAnsi="宋体"/>
                <w:bCs/>
                <w:color w:val="auto"/>
                <w:spacing w:val="-6"/>
                <w:kern w:val="0"/>
                <w:sz w:val="24"/>
              </w:rPr>
              <w:t>面积（</w:t>
            </w:r>
            <w:r>
              <w:rPr>
                <w:rFonts w:hint="eastAsia"/>
                <w:bCs/>
                <w:color w:val="auto"/>
                <w:spacing w:val="-6"/>
                <w:kern w:val="0"/>
                <w:sz w:val="24"/>
                <w:lang w:eastAsia="zh-CN"/>
              </w:rPr>
              <w:t>亩</w:t>
            </w:r>
            <w:r>
              <w:rPr>
                <w:rFonts w:hAnsi="宋体"/>
                <w:bCs/>
                <w:color w:val="auto"/>
                <w:spacing w:val="-6"/>
                <w:kern w:val="0"/>
                <w:sz w:val="24"/>
              </w:rPr>
              <w:t>）</w:t>
            </w:r>
          </w:p>
        </w:tc>
        <w:tc>
          <w:tcPr>
            <w:tcW w:w="3477" w:type="dxa"/>
            <w:noWrap/>
            <w:tcMar>
              <w:top w:w="84" w:type="dxa"/>
              <w:left w:w="167" w:type="dxa"/>
              <w:bottom w:w="84" w:type="dxa"/>
              <w:right w:w="167" w:type="dxa"/>
            </w:tcMar>
            <w:vAlign w:val="center"/>
          </w:tcPr>
          <w:p>
            <w:pPr>
              <w:widowControl/>
              <w:wordWrap w:val="0"/>
              <w:jc w:val="center"/>
              <w:rPr>
                <w:rFonts w:hint="default" w:eastAsia="宋体"/>
                <w:color w:val="auto"/>
                <w:kern w:val="0"/>
                <w:sz w:val="24"/>
                <w:lang w:val="en-US" w:eastAsia="zh-CN"/>
              </w:rPr>
            </w:pPr>
            <w:r>
              <w:rPr>
                <w:rFonts w:hint="eastAsia"/>
                <w:bCs/>
                <w:color w:val="auto"/>
                <w:kern w:val="0"/>
                <w:sz w:val="24"/>
                <w:lang w:val="en-US" w:eastAsia="zh-CN"/>
              </w:rPr>
              <w:t>21.17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44" w:type="dxa"/>
            <w:gridSpan w:val="2"/>
            <w:noWrap/>
            <w:tcMar>
              <w:top w:w="84" w:type="dxa"/>
              <w:left w:w="167" w:type="dxa"/>
              <w:bottom w:w="84" w:type="dxa"/>
              <w:right w:w="167" w:type="dxa"/>
            </w:tcMar>
            <w:vAlign w:val="center"/>
          </w:tcPr>
          <w:p>
            <w:pPr>
              <w:widowControl/>
              <w:wordWrap w:val="0"/>
              <w:adjustRightInd w:val="0"/>
              <w:snapToGrid w:val="0"/>
              <w:jc w:val="center"/>
              <w:rPr>
                <w:bCs/>
                <w:kern w:val="0"/>
                <w:sz w:val="24"/>
              </w:rPr>
            </w:pPr>
            <w:r>
              <w:rPr>
                <w:rFonts w:hAnsi="宋体"/>
                <w:bCs/>
                <w:kern w:val="0"/>
                <w:sz w:val="24"/>
              </w:rPr>
              <w:t>专项评价设置情况</w:t>
            </w:r>
          </w:p>
        </w:tc>
        <w:tc>
          <w:tcPr>
            <w:tcW w:w="4927" w:type="dxa"/>
            <w:gridSpan w:val="2"/>
            <w:noWrap/>
            <w:tcMar>
              <w:top w:w="84" w:type="dxa"/>
              <w:left w:w="167" w:type="dxa"/>
              <w:bottom w:w="84" w:type="dxa"/>
              <w:right w:w="167" w:type="dxa"/>
            </w:tcMar>
            <w:vAlign w:val="center"/>
          </w:tcPr>
          <w:p>
            <w:pPr>
              <w:adjustRightInd w:val="0"/>
              <w:snapToGrid w:val="0"/>
              <w:jc w:val="center"/>
              <w:rPr>
                <w:kern w:val="0"/>
                <w:sz w:val="24"/>
              </w:rPr>
            </w:pPr>
            <w:r>
              <w:rPr>
                <w:rFonts w:hAnsi="宋体"/>
                <w:bCs/>
                <w:snapToGrid w:val="0"/>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44" w:type="dxa"/>
            <w:gridSpan w:val="2"/>
            <w:noWrap/>
            <w:tcMar>
              <w:top w:w="84" w:type="dxa"/>
              <w:left w:w="167" w:type="dxa"/>
              <w:bottom w:w="84" w:type="dxa"/>
              <w:right w:w="167" w:type="dxa"/>
            </w:tcMar>
            <w:vAlign w:val="center"/>
          </w:tcPr>
          <w:p>
            <w:pPr>
              <w:widowControl/>
              <w:wordWrap w:val="0"/>
              <w:adjustRightInd w:val="0"/>
              <w:snapToGrid w:val="0"/>
              <w:jc w:val="center"/>
              <w:rPr>
                <w:bCs/>
                <w:kern w:val="0"/>
                <w:sz w:val="24"/>
                <w:highlight w:val="none"/>
              </w:rPr>
            </w:pPr>
            <w:r>
              <w:rPr>
                <w:rFonts w:hAnsi="宋体"/>
                <w:bCs/>
                <w:kern w:val="0"/>
                <w:sz w:val="24"/>
                <w:highlight w:val="none"/>
              </w:rPr>
              <w:t>规划情况</w:t>
            </w:r>
          </w:p>
        </w:tc>
        <w:tc>
          <w:tcPr>
            <w:tcW w:w="4927" w:type="dxa"/>
            <w:gridSpan w:val="2"/>
            <w:noWrap/>
            <w:tcMar>
              <w:top w:w="84" w:type="dxa"/>
              <w:left w:w="167" w:type="dxa"/>
              <w:bottom w:w="84" w:type="dxa"/>
              <w:right w:w="167" w:type="dxa"/>
            </w:tcMar>
            <w:vAlign w:val="center"/>
          </w:tcPr>
          <w:p>
            <w:pPr>
              <w:adjustRightInd w:val="0"/>
              <w:snapToGrid w:val="0"/>
              <w:jc w:val="center"/>
              <w:rPr>
                <w:sz w:val="24"/>
                <w:highlight w:val="none"/>
              </w:rPr>
            </w:pPr>
            <w:r>
              <w:rPr>
                <w:rFonts w:hAnsi="宋体"/>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44" w:type="dxa"/>
            <w:gridSpan w:val="2"/>
            <w:noWrap/>
            <w:tcMar>
              <w:top w:w="84" w:type="dxa"/>
              <w:left w:w="167" w:type="dxa"/>
              <w:bottom w:w="84" w:type="dxa"/>
              <w:right w:w="167" w:type="dxa"/>
            </w:tcMar>
            <w:vAlign w:val="center"/>
          </w:tcPr>
          <w:p>
            <w:pPr>
              <w:widowControl/>
              <w:wordWrap w:val="0"/>
              <w:adjustRightInd w:val="0"/>
              <w:snapToGrid w:val="0"/>
              <w:jc w:val="center"/>
              <w:rPr>
                <w:bCs/>
                <w:kern w:val="0"/>
                <w:sz w:val="24"/>
                <w:highlight w:val="none"/>
              </w:rPr>
            </w:pPr>
            <w:r>
              <w:rPr>
                <w:rFonts w:hAnsi="宋体"/>
                <w:bCs/>
                <w:kern w:val="0"/>
                <w:sz w:val="24"/>
                <w:highlight w:val="none"/>
              </w:rPr>
              <w:t>规划环境影响评价情况</w:t>
            </w:r>
          </w:p>
        </w:tc>
        <w:tc>
          <w:tcPr>
            <w:tcW w:w="4927" w:type="dxa"/>
            <w:gridSpan w:val="2"/>
            <w:noWrap/>
            <w:tcMar>
              <w:top w:w="84" w:type="dxa"/>
              <w:left w:w="167" w:type="dxa"/>
              <w:bottom w:w="84" w:type="dxa"/>
              <w:right w:w="167" w:type="dxa"/>
            </w:tcMar>
            <w:vAlign w:val="center"/>
          </w:tcPr>
          <w:p>
            <w:pPr>
              <w:adjustRightInd w:val="0"/>
              <w:snapToGrid w:val="0"/>
              <w:jc w:val="center"/>
              <w:rPr>
                <w:bCs/>
                <w:snapToGrid w:val="0"/>
                <w:kern w:val="0"/>
                <w:sz w:val="24"/>
                <w:highlight w:val="none"/>
              </w:rPr>
            </w:pPr>
            <w:r>
              <w:rPr>
                <w:rFonts w:hAnsi="宋体"/>
                <w:bCs/>
                <w:snapToGrid w:val="0"/>
                <w:kern w:val="0"/>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44" w:type="dxa"/>
            <w:gridSpan w:val="2"/>
            <w:noWrap/>
            <w:tcMar>
              <w:top w:w="84" w:type="dxa"/>
              <w:left w:w="167" w:type="dxa"/>
              <w:bottom w:w="84" w:type="dxa"/>
              <w:right w:w="167" w:type="dxa"/>
            </w:tcMar>
            <w:vAlign w:val="center"/>
          </w:tcPr>
          <w:p>
            <w:pPr>
              <w:widowControl/>
              <w:wordWrap w:val="0"/>
              <w:adjustRightInd w:val="0"/>
              <w:snapToGrid w:val="0"/>
              <w:jc w:val="center"/>
              <w:rPr>
                <w:bCs/>
                <w:kern w:val="0"/>
                <w:sz w:val="24"/>
              </w:rPr>
            </w:pPr>
            <w:bookmarkStart w:id="1" w:name="_Toc31695"/>
            <w:r>
              <w:rPr>
                <w:rFonts w:hAnsi="宋体"/>
                <w:bCs/>
                <w:kern w:val="0"/>
                <w:sz w:val="24"/>
              </w:rPr>
              <w:t>规划及规划环境影响评价</w:t>
            </w:r>
          </w:p>
          <w:p>
            <w:pPr>
              <w:widowControl/>
              <w:wordWrap w:val="0"/>
              <w:adjustRightInd w:val="0"/>
              <w:snapToGrid w:val="0"/>
              <w:jc w:val="center"/>
              <w:rPr>
                <w:rFonts w:hAnsi="宋体"/>
                <w:bCs/>
                <w:kern w:val="0"/>
                <w:sz w:val="24"/>
                <w:highlight w:val="none"/>
              </w:rPr>
            </w:pPr>
            <w:r>
              <w:rPr>
                <w:rFonts w:hAnsi="宋体"/>
                <w:bCs/>
                <w:kern w:val="0"/>
                <w:sz w:val="24"/>
              </w:rPr>
              <w:t>符合性分析</w:t>
            </w:r>
          </w:p>
        </w:tc>
        <w:tc>
          <w:tcPr>
            <w:tcW w:w="4927" w:type="dxa"/>
            <w:gridSpan w:val="2"/>
            <w:noWrap/>
            <w:tcMar>
              <w:top w:w="84" w:type="dxa"/>
              <w:left w:w="167" w:type="dxa"/>
              <w:bottom w:w="84" w:type="dxa"/>
              <w:right w:w="167" w:type="dxa"/>
            </w:tcMar>
            <w:vAlign w:val="center"/>
          </w:tcPr>
          <w:p>
            <w:pPr>
              <w:adjustRightInd w:val="0"/>
              <w:snapToGrid w:val="0"/>
              <w:jc w:val="center"/>
              <w:rPr>
                <w:rFonts w:hAnsi="宋体"/>
                <w:bCs/>
                <w:snapToGrid w:val="0"/>
                <w:kern w:val="0"/>
                <w:sz w:val="24"/>
                <w:highlight w:val="none"/>
              </w:rPr>
            </w:pPr>
            <w:r>
              <w:rPr>
                <w:rFonts w:hAnsi="宋体"/>
                <w:bCs/>
                <w:snapToGrid w:val="0"/>
                <w:kern w:val="0"/>
                <w:sz w:val="24"/>
                <w:highlight w:val="none"/>
              </w:rPr>
              <w:t>无</w:t>
            </w:r>
          </w:p>
        </w:tc>
      </w:tr>
    </w:tbl>
    <w:p>
      <w:pPr>
        <w:widowControl/>
        <w:wordWrap w:val="0"/>
        <w:jc w:val="center"/>
        <w:rPr>
          <w:b/>
          <w:bCs/>
          <w:kern w:val="0"/>
          <w:sz w:val="24"/>
        </w:rPr>
        <w:sectPr>
          <w:headerReference r:id="rId11" w:type="default"/>
          <w:footerReference r:id="rId12" w:type="default"/>
          <w:footerReference r:id="rId13" w:type="even"/>
          <w:pgSz w:w="11906" w:h="16838"/>
          <w:pgMar w:top="1587" w:right="1587" w:bottom="1587" w:left="1587" w:header="851" w:footer="992" w:gutter="0"/>
          <w:pgBorders>
            <w:top w:val="none" w:sz="0" w:space="0"/>
            <w:left w:val="none" w:sz="0" w:space="0"/>
            <w:bottom w:val="none" w:sz="0" w:space="0"/>
            <w:right w:val="none" w:sz="0" w:space="0"/>
          </w:pgBorders>
          <w:pgNumType w:start="1"/>
          <w:cols w:space="0" w:num="1"/>
          <w:docGrid w:linePitch="312" w:charSpace="0"/>
        </w:sectPr>
      </w:pPr>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5"/>
        <w:gridCol w:w="8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385" w:type="dxa"/>
            <w:noWrap/>
            <w:tcMar>
              <w:top w:w="84" w:type="dxa"/>
              <w:left w:w="167" w:type="dxa"/>
              <w:bottom w:w="84" w:type="dxa"/>
              <w:right w:w="167" w:type="dxa"/>
            </w:tcMar>
            <w:vAlign w:val="center"/>
          </w:tcPr>
          <w:p>
            <w:pPr>
              <w:keepNext w:val="0"/>
              <w:keepLines w:val="0"/>
              <w:pageBreakBefore w:val="0"/>
              <w:widowControl/>
              <w:kinsoku/>
              <w:wordWrap w:val="0"/>
              <w:overflowPunct/>
              <w:topLinePunct w:val="0"/>
              <w:autoSpaceDE/>
              <w:autoSpaceDN/>
              <w:bidi w:val="0"/>
              <w:adjustRightInd/>
              <w:snapToGrid/>
              <w:jc w:val="center"/>
              <w:textAlignment w:val="auto"/>
              <w:rPr>
                <w:bCs/>
                <w:kern w:val="0"/>
                <w:sz w:val="24"/>
              </w:rPr>
            </w:pPr>
            <w:r>
              <w:rPr>
                <w:rFonts w:hAnsi="宋体"/>
                <w:bCs/>
                <w:kern w:val="0"/>
                <w:sz w:val="24"/>
              </w:rPr>
              <w:t>其他符合性分析</w:t>
            </w:r>
          </w:p>
        </w:tc>
        <w:tc>
          <w:tcPr>
            <w:tcW w:w="8686" w:type="dxa"/>
            <w:noWrap/>
            <w:tcMar>
              <w:top w:w="84" w:type="dxa"/>
              <w:left w:w="167" w:type="dxa"/>
              <w:bottom w:w="84" w:type="dxa"/>
              <w:right w:w="167" w:type="dxa"/>
            </w:tcMar>
            <w:vAlign w:val="center"/>
          </w:tcPr>
          <w:p>
            <w:pPr>
              <w:widowControl/>
              <w:spacing w:line="500" w:lineRule="exact"/>
              <w:rPr>
                <w:b/>
                <w:bCs/>
                <w:kern w:val="0"/>
                <w:sz w:val="24"/>
              </w:rPr>
            </w:pPr>
            <w:r>
              <w:rPr>
                <w:b/>
                <w:bCs/>
                <w:kern w:val="0"/>
                <w:sz w:val="24"/>
              </w:rPr>
              <w:t>1.1</w:t>
            </w:r>
            <w:r>
              <w:rPr>
                <w:rFonts w:hAnsi="宋体"/>
                <w:b/>
                <w:bCs/>
                <w:kern w:val="0"/>
                <w:sz w:val="24"/>
              </w:rPr>
              <w:t>其他符合性分析</w:t>
            </w:r>
          </w:p>
          <w:p>
            <w:pPr>
              <w:autoSpaceDE w:val="0"/>
              <w:autoSpaceDN w:val="0"/>
              <w:adjustRightInd w:val="0"/>
              <w:snapToGrid w:val="0"/>
              <w:spacing w:line="500" w:lineRule="exact"/>
              <w:rPr>
                <w:rFonts w:hint="eastAsia" w:eastAsia="宋体"/>
                <w:b/>
                <w:bCs/>
                <w:sz w:val="24"/>
                <w:lang w:val="en-US" w:eastAsia="zh-CN"/>
              </w:rPr>
            </w:pPr>
            <w:r>
              <w:rPr>
                <w:b/>
                <w:bCs/>
                <w:sz w:val="24"/>
              </w:rPr>
              <w:t>1.1.1</w:t>
            </w:r>
            <w:r>
              <w:rPr>
                <w:rFonts w:hint="eastAsia"/>
                <w:b/>
                <w:bCs/>
                <w:sz w:val="24"/>
                <w:lang w:val="en-US" w:eastAsia="zh-CN"/>
              </w:rPr>
              <w:t xml:space="preserve"> “三线一单”符合性分析</w:t>
            </w:r>
          </w:p>
          <w:p>
            <w:pPr>
              <w:spacing w:line="500" w:lineRule="exact"/>
              <w:ind w:firstLine="480" w:firstLineChars="200"/>
              <w:jc w:val="left"/>
              <w:rPr>
                <w:color w:val="000000"/>
                <w:sz w:val="24"/>
              </w:rPr>
            </w:pPr>
            <w:r>
              <w:rPr>
                <w:rFonts w:hint="eastAsia"/>
                <w:color w:val="000000"/>
                <w:sz w:val="24"/>
              </w:rPr>
              <w:t>a）生态保护红线</w:t>
            </w:r>
          </w:p>
          <w:p>
            <w:pPr>
              <w:spacing w:line="500" w:lineRule="exact"/>
              <w:ind w:firstLine="480" w:firstLineChars="200"/>
              <w:rPr>
                <w:rFonts w:hint="eastAsia"/>
                <w:color w:val="000000"/>
                <w:sz w:val="24"/>
                <w:lang w:val="en-US" w:eastAsia="zh-CN"/>
              </w:rPr>
            </w:pPr>
            <w:r>
              <w:rPr>
                <w:rFonts w:hint="eastAsia"/>
                <w:color w:val="000000"/>
                <w:sz w:val="24"/>
              </w:rPr>
              <w:t>本项目选址位于</w:t>
            </w:r>
            <w:r>
              <w:rPr>
                <w:rFonts w:hint="eastAsia"/>
                <w:color w:val="000000"/>
                <w:sz w:val="24"/>
                <w:lang w:eastAsia="zh-CN"/>
              </w:rPr>
              <w:t>浙江省长兴县虹星桥镇工业集中区</w:t>
            </w:r>
            <w:r>
              <w:rPr>
                <w:rFonts w:hint="eastAsia"/>
                <w:color w:val="000000"/>
                <w:sz w:val="24"/>
              </w:rPr>
              <w:t>内，对照《湖州市生态保护红线分布图》，项目不在生态保护红线范围内，满足生态保护红线要求。</w:t>
            </w:r>
            <w:r>
              <w:rPr>
                <w:rFonts w:hint="eastAsia"/>
                <w:color w:val="000000"/>
                <w:sz w:val="24"/>
                <w:lang w:eastAsia="zh-CN"/>
              </w:rPr>
              <w:t>具体见图</w:t>
            </w:r>
            <w:r>
              <w:rPr>
                <w:rFonts w:hint="eastAsia"/>
                <w:color w:val="000000"/>
                <w:sz w:val="24"/>
                <w:lang w:val="en-US" w:eastAsia="zh-CN"/>
              </w:rPr>
              <w:t>1.1-1。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sz w:val="24"/>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2717165</wp:posOffset>
                      </wp:positionH>
                      <wp:positionV relativeFrom="paragraph">
                        <wp:posOffset>1139825</wp:posOffset>
                      </wp:positionV>
                      <wp:extent cx="1080135" cy="221615"/>
                      <wp:effectExtent l="511175" t="12700" r="24130" b="40005"/>
                      <wp:wrapNone/>
                      <wp:docPr id="6" name="线形标注 2 6"/>
                      <wp:cNvGraphicFramePr/>
                      <a:graphic xmlns:a="http://schemas.openxmlformats.org/drawingml/2006/main">
                        <a:graphicData uri="http://schemas.microsoft.com/office/word/2010/wordprocessingShape">
                          <wps:wsp>
                            <wps:cNvSpPr/>
                            <wps:spPr>
                              <a:xfrm>
                                <a:off x="3478530" y="3852545"/>
                                <a:ext cx="1080135" cy="221615"/>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sz w:val="13"/>
                                      <w:szCs w:val="13"/>
                                      <w:lang w:eastAsia="zh-CN"/>
                                    </w:rPr>
                                  </w:pPr>
                                  <w:r>
                                    <w:rPr>
                                      <w:rFonts w:hint="eastAsia"/>
                                      <w:sz w:val="13"/>
                                      <w:szCs w:val="13"/>
                                      <w:lang w:eastAsia="zh-CN"/>
                                    </w:rPr>
                                    <w:t>长兴钱宇纺织有限公司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13.95pt;margin-top:89.75pt;height:17.45pt;width:85.05pt;z-index:251659264;v-text-anchor:middle;mso-width-relative:page;mso-height-relative:page;" fillcolor="#4F81BD [3204]" filled="t" stroked="t" coordsize="21600,21600" o:gfxdata="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ovRUPdAAAACwEAAA8AAAAAAAAAAQAgAAAAIgAAAGRycy9kb3ducmV2Lnht&#10;bFBLAQIUABQAAAAIAIdO4kAOZXemnwIAACcFAAAOAAAAAAAAAAEAIAAAACwBAABkcnMvZTJvRG9j&#10;LnhtbFBLBQYAAAAABgAGAFkBAAA9BgAAAAA=&#10;" adj="-10080,24300,-3600,4050,-1800,4050">
                      <v:fill on="t" focussize="0,0"/>
                      <v:stroke weight="2pt" color="#385D8A [3204]" joinstyle="round"/>
                      <v:imagedata o:title=""/>
                      <o:lock v:ext="edit" aspectratio="f"/>
                      <v:textbox>
                        <w:txbxContent>
                          <w:p>
                            <w:pPr>
                              <w:jc w:val="both"/>
                              <w:rPr>
                                <w:rFonts w:hint="eastAsia" w:eastAsia="宋体"/>
                                <w:sz w:val="13"/>
                                <w:szCs w:val="13"/>
                                <w:lang w:eastAsia="zh-CN"/>
                              </w:rPr>
                            </w:pPr>
                            <w:r>
                              <w:rPr>
                                <w:rFonts w:hint="eastAsia"/>
                                <w:sz w:val="13"/>
                                <w:szCs w:val="13"/>
                                <w:lang w:eastAsia="zh-CN"/>
                              </w:rPr>
                              <w:t>长兴钱宇纺织有限公司</w:t>
                            </w:r>
                          </w:p>
                        </w:txbxContent>
                      </v:textbox>
                    </v:shape>
                  </w:pict>
                </mc:Fallback>
              </mc:AlternateContent>
            </w:r>
            <w:r>
              <w:rPr>
                <w:rFonts w:hAnsi="Times New Roman"/>
                <w:lang w:val="en-US" w:eastAsia="zh-CN"/>
              </w:rPr>
              <w:drawing>
                <wp:inline distT="0" distB="0" distL="114300" distR="114300">
                  <wp:extent cx="5153025" cy="3646805"/>
                  <wp:effectExtent l="0" t="0" r="13335" b="10795"/>
                  <wp:docPr id="3" name="图片 9" descr="09生态保护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09生态保护红线分布图"/>
                          <pic:cNvPicPr>
                            <a:picLocks noChangeAspect="1"/>
                          </pic:cNvPicPr>
                        </pic:nvPicPr>
                        <pic:blipFill>
                          <a:blip r:embed="rId25"/>
                          <a:stretch>
                            <a:fillRect/>
                          </a:stretch>
                        </pic:blipFill>
                        <pic:spPr>
                          <a:xfrm>
                            <a:off x="0" y="0"/>
                            <a:ext cx="5153025" cy="36468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bCs/>
                <w:color w:val="000000"/>
                <w:sz w:val="24"/>
                <w:u w:val="single"/>
                <w:lang w:val="en-US" w:eastAsia="zh-CN"/>
              </w:rPr>
            </w:pPr>
            <w:r>
              <w:rPr>
                <w:rFonts w:hint="eastAsia"/>
                <w:b/>
                <w:bCs/>
                <w:color w:val="000000"/>
                <w:sz w:val="24"/>
                <w:u w:val="single"/>
              </w:rPr>
              <w:t>图1.1-1</w:t>
            </w:r>
            <w:r>
              <w:rPr>
                <w:rFonts w:hint="eastAsia"/>
                <w:b/>
                <w:bCs/>
                <w:color w:val="000000"/>
                <w:sz w:val="24"/>
                <w:u w:val="single"/>
                <w:lang w:val="en-US" w:eastAsia="zh-CN"/>
              </w:rPr>
              <w:t xml:space="preserve">  生态保护红线分布图</w:t>
            </w:r>
          </w:p>
          <w:p>
            <w:pPr>
              <w:spacing w:line="500" w:lineRule="exact"/>
              <w:ind w:firstLine="480" w:firstLineChars="200"/>
              <w:jc w:val="left"/>
              <w:rPr>
                <w:color w:val="000000"/>
                <w:sz w:val="24"/>
              </w:rPr>
            </w:pPr>
            <w:r>
              <w:rPr>
                <w:rFonts w:hint="eastAsia"/>
                <w:color w:val="000000"/>
                <w:sz w:val="24"/>
              </w:rPr>
              <w:t>b）环境质量底线</w:t>
            </w:r>
          </w:p>
          <w:p>
            <w:pPr>
              <w:spacing w:line="500" w:lineRule="exact"/>
              <w:ind w:firstLine="480" w:firstLineChars="200"/>
              <w:rPr>
                <w:rFonts w:hint="eastAsia"/>
                <w:color w:val="000000"/>
                <w:sz w:val="24"/>
              </w:rPr>
            </w:pPr>
            <w:r>
              <w:rPr>
                <w:rFonts w:hint="eastAsia"/>
                <w:color w:val="000000"/>
                <w:sz w:val="24"/>
              </w:rPr>
              <w:t>项目纳污水体水质达到《地表水环境质量标准》（GB3838-2002）中的Ⅲ类标准；2020年区域大气环境质量达到《环境空气质量标准》（GB3095-2012）的二级标准。现状监测结果表明，项目厂界噪声监测值可满足《声环境质量标准》（GB3096-2008）中的相应标准限值要求。本项目各类污染物均能做到达标排放，固废不排放，项目的实施不会导致区域环境质量等级的改变，不会对区域环境质量底线造成冲击。</w:t>
            </w:r>
          </w:p>
          <w:p>
            <w:pPr>
              <w:spacing w:line="500" w:lineRule="exact"/>
              <w:ind w:firstLine="480" w:firstLineChars="200"/>
              <w:rPr>
                <w:rFonts w:hint="eastAsia"/>
                <w:color w:val="000000"/>
                <w:sz w:val="24"/>
              </w:rPr>
            </w:pPr>
            <w:r>
              <w:rPr>
                <w:rFonts w:hint="eastAsia"/>
                <w:color w:val="000000"/>
                <w:sz w:val="24"/>
              </w:rPr>
              <w:t>c）资源利用上线</w:t>
            </w:r>
          </w:p>
          <w:p>
            <w:pPr>
              <w:spacing w:line="500" w:lineRule="exact"/>
              <w:ind w:firstLine="480" w:firstLineChars="200"/>
              <w:rPr>
                <w:rFonts w:hint="eastAsia"/>
                <w:color w:val="000000"/>
                <w:sz w:val="24"/>
              </w:rPr>
            </w:pPr>
            <w:r>
              <w:rPr>
                <w:rFonts w:hint="eastAsia"/>
                <w:sz w:val="24"/>
                <w:szCs w:val="24"/>
                <w:lang w:eastAsia="zh-CN"/>
              </w:rPr>
              <w:t>项目</w:t>
            </w:r>
            <w:r>
              <w:rPr>
                <w:rFonts w:hint="eastAsia"/>
                <w:sz w:val="24"/>
                <w:szCs w:val="24"/>
              </w:rPr>
              <w:t>生活用水为自来水，生产用水为</w:t>
            </w:r>
            <w:r>
              <w:rPr>
                <w:rFonts w:hint="eastAsia" w:ascii="Times New Roman" w:hAnsi="Times New Roman" w:eastAsia="宋体" w:cs="Times New Roman"/>
                <w:bCs/>
                <w:sz w:val="24"/>
                <w:szCs w:val="24"/>
              </w:rPr>
              <w:t>长兴虹溪污水处理有限公司虹星桥镇</w:t>
            </w:r>
            <w:r>
              <w:rPr>
                <w:rFonts w:hint="eastAsia" w:ascii="Times New Roman" w:hAnsi="Times New Roman" w:eastAsia="宋体" w:cs="Times New Roman"/>
                <w:bCs/>
                <w:sz w:val="24"/>
                <w:szCs w:val="24"/>
                <w:lang w:eastAsia="zh-CN"/>
              </w:rPr>
              <w:t>北片</w:t>
            </w:r>
            <w:r>
              <w:rPr>
                <w:rFonts w:hint="eastAsia" w:ascii="Times New Roman" w:hAnsi="Times New Roman" w:eastAsia="宋体" w:cs="Times New Roman"/>
                <w:bCs/>
                <w:sz w:val="24"/>
                <w:szCs w:val="24"/>
              </w:rPr>
              <w:t>中水回用站</w:t>
            </w:r>
            <w:r>
              <w:rPr>
                <w:rFonts w:hint="eastAsia"/>
                <w:sz w:val="24"/>
                <w:szCs w:val="24"/>
              </w:rPr>
              <w:t>提供的再生水，有利于水资源可持续发展利用，新鲜水用量不会对区域水资源利用上限产生明显影响</w:t>
            </w:r>
            <w:r>
              <w:rPr>
                <w:rFonts w:hint="eastAsia"/>
                <w:color w:val="000000"/>
                <w:sz w:val="24"/>
              </w:rPr>
              <w:t>。</w:t>
            </w:r>
          </w:p>
          <w:p>
            <w:pPr>
              <w:spacing w:line="500" w:lineRule="exact"/>
              <w:ind w:firstLine="480" w:firstLineChars="200"/>
              <w:rPr>
                <w:rFonts w:hint="eastAsia"/>
                <w:color w:val="000000"/>
                <w:sz w:val="24"/>
              </w:rPr>
            </w:pPr>
            <w:r>
              <w:rPr>
                <w:rFonts w:hint="eastAsia"/>
                <w:color w:val="000000"/>
                <w:sz w:val="24"/>
              </w:rPr>
              <w:t>d）生态环境准入清单管控</w:t>
            </w:r>
          </w:p>
          <w:p>
            <w:pPr>
              <w:spacing w:line="500" w:lineRule="exact"/>
              <w:ind w:firstLine="480" w:firstLineChars="200"/>
              <w:rPr>
                <w:rFonts w:hint="eastAsia"/>
                <w:color w:val="000000"/>
                <w:sz w:val="24"/>
              </w:rPr>
            </w:pPr>
            <w:r>
              <w:rPr>
                <w:rFonts w:hint="eastAsia"/>
                <w:color w:val="000000"/>
                <w:sz w:val="24"/>
              </w:rPr>
              <w:t>对照《</w:t>
            </w:r>
            <w:r>
              <w:rPr>
                <w:rFonts w:hint="eastAsia"/>
                <w:color w:val="000000"/>
                <w:sz w:val="24"/>
                <w:lang w:eastAsia="zh-CN"/>
              </w:rPr>
              <w:t>长兴县</w:t>
            </w:r>
            <w:r>
              <w:rPr>
                <w:rFonts w:hint="eastAsia"/>
                <w:color w:val="000000"/>
                <w:sz w:val="24"/>
              </w:rPr>
              <w:t>“三线一单”生态环境分区管控方案》，本项目位于湖州市长兴县虹星桥镇产业集聚重点管控单元（ZH33052220015）内，本项</w:t>
            </w:r>
            <w:r>
              <w:rPr>
                <w:rFonts w:hint="eastAsia"/>
                <w:color w:val="auto"/>
                <w:sz w:val="24"/>
              </w:rPr>
              <w:t>目</w:t>
            </w:r>
            <w:r>
              <w:rPr>
                <w:rFonts w:hint="eastAsia"/>
                <w:color w:val="auto"/>
                <w:sz w:val="24"/>
                <w:lang w:val="en-US" w:eastAsia="zh-CN"/>
              </w:rPr>
              <w:t>与</w:t>
            </w:r>
            <w:r>
              <w:rPr>
                <w:rFonts w:hint="eastAsia"/>
                <w:color w:val="auto"/>
                <w:sz w:val="24"/>
              </w:rPr>
              <w:t>生</w:t>
            </w:r>
            <w:r>
              <w:rPr>
                <w:rFonts w:hint="eastAsia"/>
                <w:color w:val="000000"/>
                <w:sz w:val="24"/>
              </w:rPr>
              <w:t>态环境准入清单要求符合性分析见表1.1-1。</w:t>
            </w:r>
          </w:p>
          <w:p>
            <w:pPr>
              <w:spacing w:line="460" w:lineRule="exact"/>
              <w:jc w:val="center"/>
              <w:rPr>
                <w:b/>
                <w:bCs/>
                <w:color w:val="000000"/>
                <w:szCs w:val="21"/>
              </w:rPr>
            </w:pPr>
            <w:r>
              <w:rPr>
                <w:b/>
                <w:bCs/>
                <w:color w:val="000000"/>
                <w:szCs w:val="21"/>
              </w:rPr>
              <w:t>表</w:t>
            </w:r>
            <w:r>
              <w:rPr>
                <w:rFonts w:hint="eastAsia"/>
                <w:b/>
                <w:bCs/>
                <w:color w:val="000000"/>
                <w:szCs w:val="21"/>
              </w:rPr>
              <w:t>1.1-1</w:t>
            </w:r>
            <w:r>
              <w:rPr>
                <w:b/>
                <w:bCs/>
                <w:color w:val="000000"/>
                <w:szCs w:val="21"/>
              </w:rPr>
              <w:t xml:space="preserve">  生态环境准入清单要求符合性分析表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3436"/>
              <w:gridCol w:w="3010"/>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170" w:type="dxa"/>
                  <w:gridSpan w:val="2"/>
                </w:tcPr>
                <w:p>
                  <w:pPr>
                    <w:widowControl/>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管控要求</w:t>
                  </w:r>
                </w:p>
              </w:tc>
              <w:tc>
                <w:tcPr>
                  <w:tcW w:w="2906" w:type="dxa"/>
                  <w:vAlign w:val="center"/>
                </w:tcPr>
                <w:p>
                  <w:pPr>
                    <w:widowControl/>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项目情况</w:t>
                  </w:r>
                </w:p>
              </w:tc>
              <w:tc>
                <w:tcPr>
                  <w:tcW w:w="861" w:type="dxa"/>
                  <w:vAlign w:val="center"/>
                </w:tcPr>
                <w:p>
                  <w:pPr>
                    <w:widowControl/>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2"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空间布局约束</w:t>
                  </w:r>
                </w:p>
              </w:tc>
              <w:tc>
                <w:tcPr>
                  <w:tcW w:w="3318" w:type="dxa"/>
                  <w:vAlign w:val="center"/>
                </w:tcPr>
                <w:p>
                  <w:pP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 xml:space="preserve">优化完善区域产业布局，合理规划布局三类工业项目，鼓励对三类工业项目进行淘汰和提升改造。在居住区和工业区、工业企业之间设置防护绿地、生态绿地等隔离带。土壤污染重点监管单位新（改、扩）建项目用地应当符合国家或地方有关建设用地土壤风险管控标准。 </w:t>
                  </w:r>
                </w:p>
              </w:tc>
              <w:tc>
                <w:tcPr>
                  <w:tcW w:w="2906" w:type="dxa"/>
                  <w:vAlign w:val="center"/>
                </w:tcPr>
                <w:p>
                  <w:pP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本项目行业分类属于二类工业项目，项目位于长兴县虹星桥镇工业园区，属于工业集聚区，位于工业平台内，不属于人口聚集区域，</w:t>
                  </w:r>
                  <w:r>
                    <w:rPr>
                      <w:rFonts w:ascii="Times New Roman" w:hAnsi="Times New Roman" w:eastAsia="宋体" w:cs="Times New Roman"/>
                      <w:bCs/>
                      <w:color w:val="000000" w:themeColor="text1"/>
                      <w:szCs w:val="21"/>
                      <w14:textFill>
                        <w14:solidFill>
                          <w14:schemeClr w14:val="tx1"/>
                        </w14:solidFill>
                      </w14:textFill>
                    </w:rPr>
                    <w:t>本项目未列入土壤污染重点监管单位。</w:t>
                  </w:r>
                </w:p>
              </w:tc>
              <w:tc>
                <w:tcPr>
                  <w:tcW w:w="86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2"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污染排放管控</w:t>
                  </w:r>
                </w:p>
              </w:tc>
              <w:tc>
                <w:tcPr>
                  <w:tcW w:w="3318" w:type="dxa"/>
                  <w:vAlign w:val="center"/>
                </w:tcPr>
                <w:p>
                  <w:pP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实施污染物总量控制制度，严格执行地区削减目标。新建二类、三类工业项目污染物排放水平要达到同行业国内先进水平。继续加强蓄电池行业整治，加大落后工艺和生产设备淘汰力度，淘汰</w:t>
                  </w:r>
                  <w:r>
                    <w:rPr>
                      <w:rFonts w:ascii="Times New Roman" w:hAnsi="Times New Roman" w:eastAsia="宋体" w:cs="Times New Roman"/>
                      <w:bCs/>
                      <w:color w:val="000000" w:themeColor="text1"/>
                      <w:szCs w:val="21"/>
                      <w14:textFill>
                        <w14:solidFill>
                          <w14:schemeClr w14:val="tx1"/>
                        </w14:solidFill>
                      </w14:textFill>
                    </w:rPr>
                    <w:t>“</w:t>
                  </w:r>
                  <w:r>
                    <w:rPr>
                      <w:rFonts w:hint="eastAsia" w:ascii="Times New Roman" w:hAnsi="Times New Roman" w:eastAsia="宋体" w:cs="Times New Roman"/>
                      <w:bCs/>
                      <w:color w:val="000000" w:themeColor="text1"/>
                      <w:szCs w:val="21"/>
                      <w14:textFill>
                        <w14:solidFill>
                          <w14:schemeClr w14:val="tx1"/>
                        </w14:solidFill>
                      </w14:textFill>
                    </w:rPr>
                    <w:t>低小散</w:t>
                  </w:r>
                  <w:r>
                    <w:rPr>
                      <w:rFonts w:ascii="Times New Roman" w:hAnsi="Times New Roman" w:eastAsia="宋体" w:cs="Times New Roman"/>
                      <w:bCs/>
                      <w:color w:val="000000" w:themeColor="text1"/>
                      <w:szCs w:val="21"/>
                      <w14:textFill>
                        <w14:solidFill>
                          <w14:schemeClr w14:val="tx1"/>
                        </w14:solidFill>
                      </w14:textFill>
                    </w:rPr>
                    <w:t>”</w:t>
                  </w:r>
                  <w:r>
                    <w:rPr>
                      <w:rFonts w:hint="eastAsia" w:ascii="Times New Roman" w:hAnsi="Times New Roman" w:eastAsia="宋体" w:cs="Times New Roman"/>
                      <w:bCs/>
                      <w:color w:val="000000" w:themeColor="text1"/>
                      <w:szCs w:val="21"/>
                      <w14:textFill>
                        <w14:solidFill>
                          <w14:schemeClr w14:val="tx1"/>
                        </w14:solidFill>
                      </w14:textFill>
                    </w:rPr>
                    <w:t>企业，优化产业布局结构，对区内蓄电池、建材行业和铸锻行业进行技术改造，淘汰落后工艺和设备，逐步提高产业准入条件。推进工业集聚区</w:t>
                  </w:r>
                  <w:r>
                    <w:rPr>
                      <w:rFonts w:ascii="Times New Roman" w:hAnsi="Times New Roman" w:eastAsia="宋体" w:cs="Times New Roman"/>
                      <w:bCs/>
                      <w:color w:val="000000" w:themeColor="text1"/>
                      <w:szCs w:val="21"/>
                      <w14:textFill>
                        <w14:solidFill>
                          <w14:schemeClr w14:val="tx1"/>
                        </w14:solidFill>
                      </w14:textFill>
                    </w:rPr>
                    <w:t>“</w:t>
                  </w:r>
                  <w:r>
                    <w:rPr>
                      <w:rFonts w:hint="eastAsia" w:ascii="Times New Roman" w:hAnsi="Times New Roman" w:eastAsia="宋体" w:cs="Times New Roman"/>
                      <w:bCs/>
                      <w:color w:val="000000" w:themeColor="text1"/>
                      <w:szCs w:val="21"/>
                      <w14:textFill>
                        <w14:solidFill>
                          <w14:schemeClr w14:val="tx1"/>
                        </w14:solidFill>
                      </w14:textFill>
                    </w:rPr>
                    <w:t>零直排区</w:t>
                  </w:r>
                  <w:r>
                    <w:rPr>
                      <w:rFonts w:ascii="Times New Roman" w:hAnsi="Times New Roman" w:eastAsia="宋体" w:cs="Times New Roman"/>
                      <w:bCs/>
                      <w:color w:val="000000" w:themeColor="text1"/>
                      <w:szCs w:val="21"/>
                      <w14:textFill>
                        <w14:solidFill>
                          <w14:schemeClr w14:val="tx1"/>
                        </w14:solidFill>
                      </w14:textFill>
                    </w:rPr>
                    <w:t>”</w:t>
                  </w:r>
                  <w:r>
                    <w:rPr>
                      <w:rFonts w:hint="eastAsia" w:ascii="Times New Roman" w:hAnsi="Times New Roman" w:eastAsia="宋体" w:cs="Times New Roman"/>
                      <w:bCs/>
                      <w:color w:val="000000" w:themeColor="text1"/>
                      <w:szCs w:val="21"/>
                      <w14:textFill>
                        <w14:solidFill>
                          <w14:schemeClr w14:val="tx1"/>
                        </w14:solidFill>
                      </w14:textFill>
                    </w:rPr>
                    <w:t>建设，所有企业实现雨污分流，现有工业集聚区内工业企业废水必须经预处理达到集中处理要求，方可进入污水集中处理设施。加强土壤和地下水污染防治。</w:t>
                  </w:r>
                </w:p>
              </w:tc>
              <w:tc>
                <w:tcPr>
                  <w:tcW w:w="2906" w:type="dxa"/>
                  <w:vAlign w:val="center"/>
                </w:tcPr>
                <w:p>
                  <w:pP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本项目</w:t>
                  </w:r>
                  <w:r>
                    <w:rPr>
                      <w:rFonts w:hint="eastAsia" w:ascii="Times New Roman" w:hAnsi="Times New Roman" w:eastAsia="宋体" w:cs="Times New Roman"/>
                      <w:bCs/>
                      <w:color w:val="000000" w:themeColor="text1"/>
                      <w:szCs w:val="21"/>
                      <w:lang w:eastAsia="zh-CN"/>
                      <w14:textFill>
                        <w14:solidFill>
                          <w14:schemeClr w14:val="tx1"/>
                        </w14:solidFill>
                      </w14:textFill>
                    </w:rPr>
                    <w:t>仅排放生活污水</w:t>
                  </w:r>
                  <w:r>
                    <w:rPr>
                      <w:rFonts w:hint="eastAsia" w:ascii="Times New Roman" w:hAnsi="Times New Roman" w:eastAsia="宋体" w:cs="Times New Roman"/>
                      <w:bCs/>
                      <w:color w:val="000000" w:themeColor="text1"/>
                      <w:szCs w:val="21"/>
                      <w14:textFill>
                        <w14:solidFill>
                          <w14:schemeClr w14:val="tx1"/>
                        </w14:solidFill>
                      </w14:textFill>
                    </w:rPr>
                    <w:t>，</w:t>
                  </w:r>
                  <w:r>
                    <w:rPr>
                      <w:rFonts w:hint="eastAsia" w:ascii="Times New Roman" w:hAnsi="Times New Roman" w:eastAsia="宋体" w:cs="Times New Roman"/>
                      <w:bCs/>
                      <w:color w:val="000000" w:themeColor="text1"/>
                      <w:szCs w:val="21"/>
                      <w:lang w:eastAsia="zh-CN"/>
                      <w14:textFill>
                        <w14:solidFill>
                          <w14:schemeClr w14:val="tx1"/>
                        </w14:solidFill>
                      </w14:textFill>
                    </w:rPr>
                    <w:t>无需申请总量；</w:t>
                  </w:r>
                  <w:r>
                    <w:rPr>
                      <w:rFonts w:hint="eastAsia" w:ascii="Times New Roman" w:hAnsi="Times New Roman" w:eastAsia="宋体" w:cs="Times New Roman"/>
                      <w:bCs/>
                      <w:color w:val="000000" w:themeColor="text1"/>
                      <w:szCs w:val="21"/>
                      <w14:textFill>
                        <w14:solidFill>
                          <w14:schemeClr w14:val="tx1"/>
                        </w14:solidFill>
                      </w14:textFill>
                    </w:rPr>
                    <w:t>本项目为改扩建二类工业项目。本项目为纺织业，已完成设备的转型升级。项目所在地污水管网已铺设完成，实施雨污分流，</w:t>
                  </w:r>
                  <w:r>
                    <w:rPr>
                      <w:rFonts w:hint="eastAsia" w:ascii="Times New Roman" w:hAnsi="Times New Roman" w:eastAsia="宋体" w:cs="Times New Roman"/>
                      <w:bCs/>
                      <w:color w:val="000000" w:themeColor="text1"/>
                      <w:szCs w:val="21"/>
                      <w:lang w:eastAsia="zh-CN"/>
                      <w14:textFill>
                        <w14:solidFill>
                          <w14:schemeClr w14:val="tx1"/>
                        </w14:solidFill>
                      </w14:textFill>
                    </w:rPr>
                    <w:t>生产</w:t>
                  </w:r>
                  <w:r>
                    <w:rPr>
                      <w:rFonts w:hint="eastAsia" w:ascii="Times New Roman" w:hAnsi="Times New Roman" w:eastAsia="宋体" w:cs="Times New Roman"/>
                      <w:bCs/>
                      <w:color w:val="000000" w:themeColor="text1"/>
                      <w:szCs w:val="21"/>
                      <w14:textFill>
                        <w14:solidFill>
                          <w14:schemeClr w14:val="tx1"/>
                        </w14:solidFill>
                      </w14:textFill>
                    </w:rPr>
                    <w:t>废水纳管至长兴虹溪污水处理有限公司虹星桥镇</w:t>
                  </w:r>
                  <w:r>
                    <w:rPr>
                      <w:rFonts w:hint="eastAsia" w:ascii="Times New Roman" w:hAnsi="Times New Roman" w:eastAsia="宋体" w:cs="Times New Roman"/>
                      <w:bCs/>
                      <w:color w:val="000000" w:themeColor="text1"/>
                      <w:szCs w:val="21"/>
                      <w:lang w:eastAsia="zh-CN"/>
                      <w14:textFill>
                        <w14:solidFill>
                          <w14:schemeClr w14:val="tx1"/>
                        </w14:solidFill>
                      </w14:textFill>
                    </w:rPr>
                    <w:t>北片</w:t>
                  </w:r>
                  <w:r>
                    <w:rPr>
                      <w:rFonts w:hint="eastAsia" w:ascii="Times New Roman" w:hAnsi="Times New Roman" w:eastAsia="宋体" w:cs="Times New Roman"/>
                      <w:bCs/>
                      <w:color w:val="000000" w:themeColor="text1"/>
                      <w:szCs w:val="21"/>
                      <w14:textFill>
                        <w14:solidFill>
                          <w14:schemeClr w14:val="tx1"/>
                        </w14:solidFill>
                      </w14:textFill>
                    </w:rPr>
                    <w:t>中水回用站后全部回用于</w:t>
                  </w:r>
                  <w:r>
                    <w:rPr>
                      <w:rFonts w:hint="eastAsia" w:ascii="Times New Roman" w:hAnsi="Times New Roman" w:eastAsia="宋体" w:cs="Times New Roman"/>
                      <w:bCs/>
                      <w:color w:val="000000" w:themeColor="text1"/>
                      <w:szCs w:val="21"/>
                      <w:lang w:eastAsia="zh-CN"/>
                      <w14:textFill>
                        <w14:solidFill>
                          <w14:schemeClr w14:val="tx1"/>
                        </w14:solidFill>
                      </w14:textFill>
                    </w:rPr>
                    <w:t>织造</w:t>
                  </w:r>
                  <w:r>
                    <w:rPr>
                      <w:rFonts w:hint="eastAsia" w:ascii="Times New Roman" w:hAnsi="Times New Roman" w:eastAsia="宋体" w:cs="Times New Roman"/>
                      <w:bCs/>
                      <w:color w:val="000000" w:themeColor="text1"/>
                      <w:szCs w:val="21"/>
                      <w14:textFill>
                        <w14:solidFill>
                          <w14:schemeClr w14:val="tx1"/>
                        </w14:solidFill>
                      </w14:textFill>
                    </w:rPr>
                    <w:t>；生活污水经预处理后</w:t>
                  </w:r>
                  <w:r>
                    <w:rPr>
                      <w:rFonts w:hint="eastAsia" w:ascii="Times New Roman" w:hAnsi="Times New Roman" w:eastAsia="宋体" w:cs="Times New Roman"/>
                      <w:bCs/>
                      <w:color w:val="000000" w:themeColor="text1"/>
                      <w:szCs w:val="21"/>
                      <w:lang w:eastAsia="zh-CN"/>
                      <w14:textFill>
                        <w14:solidFill>
                          <w14:schemeClr w14:val="tx1"/>
                        </w14:solidFill>
                      </w14:textFill>
                    </w:rPr>
                    <w:t>纳入</w:t>
                  </w:r>
                  <w:r>
                    <w:rPr>
                      <w:rFonts w:hint="eastAsia" w:ascii="Times New Roman" w:hAnsi="Times New Roman"/>
                      <w:bCs/>
                      <w:color w:val="auto"/>
                      <w:kern w:val="0"/>
                      <w:szCs w:val="21"/>
                      <w:lang w:eastAsia="zh-CN"/>
                    </w:rPr>
                    <w:t>当地农村生活污水终端系统处理达标后排放</w:t>
                  </w:r>
                  <w:r>
                    <w:rPr>
                      <w:rFonts w:hint="eastAsia" w:ascii="Times New Roman" w:hAnsi="Times New Roman" w:eastAsia="宋体" w:cs="Times New Roman"/>
                      <w:bCs/>
                      <w:color w:val="000000" w:themeColor="text1"/>
                      <w:szCs w:val="21"/>
                      <w14:textFill>
                        <w14:solidFill>
                          <w14:schemeClr w14:val="tx1"/>
                        </w14:solidFill>
                      </w14:textFill>
                    </w:rPr>
                    <w:t>。项目实施后，企业将加强土壤和地下水污染防治工作。</w:t>
                  </w:r>
                </w:p>
              </w:tc>
              <w:tc>
                <w:tcPr>
                  <w:tcW w:w="86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2"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环境风险防控</w:t>
                  </w:r>
                </w:p>
              </w:tc>
              <w:tc>
                <w:tcPr>
                  <w:tcW w:w="3318" w:type="dxa"/>
                  <w:vAlign w:val="center"/>
                </w:tcPr>
                <w:p>
                  <w:pP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控体系建设，防范重点企业环境风险。</w:t>
                  </w:r>
                </w:p>
              </w:tc>
              <w:tc>
                <w:tcPr>
                  <w:tcW w:w="2906" w:type="dxa"/>
                  <w:vAlign w:val="center"/>
                </w:tcPr>
                <w:p>
                  <w:pP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项目实施后严格控制环境风险，并要求企业及时编制应急预案及建设相应的风险防控体系，并落实防控措施。</w:t>
                  </w:r>
                </w:p>
              </w:tc>
              <w:tc>
                <w:tcPr>
                  <w:tcW w:w="86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2"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资源开发效率要求</w:t>
                  </w:r>
                </w:p>
              </w:tc>
              <w:tc>
                <w:tcPr>
                  <w:tcW w:w="3318" w:type="dxa"/>
                  <w:vAlign w:val="center"/>
                </w:tcPr>
                <w:p>
                  <w:pP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推进工业集聚区生态化改造，强化企业清洁生产改造，推进节水型企业、节水型工业园区建设，落实煤炭消费减量替代要求，提高资源能源利用效率。</w:t>
                  </w:r>
                </w:p>
              </w:tc>
              <w:tc>
                <w:tcPr>
                  <w:tcW w:w="2906" w:type="dxa"/>
                  <w:vAlign w:val="center"/>
                </w:tcPr>
                <w:p>
                  <w:pP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项目不额外占用土地资源，所用水、电用量均较小，不涉及燃料使用，实施清洁生产，生活污水经预处理后</w:t>
                  </w:r>
                  <w:r>
                    <w:rPr>
                      <w:rFonts w:hint="eastAsia" w:ascii="Times New Roman" w:hAnsi="Times New Roman"/>
                      <w:bCs/>
                      <w:color w:val="auto"/>
                      <w:kern w:val="0"/>
                      <w:szCs w:val="21"/>
                      <w:lang w:eastAsia="zh-CN"/>
                    </w:rPr>
                    <w:t>当地农村生活污水终端系统处理达标后排放</w:t>
                  </w:r>
                  <w:r>
                    <w:rPr>
                      <w:rFonts w:hint="eastAsia" w:ascii="Times New Roman" w:hAnsi="Times New Roman" w:eastAsia="宋体" w:cs="Times New Roman"/>
                      <w:bCs/>
                      <w:color w:val="000000" w:themeColor="text1"/>
                      <w:szCs w:val="21"/>
                      <w14:textFill>
                        <w14:solidFill>
                          <w14:schemeClr w14:val="tx1"/>
                        </w14:solidFill>
                      </w14:textFill>
                    </w:rPr>
                    <w:t>，织造废水纳管至长兴虹溪污水处理有限公司虹星桥镇</w:t>
                  </w:r>
                  <w:r>
                    <w:rPr>
                      <w:rFonts w:hint="eastAsia" w:ascii="Times New Roman" w:hAnsi="Times New Roman" w:eastAsia="宋体" w:cs="Times New Roman"/>
                      <w:bCs/>
                      <w:color w:val="000000" w:themeColor="text1"/>
                      <w:szCs w:val="21"/>
                      <w:lang w:eastAsia="zh-CN"/>
                      <w14:textFill>
                        <w14:solidFill>
                          <w14:schemeClr w14:val="tx1"/>
                        </w14:solidFill>
                      </w14:textFill>
                    </w:rPr>
                    <w:t>北片</w:t>
                  </w:r>
                  <w:r>
                    <w:rPr>
                      <w:rFonts w:hint="eastAsia" w:ascii="Times New Roman" w:hAnsi="Times New Roman" w:eastAsia="宋体" w:cs="Times New Roman"/>
                      <w:bCs/>
                      <w:color w:val="000000" w:themeColor="text1"/>
                      <w:szCs w:val="21"/>
                      <w14:textFill>
                        <w14:solidFill>
                          <w14:schemeClr w14:val="tx1"/>
                        </w14:solidFill>
                      </w14:textFill>
                    </w:rPr>
                    <w:t>中水回用站处理，处理后全部回用于</w:t>
                  </w:r>
                  <w:r>
                    <w:rPr>
                      <w:rFonts w:hint="eastAsia" w:ascii="Times New Roman" w:hAnsi="Times New Roman" w:eastAsia="宋体" w:cs="Times New Roman"/>
                      <w:bCs/>
                      <w:color w:val="000000" w:themeColor="text1"/>
                      <w:szCs w:val="21"/>
                      <w:lang w:eastAsia="zh-CN"/>
                      <w14:textFill>
                        <w14:solidFill>
                          <w14:schemeClr w14:val="tx1"/>
                        </w14:solidFill>
                      </w14:textFill>
                    </w:rPr>
                    <w:t>本厂织造</w:t>
                  </w:r>
                  <w:r>
                    <w:rPr>
                      <w:rFonts w:hint="eastAsia" w:ascii="Times New Roman" w:hAnsi="Times New Roman" w:eastAsia="宋体" w:cs="Times New Roman"/>
                      <w:bCs/>
                      <w:color w:val="000000" w:themeColor="text1"/>
                      <w:szCs w:val="21"/>
                      <w14:textFill>
                        <w14:solidFill>
                          <w14:schemeClr w14:val="tx1"/>
                        </w14:solidFill>
                      </w14:textFill>
                    </w:rPr>
                    <w:t xml:space="preserve">。 </w:t>
                  </w:r>
                </w:p>
              </w:tc>
              <w:tc>
                <w:tcPr>
                  <w:tcW w:w="861" w:type="dxa"/>
                  <w:vAlign w:val="center"/>
                </w:tcPr>
                <w:p>
                  <w:pPr>
                    <w:widowControl/>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bl>
          <w:p>
            <w:pPr>
              <w:spacing w:line="500" w:lineRule="exact"/>
              <w:ind w:firstLine="480" w:firstLineChars="200"/>
              <w:rPr>
                <w:rFonts w:hint="eastAsia"/>
                <w:color w:val="000000"/>
                <w:sz w:val="24"/>
              </w:rPr>
            </w:pPr>
            <w:r>
              <w:rPr>
                <w:rFonts w:hint="eastAsia"/>
                <w:color w:val="000000"/>
                <w:sz w:val="24"/>
              </w:rPr>
              <w:t>综上所述，</w:t>
            </w:r>
            <w:r>
              <w:rPr>
                <w:color w:val="000000"/>
                <w:sz w:val="24"/>
              </w:rPr>
              <w:t>项目符合《关于以改善环境质量为核心加强环境影响评价管理的通知》（环环评[2016]150号）中“三线一单”要求</w:t>
            </w:r>
            <w:r>
              <w:rPr>
                <w:rFonts w:hint="eastAsia"/>
                <w:color w:val="000000"/>
                <w:sz w:val="24"/>
              </w:rPr>
              <w:t>。</w:t>
            </w:r>
          </w:p>
          <w:p>
            <w:pPr>
              <w:pStyle w:val="2"/>
              <w:spacing w:line="500" w:lineRule="exact"/>
              <w:jc w:val="left"/>
              <w:rPr>
                <w:rFonts w:hint="eastAsia"/>
                <w:b/>
                <w:bCs/>
                <w:color w:val="000000"/>
              </w:rPr>
            </w:pPr>
            <w:r>
              <w:rPr>
                <w:rFonts w:hint="eastAsia"/>
                <w:b/>
                <w:bCs/>
                <w:color w:val="000000"/>
              </w:rPr>
              <w:t>1.1.</w:t>
            </w:r>
            <w:r>
              <w:rPr>
                <w:rFonts w:hint="eastAsia"/>
                <w:b/>
                <w:bCs/>
                <w:color w:val="000000"/>
                <w:lang w:val="en-US" w:eastAsia="zh-CN"/>
              </w:rPr>
              <w:t xml:space="preserve">2 </w:t>
            </w:r>
            <w:r>
              <w:rPr>
                <w:rFonts w:hint="eastAsia"/>
                <w:b/>
                <w:bCs/>
                <w:color w:val="000000"/>
              </w:rPr>
              <w:t>与“四性五不批”符合性分析</w:t>
            </w:r>
          </w:p>
          <w:p>
            <w:pPr>
              <w:pStyle w:val="105"/>
              <w:spacing w:before="20" w:line="500" w:lineRule="exact"/>
              <w:rPr>
                <w:rFonts w:hint="eastAsia"/>
                <w:color w:val="000000"/>
              </w:rPr>
            </w:pPr>
            <w:r>
              <w:rPr>
                <w:rFonts w:hint="eastAsia"/>
                <w:color w:val="000000"/>
              </w:rPr>
              <w:t>对照《建设项目环境保护管理条例》（中华人民共和国国务院令第682号），本项目</w:t>
            </w:r>
            <w:r>
              <w:rPr>
                <w:rFonts w:hint="eastAsia"/>
                <w:color w:val="000000"/>
                <w:lang w:val="en-US" w:eastAsia="zh-CN"/>
              </w:rPr>
              <w:t>与</w:t>
            </w:r>
            <w:r>
              <w:rPr>
                <w:rFonts w:hint="eastAsia"/>
                <w:color w:val="000000"/>
              </w:rPr>
              <w:t>“四性五不批”符合性分析见下表1.1-</w:t>
            </w:r>
            <w:r>
              <w:rPr>
                <w:rFonts w:hint="eastAsia"/>
                <w:color w:val="000000"/>
                <w:lang w:val="en-US" w:eastAsia="zh-CN"/>
              </w:rPr>
              <w:t>2</w:t>
            </w:r>
            <w:r>
              <w:rPr>
                <w:rFonts w:hint="eastAsia"/>
                <w:color w:val="000000"/>
              </w:rPr>
              <w:t>。</w:t>
            </w:r>
          </w:p>
          <w:p>
            <w:pPr>
              <w:spacing w:line="460" w:lineRule="exact"/>
              <w:jc w:val="center"/>
              <w:rPr>
                <w:b/>
                <w:bCs/>
                <w:color w:val="000000"/>
                <w:szCs w:val="21"/>
              </w:rPr>
            </w:pPr>
            <w:r>
              <w:rPr>
                <w:rFonts w:hint="eastAsia"/>
                <w:b/>
                <w:bCs/>
                <w:color w:val="000000"/>
                <w:szCs w:val="21"/>
              </w:rPr>
              <w:t>表1.1-</w:t>
            </w:r>
            <w:r>
              <w:rPr>
                <w:rFonts w:hint="eastAsia"/>
                <w:b/>
                <w:bCs/>
                <w:color w:val="000000"/>
                <w:szCs w:val="21"/>
                <w:lang w:val="en-US" w:eastAsia="zh-CN"/>
              </w:rPr>
              <w:t>2</w:t>
            </w:r>
            <w:r>
              <w:rPr>
                <w:rFonts w:hint="eastAsia"/>
                <w:b/>
                <w:bCs/>
                <w:color w:val="000000"/>
                <w:szCs w:val="21"/>
              </w:rPr>
              <w:t xml:space="preserve">  建设项目环境保护管理条例重点要求（“四性五不批”）符合性分析</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598"/>
              <w:gridCol w:w="5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5" w:type="dxa"/>
                  <w:gridSpan w:val="2"/>
                  <w:noWrap w:val="0"/>
                  <w:vAlign w:val="center"/>
                </w:tcPr>
                <w:p>
                  <w:pPr>
                    <w:jc w:val="center"/>
                    <w:rPr>
                      <w:color w:val="000000"/>
                      <w:szCs w:val="21"/>
                    </w:rPr>
                  </w:pPr>
                  <w:r>
                    <w:rPr>
                      <w:color w:val="000000"/>
                      <w:szCs w:val="21"/>
                    </w:rPr>
                    <w:t>建设项目环境保护管理条例</w:t>
                  </w:r>
                </w:p>
              </w:tc>
              <w:tc>
                <w:tcPr>
                  <w:tcW w:w="4669" w:type="dxa"/>
                  <w:noWrap w:val="0"/>
                  <w:vAlign w:val="center"/>
                </w:tcPr>
                <w:p>
                  <w:pPr>
                    <w:jc w:val="center"/>
                    <w:rPr>
                      <w:rFonts w:hint="eastAsia" w:eastAsia="宋体"/>
                      <w:color w:val="000000"/>
                      <w:szCs w:val="21"/>
                      <w:lang w:eastAsia="zh-CN"/>
                    </w:rPr>
                  </w:pPr>
                  <w:r>
                    <w:rPr>
                      <w:rFonts w:hint="eastAsia"/>
                      <w:color w:val="000000"/>
                      <w:szCs w:val="21"/>
                      <w:lang w:eastAsia="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1" w:type="dxa"/>
                  <w:vMerge w:val="restart"/>
                  <w:noWrap w:val="0"/>
                  <w:vAlign w:val="center"/>
                </w:tcPr>
                <w:p>
                  <w:pPr>
                    <w:jc w:val="center"/>
                    <w:rPr>
                      <w:color w:val="000000"/>
                      <w:szCs w:val="21"/>
                    </w:rPr>
                  </w:pPr>
                  <w:r>
                    <w:rPr>
                      <w:color w:val="000000"/>
                      <w:szCs w:val="21"/>
                    </w:rPr>
                    <w:t>四性</w:t>
                  </w:r>
                </w:p>
              </w:tc>
              <w:tc>
                <w:tcPr>
                  <w:tcW w:w="2384" w:type="dxa"/>
                  <w:noWrap w:val="0"/>
                  <w:vAlign w:val="center"/>
                </w:tcPr>
                <w:p>
                  <w:pPr>
                    <w:jc w:val="center"/>
                    <w:rPr>
                      <w:color w:val="000000"/>
                      <w:szCs w:val="21"/>
                    </w:rPr>
                  </w:pPr>
                  <w:r>
                    <w:rPr>
                      <w:color w:val="000000"/>
                      <w:szCs w:val="21"/>
                    </w:rPr>
                    <w:t>建设项目的环境可行性</w:t>
                  </w:r>
                </w:p>
              </w:tc>
              <w:tc>
                <w:tcPr>
                  <w:tcW w:w="4669" w:type="dxa"/>
                  <w:noWrap w:val="0"/>
                  <w:vAlign w:val="center"/>
                </w:tcPr>
                <w:p>
                  <w:pPr>
                    <w:rPr>
                      <w:color w:val="000000"/>
                      <w:szCs w:val="21"/>
                    </w:rPr>
                  </w:pPr>
                  <w:r>
                    <w:rPr>
                      <w:color w:val="000000"/>
                      <w:szCs w:val="21"/>
                    </w:rPr>
                    <w:t>本项目符合产业政策、达标排放、选址规划、环境规划、总量控制原则及环境质量要求等，从环保角度看，本项目在所选场地上实施是可行的。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1" w:type="dxa"/>
                  <w:vMerge w:val="continue"/>
                  <w:noWrap w:val="0"/>
                  <w:vAlign w:val="center"/>
                </w:tcPr>
                <w:p>
                  <w:pPr>
                    <w:jc w:val="center"/>
                    <w:rPr>
                      <w:color w:val="000000"/>
                      <w:szCs w:val="21"/>
                    </w:rPr>
                  </w:pPr>
                </w:p>
              </w:tc>
              <w:tc>
                <w:tcPr>
                  <w:tcW w:w="2384" w:type="dxa"/>
                  <w:noWrap w:val="0"/>
                  <w:vAlign w:val="center"/>
                </w:tcPr>
                <w:p>
                  <w:pPr>
                    <w:jc w:val="center"/>
                    <w:rPr>
                      <w:color w:val="000000"/>
                      <w:szCs w:val="21"/>
                    </w:rPr>
                  </w:pPr>
                  <w:r>
                    <w:rPr>
                      <w:color w:val="000000"/>
                      <w:szCs w:val="21"/>
                    </w:rPr>
                    <w:t>环境影响分析预测评估的可靠性</w:t>
                  </w:r>
                </w:p>
              </w:tc>
              <w:tc>
                <w:tcPr>
                  <w:tcW w:w="4669" w:type="dxa"/>
                  <w:noWrap w:val="0"/>
                  <w:vAlign w:val="center"/>
                </w:tcPr>
                <w:p>
                  <w:pPr>
                    <w:rPr>
                      <w:rFonts w:hint="eastAsia"/>
                      <w:color w:val="auto"/>
                      <w:szCs w:val="21"/>
                    </w:rPr>
                  </w:pPr>
                  <w:r>
                    <w:rPr>
                      <w:rFonts w:hint="eastAsia"/>
                      <w:color w:val="auto"/>
                      <w:szCs w:val="21"/>
                    </w:rPr>
                    <w:t>水、气、声、固废根据《建设项目环境影响报告表编制技术指南》的技术要求进行评价，是可靠的。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1" w:type="dxa"/>
                  <w:vMerge w:val="continue"/>
                  <w:noWrap w:val="0"/>
                  <w:vAlign w:val="center"/>
                </w:tcPr>
                <w:p>
                  <w:pPr>
                    <w:jc w:val="center"/>
                    <w:rPr>
                      <w:color w:val="000000"/>
                      <w:szCs w:val="21"/>
                    </w:rPr>
                  </w:pPr>
                </w:p>
              </w:tc>
              <w:tc>
                <w:tcPr>
                  <w:tcW w:w="2384" w:type="dxa"/>
                  <w:noWrap w:val="0"/>
                  <w:vAlign w:val="center"/>
                </w:tcPr>
                <w:p>
                  <w:pPr>
                    <w:jc w:val="center"/>
                    <w:rPr>
                      <w:color w:val="000000"/>
                      <w:szCs w:val="21"/>
                    </w:rPr>
                  </w:pPr>
                  <w:r>
                    <w:rPr>
                      <w:color w:val="000000"/>
                      <w:szCs w:val="21"/>
                      <w:shd w:val="clear" w:color="auto" w:fill="FFFFFF"/>
                    </w:rPr>
                    <w:t>环境保护措施的有效性</w:t>
                  </w:r>
                </w:p>
              </w:tc>
              <w:tc>
                <w:tcPr>
                  <w:tcW w:w="4669" w:type="dxa"/>
                  <w:noWrap w:val="0"/>
                  <w:vAlign w:val="center"/>
                </w:tcPr>
                <w:p>
                  <w:pPr>
                    <w:rPr>
                      <w:color w:val="auto"/>
                      <w:szCs w:val="21"/>
                    </w:rPr>
                  </w:pPr>
                  <w:r>
                    <w:rPr>
                      <w:color w:val="auto"/>
                      <w:szCs w:val="21"/>
                    </w:rPr>
                    <w:t>本项目污染物均</w:t>
                  </w:r>
                  <w:r>
                    <w:rPr>
                      <w:rFonts w:hint="eastAsia"/>
                      <w:color w:val="auto"/>
                      <w:szCs w:val="21"/>
                    </w:rPr>
                    <w:t>采用可行</w:t>
                  </w:r>
                  <w:r>
                    <w:rPr>
                      <w:color w:val="auto"/>
                      <w:szCs w:val="21"/>
                    </w:rPr>
                    <w:t>技术进行处理，从技术上分析，只要切实落实本报告提出的污染防治措施，废气、废水、噪声可做到达标排放，固废可实现零排放。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1" w:type="dxa"/>
                  <w:vMerge w:val="continue"/>
                  <w:noWrap w:val="0"/>
                  <w:vAlign w:val="center"/>
                </w:tcPr>
                <w:p>
                  <w:pPr>
                    <w:jc w:val="center"/>
                    <w:rPr>
                      <w:color w:val="000000"/>
                      <w:szCs w:val="21"/>
                    </w:rPr>
                  </w:pPr>
                </w:p>
              </w:tc>
              <w:tc>
                <w:tcPr>
                  <w:tcW w:w="2384" w:type="dxa"/>
                  <w:noWrap w:val="0"/>
                  <w:vAlign w:val="center"/>
                </w:tcPr>
                <w:p>
                  <w:pPr>
                    <w:jc w:val="center"/>
                    <w:rPr>
                      <w:color w:val="000000"/>
                      <w:szCs w:val="21"/>
                      <w:shd w:val="clear" w:color="auto" w:fill="FFFFFF"/>
                    </w:rPr>
                  </w:pPr>
                  <w:r>
                    <w:rPr>
                      <w:color w:val="000000"/>
                      <w:szCs w:val="21"/>
                      <w:shd w:val="clear" w:color="auto" w:fill="FFFFFF"/>
                    </w:rPr>
                    <w:t>环境影响评价结论的</w:t>
                  </w:r>
                </w:p>
                <w:p>
                  <w:pPr>
                    <w:jc w:val="center"/>
                    <w:rPr>
                      <w:color w:val="000000"/>
                      <w:szCs w:val="21"/>
                    </w:rPr>
                  </w:pPr>
                  <w:r>
                    <w:rPr>
                      <w:color w:val="000000"/>
                      <w:szCs w:val="21"/>
                      <w:shd w:val="clear" w:color="auto" w:fill="FFFFFF"/>
                    </w:rPr>
                    <w:t>科学性</w:t>
                  </w:r>
                </w:p>
              </w:tc>
              <w:tc>
                <w:tcPr>
                  <w:tcW w:w="4669" w:type="dxa"/>
                  <w:noWrap w:val="0"/>
                  <w:vAlign w:val="center"/>
                </w:tcPr>
                <w:p>
                  <w:pPr>
                    <w:adjustRightInd w:val="0"/>
                    <w:snapToGrid w:val="0"/>
                    <w:rPr>
                      <w:color w:val="auto"/>
                      <w:szCs w:val="21"/>
                    </w:rPr>
                  </w:pPr>
                  <w:r>
                    <w:rPr>
                      <w:color w:val="auto"/>
                      <w:szCs w:val="21"/>
                    </w:rPr>
                    <w:t>本环评结论客观、过程公开、评价公正，并综合考虑建设项目实施后对各种环境因素可能造成的影响，环评结论是科学的。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1" w:type="dxa"/>
                  <w:vMerge w:val="restart"/>
                  <w:noWrap w:val="0"/>
                  <w:vAlign w:val="center"/>
                </w:tcPr>
                <w:p>
                  <w:pPr>
                    <w:jc w:val="center"/>
                    <w:rPr>
                      <w:color w:val="000000"/>
                    </w:rPr>
                  </w:pPr>
                  <w:r>
                    <w:rPr>
                      <w:color w:val="000000"/>
                    </w:rPr>
                    <w:t>五不批</w:t>
                  </w:r>
                </w:p>
              </w:tc>
              <w:tc>
                <w:tcPr>
                  <w:tcW w:w="2384" w:type="dxa"/>
                  <w:noWrap w:val="0"/>
                  <w:vAlign w:val="center"/>
                </w:tcPr>
                <w:p>
                  <w:pPr>
                    <w:rPr>
                      <w:color w:val="000000"/>
                    </w:rPr>
                  </w:pPr>
                  <w:r>
                    <w:rPr>
                      <w:color w:val="000000"/>
                      <w:shd w:val="clear" w:color="auto" w:fill="FFFFFF"/>
                    </w:rPr>
                    <w:t>（一）建设项目类型及其选址、布局、规模等不符合环境保护法律法规和相关法定规划</w:t>
                  </w:r>
                </w:p>
              </w:tc>
              <w:tc>
                <w:tcPr>
                  <w:tcW w:w="4669" w:type="dxa"/>
                  <w:noWrap w:val="0"/>
                  <w:vAlign w:val="center"/>
                </w:tcPr>
                <w:p>
                  <w:pPr>
                    <w:adjustRightInd w:val="0"/>
                    <w:snapToGrid w:val="0"/>
                    <w:rPr>
                      <w:color w:val="000000"/>
                      <w:szCs w:val="21"/>
                    </w:rPr>
                  </w:pPr>
                  <w:r>
                    <w:rPr>
                      <w:bCs/>
                      <w:color w:val="000000"/>
                      <w:szCs w:val="21"/>
                    </w:rPr>
                    <w:t>本项目</w:t>
                  </w:r>
                  <w:r>
                    <w:rPr>
                      <w:rFonts w:hint="eastAsia"/>
                      <w:bCs/>
                      <w:color w:val="000000"/>
                      <w:szCs w:val="21"/>
                      <w:lang w:eastAsia="zh-CN"/>
                    </w:rPr>
                    <w:t>属于改建项目，选址位于</w:t>
                  </w:r>
                  <w:r>
                    <w:rPr>
                      <w:rFonts w:hint="eastAsia" w:ascii="Times New Roman" w:hAnsi="Times New Roman"/>
                      <w:bCs/>
                      <w:color w:val="auto"/>
                      <w:kern w:val="0"/>
                      <w:szCs w:val="21"/>
                      <w:lang w:eastAsia="zh-CN"/>
                    </w:rPr>
                    <w:t>虹</w:t>
                  </w:r>
                  <w:r>
                    <w:rPr>
                      <w:rFonts w:hint="eastAsia"/>
                      <w:bCs/>
                      <w:color w:val="000000"/>
                      <w:szCs w:val="21"/>
                      <w:lang w:eastAsia="zh-CN"/>
                    </w:rPr>
                    <w:t>星桥镇工业园区内，车间内布局合理，</w:t>
                  </w:r>
                  <w:r>
                    <w:rPr>
                      <w:bCs/>
                      <w:color w:val="000000"/>
                      <w:szCs w:val="21"/>
                    </w:rPr>
                    <w:t>符合当地总体规划，符合国家、地方产业政策，符合环境保护法律法规和相关法定规划。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1" w:type="dxa"/>
                  <w:vMerge w:val="continue"/>
                  <w:noWrap w:val="0"/>
                  <w:vAlign w:val="top"/>
                </w:tcPr>
                <w:p>
                  <w:pPr>
                    <w:jc w:val="center"/>
                    <w:rPr>
                      <w:color w:val="000000"/>
                      <w:szCs w:val="21"/>
                    </w:rPr>
                  </w:pPr>
                </w:p>
              </w:tc>
              <w:tc>
                <w:tcPr>
                  <w:tcW w:w="2384" w:type="dxa"/>
                  <w:noWrap w:val="0"/>
                  <w:vAlign w:val="center"/>
                </w:tcPr>
                <w:p>
                  <w:pPr>
                    <w:jc w:val="left"/>
                    <w:rPr>
                      <w:color w:val="000000"/>
                      <w:szCs w:val="21"/>
                      <w:shd w:val="clear" w:color="auto" w:fill="FFFFFF"/>
                    </w:rPr>
                  </w:pPr>
                  <w:r>
                    <w:rPr>
                      <w:color w:val="000000"/>
                      <w:shd w:val="clear" w:color="auto" w:fill="FFFFFF"/>
                    </w:rPr>
                    <w:t>（二）所在区域环境质量未达到国家或者地方环境质量标准，且建设项目拟采取的措施不能满足区域环境质量改善目标管理要求</w:t>
                  </w:r>
                </w:p>
              </w:tc>
              <w:tc>
                <w:tcPr>
                  <w:tcW w:w="4669" w:type="dxa"/>
                  <w:noWrap w:val="0"/>
                  <w:vAlign w:val="center"/>
                </w:tcPr>
                <w:p>
                  <w:pPr>
                    <w:widowControl/>
                    <w:adjustRightInd w:val="0"/>
                    <w:snapToGrid w:val="0"/>
                    <w:rPr>
                      <w:color w:val="000000"/>
                      <w:szCs w:val="21"/>
                    </w:rPr>
                  </w:pPr>
                  <w:r>
                    <w:rPr>
                      <w:color w:val="000000"/>
                      <w:szCs w:val="21"/>
                    </w:rPr>
                    <w:t>项目所在地环境空气质量现状</w:t>
                  </w:r>
                  <w:r>
                    <w:rPr>
                      <w:rFonts w:hint="eastAsia"/>
                      <w:color w:val="000000"/>
                      <w:szCs w:val="21"/>
                    </w:rPr>
                    <w:t>符合</w:t>
                  </w:r>
                  <w:r>
                    <w:rPr>
                      <w:color w:val="000000"/>
                      <w:szCs w:val="21"/>
                    </w:rPr>
                    <w:t>《环境空气质量标准》（GB3095-2012）二级标准限值要求，项目所在区域属于达标区。</w:t>
                  </w:r>
                  <w:r>
                    <w:rPr>
                      <w:rFonts w:hint="eastAsia"/>
                      <w:color w:val="000000"/>
                      <w:szCs w:val="21"/>
                    </w:rPr>
                    <w:t>项目所在地纳污河道</w:t>
                  </w:r>
                  <w:r>
                    <w:rPr>
                      <w:rFonts w:hint="eastAsia"/>
                      <w:color w:val="000000"/>
                      <w:szCs w:val="21"/>
                      <w:lang w:eastAsia="zh-CN"/>
                    </w:rPr>
                    <w:t>泗安塘</w:t>
                  </w:r>
                  <w:r>
                    <w:rPr>
                      <w:rFonts w:hint="eastAsia"/>
                      <w:color w:val="000000"/>
                      <w:szCs w:val="21"/>
                    </w:rPr>
                    <w:t>能满足《地表水环境质量标准》（GB3838-2002）中的Ⅲ类标准要求。区域环境噪声能够满足《声环境质量标准》（GB3096-2008）中的3类</w:t>
                  </w:r>
                  <w:r>
                    <w:rPr>
                      <w:rFonts w:hint="eastAsia"/>
                      <w:color w:val="000000"/>
                      <w:szCs w:val="21"/>
                      <w:lang w:eastAsia="zh-CN"/>
                    </w:rPr>
                    <w:t>标准</w:t>
                  </w: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1" w:type="dxa"/>
                  <w:vMerge w:val="continue"/>
                  <w:noWrap w:val="0"/>
                  <w:vAlign w:val="top"/>
                </w:tcPr>
                <w:p>
                  <w:pPr>
                    <w:jc w:val="center"/>
                    <w:rPr>
                      <w:color w:val="000000"/>
                      <w:szCs w:val="21"/>
                    </w:rPr>
                  </w:pPr>
                </w:p>
              </w:tc>
              <w:tc>
                <w:tcPr>
                  <w:tcW w:w="2384" w:type="dxa"/>
                  <w:noWrap w:val="0"/>
                  <w:vAlign w:val="center"/>
                </w:tcPr>
                <w:p>
                  <w:pPr>
                    <w:jc w:val="left"/>
                    <w:rPr>
                      <w:color w:val="000000"/>
                      <w:szCs w:val="21"/>
                      <w:shd w:val="clear" w:color="auto" w:fill="FFFFFF"/>
                    </w:rPr>
                  </w:pPr>
                  <w:r>
                    <w:rPr>
                      <w:color w:val="000000"/>
                      <w:shd w:val="clear" w:color="auto" w:fill="FFFFFF"/>
                    </w:rPr>
                    <w:t>（三）建设项目采取的污染防治措施无法确保污染物排放达到国家和地方排放标准，或者未采取必要措施预防和控制生态破坏</w:t>
                  </w:r>
                </w:p>
              </w:tc>
              <w:tc>
                <w:tcPr>
                  <w:tcW w:w="4669" w:type="dxa"/>
                  <w:noWrap w:val="0"/>
                  <w:vAlign w:val="center"/>
                </w:tcPr>
                <w:p>
                  <w:pPr>
                    <w:adjustRightInd w:val="0"/>
                    <w:snapToGrid w:val="0"/>
                    <w:rPr>
                      <w:color w:val="000000"/>
                      <w:szCs w:val="21"/>
                    </w:rPr>
                  </w:pPr>
                  <w:r>
                    <w:rPr>
                      <w:bCs/>
                      <w:color w:val="000000"/>
                      <w:szCs w:val="21"/>
                    </w:rPr>
                    <w:t>项目营运过程中各类污染源均可得到有效控制并能做到达标排放。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1" w:type="dxa"/>
                  <w:vMerge w:val="continue"/>
                  <w:noWrap w:val="0"/>
                  <w:vAlign w:val="top"/>
                </w:tcPr>
                <w:p>
                  <w:pPr>
                    <w:jc w:val="center"/>
                    <w:rPr>
                      <w:color w:val="000000"/>
                      <w:szCs w:val="21"/>
                    </w:rPr>
                  </w:pPr>
                </w:p>
              </w:tc>
              <w:tc>
                <w:tcPr>
                  <w:tcW w:w="2384" w:type="dxa"/>
                  <w:noWrap w:val="0"/>
                  <w:vAlign w:val="center"/>
                </w:tcPr>
                <w:p>
                  <w:pPr>
                    <w:jc w:val="left"/>
                    <w:rPr>
                      <w:color w:val="000000"/>
                      <w:szCs w:val="21"/>
                      <w:shd w:val="clear" w:color="auto" w:fill="FFFFFF"/>
                    </w:rPr>
                  </w:pPr>
                  <w:r>
                    <w:rPr>
                      <w:color w:val="000000"/>
                      <w:shd w:val="clear" w:color="auto" w:fill="FFFFFF"/>
                    </w:rPr>
                    <w:t>（四）改建、扩建和技术改造项目，未针对项目原有环境污染和生态破坏提出有效防治措施</w:t>
                  </w:r>
                </w:p>
              </w:tc>
              <w:tc>
                <w:tcPr>
                  <w:tcW w:w="4669" w:type="dxa"/>
                  <w:noWrap w:val="0"/>
                  <w:vAlign w:val="center"/>
                </w:tcPr>
                <w:p>
                  <w:pPr>
                    <w:adjustRightInd w:val="0"/>
                    <w:snapToGrid w:val="0"/>
                    <w:jc w:val="center"/>
                    <w:rPr>
                      <w:rFonts w:hint="eastAsia" w:eastAsia="宋体"/>
                      <w:color w:val="000000"/>
                      <w:szCs w:val="21"/>
                      <w:lang w:eastAsia="zh-CN"/>
                    </w:rPr>
                  </w:pPr>
                  <w:r>
                    <w:rPr>
                      <w:rFonts w:hint="eastAsia" w:ascii="Times New Roman" w:hAnsi="Times New Roman"/>
                      <w:szCs w:val="21"/>
                    </w:rPr>
                    <w:t>本项目为改建项目，现有项目存在的问题已提出整改要求和整改计划，可以有效解决。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1" w:type="dxa"/>
                  <w:vMerge w:val="continue"/>
                  <w:noWrap w:val="0"/>
                  <w:vAlign w:val="top"/>
                </w:tcPr>
                <w:p>
                  <w:pPr>
                    <w:jc w:val="center"/>
                    <w:rPr>
                      <w:color w:val="000000"/>
                      <w:szCs w:val="21"/>
                    </w:rPr>
                  </w:pPr>
                </w:p>
              </w:tc>
              <w:tc>
                <w:tcPr>
                  <w:tcW w:w="2384" w:type="dxa"/>
                  <w:noWrap w:val="0"/>
                  <w:vAlign w:val="center"/>
                </w:tcPr>
                <w:p>
                  <w:pPr>
                    <w:jc w:val="left"/>
                    <w:rPr>
                      <w:color w:val="000000"/>
                      <w:szCs w:val="21"/>
                      <w:shd w:val="clear" w:color="auto" w:fill="FFFFFF"/>
                    </w:rPr>
                  </w:pPr>
                  <w:r>
                    <w:rPr>
                      <w:color w:val="000000"/>
                      <w:shd w:val="clear" w:color="auto" w:fill="FFFFFF"/>
                    </w:rPr>
                    <w:t>（五）建设项目的环境影响报告书、环境影响报告表的基础资料数据明显不实，内容存在重大缺陷、遗漏，或者环境影响评价结论不明确、不合理。</w:t>
                  </w:r>
                </w:p>
              </w:tc>
              <w:tc>
                <w:tcPr>
                  <w:tcW w:w="4669" w:type="dxa"/>
                  <w:noWrap w:val="0"/>
                  <w:vAlign w:val="center"/>
                </w:tcPr>
                <w:p>
                  <w:pPr>
                    <w:adjustRightInd w:val="0"/>
                    <w:snapToGrid w:val="0"/>
                    <w:jc w:val="left"/>
                    <w:rPr>
                      <w:rFonts w:hint="eastAsia" w:eastAsia="宋体"/>
                      <w:kern w:val="2"/>
                      <w:sz w:val="21"/>
                      <w:szCs w:val="21"/>
                      <w:lang w:val="en-US" w:eastAsia="zh-CN" w:bidi="ar-SA"/>
                    </w:rPr>
                  </w:pPr>
                  <w:r>
                    <w:rPr>
                      <w:rFonts w:hint="eastAsia"/>
                      <w:szCs w:val="21"/>
                    </w:rPr>
                    <w:t>项目在编制过程中数据真实，内容精简，条例有序，未存在重大缺陷、</w:t>
                  </w:r>
                  <w:r>
                    <w:rPr>
                      <w:rFonts w:hint="eastAsia"/>
                      <w:szCs w:val="21"/>
                      <w:lang w:eastAsia="zh-CN"/>
                    </w:rPr>
                    <w:t>遗漏</w:t>
                  </w:r>
                  <w:r>
                    <w:rPr>
                      <w:rFonts w:hint="eastAsia"/>
                      <w:szCs w:val="21"/>
                    </w:rPr>
                    <w:t>。且本项目结论客观、过程公开、评价公开，并综合考虑建设项目实施对各种环境因素可能造成的影响</w:t>
                  </w:r>
                  <w:r>
                    <w:rPr>
                      <w:rFonts w:hint="eastAsia"/>
                      <w:szCs w:val="21"/>
                      <w:lang w:eastAsia="zh-CN"/>
                    </w:rPr>
                    <w:t>。</w:t>
                  </w:r>
                </w:p>
              </w:tc>
            </w:tr>
          </w:tbl>
          <w:p>
            <w:pPr>
              <w:spacing w:line="500" w:lineRule="exact"/>
              <w:rPr>
                <w:rFonts w:hint="eastAsia"/>
                <w:b/>
                <w:bCs/>
                <w:color w:val="000000"/>
                <w:sz w:val="24"/>
              </w:rPr>
            </w:pPr>
            <w:r>
              <w:rPr>
                <w:rFonts w:hint="eastAsia"/>
                <w:b/>
                <w:bCs/>
                <w:color w:val="000000"/>
                <w:sz w:val="24"/>
              </w:rPr>
              <w:t>1.1.</w:t>
            </w:r>
            <w:r>
              <w:rPr>
                <w:rFonts w:hint="eastAsia"/>
                <w:b/>
                <w:bCs/>
                <w:color w:val="000000"/>
                <w:sz w:val="24"/>
                <w:lang w:val="en-US" w:eastAsia="zh-CN"/>
              </w:rPr>
              <w:t>3</w:t>
            </w:r>
            <w:r>
              <w:rPr>
                <w:rFonts w:hint="eastAsia"/>
                <w:b/>
                <w:bCs/>
                <w:color w:val="000000"/>
                <w:sz w:val="24"/>
              </w:rPr>
              <w:t>《浙江省建设项目环境保护管理办法（2021年修正）》（浙江省人民政府令第388号）符合性分析</w:t>
            </w:r>
          </w:p>
          <w:p>
            <w:pPr>
              <w:spacing w:line="500" w:lineRule="exact"/>
              <w:ind w:firstLine="480" w:firstLineChars="200"/>
              <w:rPr>
                <w:rFonts w:hint="eastAsia" w:eastAsia="宋体"/>
                <w:color w:val="000000"/>
                <w:sz w:val="24"/>
                <w:lang w:val="en-US" w:eastAsia="zh-CN"/>
              </w:rPr>
            </w:pPr>
            <w:r>
              <w:rPr>
                <w:rFonts w:hint="eastAsia"/>
                <w:color w:val="000000"/>
                <w:sz w:val="24"/>
              </w:rPr>
              <w:t>本项目符合性分析见表1.1-</w:t>
            </w:r>
            <w:r>
              <w:rPr>
                <w:rFonts w:hint="eastAsia"/>
                <w:color w:val="000000"/>
                <w:sz w:val="24"/>
                <w:lang w:val="en-US" w:eastAsia="zh-CN"/>
              </w:rPr>
              <w:t>3。</w:t>
            </w:r>
          </w:p>
          <w:p>
            <w:pPr>
              <w:spacing w:line="460" w:lineRule="exact"/>
              <w:jc w:val="center"/>
              <w:rPr>
                <w:color w:val="000000"/>
                <w:sz w:val="24"/>
              </w:rPr>
            </w:pPr>
            <w:r>
              <w:rPr>
                <w:b/>
                <w:bCs/>
                <w:color w:val="000000"/>
                <w:szCs w:val="21"/>
              </w:rPr>
              <w:t>表</w:t>
            </w:r>
            <w:r>
              <w:rPr>
                <w:rFonts w:hint="eastAsia"/>
                <w:b/>
                <w:bCs/>
                <w:color w:val="000000"/>
                <w:szCs w:val="21"/>
              </w:rPr>
              <w:t>1.1-</w:t>
            </w:r>
            <w:r>
              <w:rPr>
                <w:rFonts w:hint="eastAsia"/>
                <w:b/>
                <w:bCs/>
                <w:color w:val="000000"/>
                <w:szCs w:val="21"/>
                <w:lang w:val="en-US" w:eastAsia="zh-CN"/>
              </w:rPr>
              <w:t>3</w:t>
            </w:r>
            <w:r>
              <w:rPr>
                <w:rFonts w:hint="eastAsia"/>
                <w:b/>
                <w:bCs/>
                <w:color w:val="000000"/>
                <w:szCs w:val="21"/>
              </w:rPr>
              <w:t xml:space="preserve">  环评审批要求符合性分析表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263"/>
              <w:gridCol w:w="5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dxa"/>
                  <w:noWrap w:val="0"/>
                  <w:vAlign w:val="center"/>
                </w:tcPr>
                <w:p>
                  <w:pPr>
                    <w:jc w:val="center"/>
                    <w:rPr>
                      <w:bCs/>
                      <w:color w:val="000000"/>
                      <w:szCs w:val="21"/>
                    </w:rPr>
                  </w:pPr>
                  <w:r>
                    <w:rPr>
                      <w:bCs/>
                      <w:color w:val="000000"/>
                      <w:szCs w:val="21"/>
                    </w:rPr>
                    <w:t>序号</w:t>
                  </w:r>
                </w:p>
              </w:tc>
              <w:tc>
                <w:tcPr>
                  <w:tcW w:w="2263" w:type="dxa"/>
                  <w:noWrap w:val="0"/>
                  <w:vAlign w:val="center"/>
                </w:tcPr>
                <w:p>
                  <w:pPr>
                    <w:jc w:val="center"/>
                    <w:rPr>
                      <w:bCs/>
                      <w:color w:val="000000"/>
                      <w:szCs w:val="21"/>
                    </w:rPr>
                  </w:pPr>
                  <w:r>
                    <w:rPr>
                      <w:bCs/>
                      <w:color w:val="000000"/>
                      <w:szCs w:val="21"/>
                    </w:rPr>
                    <w:t>具体内容</w:t>
                  </w:r>
                </w:p>
              </w:tc>
              <w:tc>
                <w:tcPr>
                  <w:tcW w:w="5224" w:type="dxa"/>
                  <w:noWrap w:val="0"/>
                  <w:vAlign w:val="center"/>
                </w:tcPr>
                <w:p>
                  <w:pPr>
                    <w:jc w:val="center"/>
                    <w:rPr>
                      <w:bCs/>
                      <w:color w:val="000000"/>
                      <w:szCs w:val="21"/>
                    </w:rPr>
                  </w:pPr>
                  <w:r>
                    <w:rPr>
                      <w:rFonts w:hint="eastAsia"/>
                      <w:bCs/>
                      <w:color w:val="000000"/>
                      <w:szCs w:val="21"/>
                    </w:rPr>
                    <w:t>项目</w:t>
                  </w:r>
                  <w:r>
                    <w:rPr>
                      <w:bCs/>
                      <w:color w:val="000000"/>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dxa"/>
                  <w:noWrap w:val="0"/>
                  <w:vAlign w:val="center"/>
                </w:tcPr>
                <w:p>
                  <w:pPr>
                    <w:jc w:val="center"/>
                    <w:rPr>
                      <w:rFonts w:hint="eastAsia"/>
                      <w:bCs/>
                      <w:color w:val="000000"/>
                      <w:szCs w:val="21"/>
                    </w:rPr>
                  </w:pPr>
                  <w:r>
                    <w:rPr>
                      <w:rFonts w:hint="eastAsia"/>
                      <w:bCs/>
                      <w:color w:val="000000"/>
                      <w:szCs w:val="21"/>
                    </w:rPr>
                    <w:t>1</w:t>
                  </w:r>
                </w:p>
              </w:tc>
              <w:tc>
                <w:tcPr>
                  <w:tcW w:w="2263" w:type="dxa"/>
                  <w:noWrap w:val="0"/>
                  <w:vAlign w:val="center"/>
                </w:tcPr>
                <w:p>
                  <w:pPr>
                    <w:rPr>
                      <w:bCs/>
                      <w:color w:val="000000"/>
                      <w:szCs w:val="21"/>
                    </w:rPr>
                  </w:pPr>
                  <w:r>
                    <w:rPr>
                      <w:rFonts w:hint="eastAsia"/>
                      <w:bCs/>
                      <w:color w:val="000000"/>
                      <w:szCs w:val="21"/>
                    </w:rPr>
                    <w:t>建设项目应当符合生态保护红线、环境质量底线、资源利用上线和生态环境准入清单管控的要求</w:t>
                  </w:r>
                </w:p>
              </w:tc>
              <w:tc>
                <w:tcPr>
                  <w:tcW w:w="5224" w:type="dxa"/>
                  <w:noWrap w:val="0"/>
                  <w:vAlign w:val="center"/>
                </w:tcPr>
                <w:p>
                  <w:pPr>
                    <w:jc w:val="center"/>
                    <w:rPr>
                      <w:rFonts w:hint="eastAsia"/>
                      <w:bCs/>
                      <w:color w:val="000000"/>
                      <w:szCs w:val="21"/>
                    </w:rPr>
                  </w:pPr>
                  <w:r>
                    <w:rPr>
                      <w:rFonts w:hint="eastAsia"/>
                      <w:bCs/>
                      <w:color w:val="000000"/>
                      <w:szCs w:val="21"/>
                    </w:rPr>
                    <w:t>详见上文1.</w:t>
                  </w:r>
                  <w:r>
                    <w:rPr>
                      <w:rFonts w:hint="eastAsia"/>
                      <w:bCs/>
                      <w:color w:val="000000"/>
                      <w:szCs w:val="21"/>
                      <w:lang w:val="en-US" w:eastAsia="zh-CN"/>
                    </w:rPr>
                    <w:t>1</w:t>
                  </w:r>
                  <w:r>
                    <w:rPr>
                      <w:rFonts w:hint="eastAsia"/>
                      <w:bCs/>
                      <w:color w:val="000000"/>
                      <w:szCs w:val="21"/>
                    </w:rPr>
                    <w:t>.1“三线一单”符合性分析。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33" w:type="dxa"/>
                  <w:noWrap w:val="0"/>
                  <w:vAlign w:val="center"/>
                </w:tcPr>
                <w:p>
                  <w:pPr>
                    <w:jc w:val="center"/>
                    <w:rPr>
                      <w:rFonts w:hint="eastAsia"/>
                      <w:color w:val="000000"/>
                    </w:rPr>
                  </w:pPr>
                  <w:r>
                    <w:rPr>
                      <w:rFonts w:hint="eastAsia"/>
                      <w:color w:val="000000"/>
                    </w:rPr>
                    <w:t>2</w:t>
                  </w:r>
                </w:p>
              </w:tc>
              <w:tc>
                <w:tcPr>
                  <w:tcW w:w="2263" w:type="dxa"/>
                  <w:noWrap w:val="0"/>
                  <w:vAlign w:val="center"/>
                </w:tcPr>
                <w:p>
                  <w:pPr>
                    <w:rPr>
                      <w:color w:val="000000"/>
                    </w:rPr>
                  </w:pPr>
                  <w:r>
                    <w:rPr>
                      <w:bCs/>
                      <w:color w:val="000000"/>
                      <w:szCs w:val="21"/>
                    </w:rPr>
                    <w:t>排放污染物应当符合国家、省规定的污染物排放标准和重点污染物排放总量控制要求</w:t>
                  </w:r>
                </w:p>
              </w:tc>
              <w:tc>
                <w:tcPr>
                  <w:tcW w:w="5224" w:type="dxa"/>
                  <w:noWrap w:val="0"/>
                  <w:vAlign w:val="top"/>
                </w:tcPr>
                <w:p>
                  <w:pPr>
                    <w:rPr>
                      <w:bCs/>
                      <w:color w:val="000000"/>
                      <w:szCs w:val="21"/>
                    </w:rPr>
                  </w:pPr>
                  <w:r>
                    <w:rPr>
                      <w:bCs/>
                      <w:color w:val="000000"/>
                      <w:szCs w:val="21"/>
                    </w:rPr>
                    <w:t>1</w:t>
                  </w:r>
                  <w:r>
                    <w:rPr>
                      <w:rFonts w:hint="eastAsia"/>
                      <w:bCs/>
                      <w:color w:val="000000"/>
                      <w:szCs w:val="21"/>
                      <w:lang w:eastAsia="zh-CN"/>
                    </w:rPr>
                    <w:t>、</w:t>
                  </w:r>
                  <w:r>
                    <w:rPr>
                      <w:bCs/>
                      <w:color w:val="000000"/>
                      <w:szCs w:val="21"/>
                    </w:rPr>
                    <w:t>本项目废水、废气等污染物经治理后均可达到国家、省规定的污染物排放标准，各类固体废物能够得到资源化利用或无害化处置。</w:t>
                  </w:r>
                </w:p>
                <w:p>
                  <w:pPr>
                    <w:rPr>
                      <w:bCs/>
                      <w:color w:val="000000"/>
                      <w:szCs w:val="21"/>
                    </w:rPr>
                  </w:pPr>
                  <w:r>
                    <w:rPr>
                      <w:bCs/>
                      <w:color w:val="000000"/>
                      <w:szCs w:val="21"/>
                    </w:rPr>
                    <w:t>2</w:t>
                  </w:r>
                  <w:r>
                    <w:rPr>
                      <w:rFonts w:hint="eastAsia"/>
                      <w:bCs/>
                      <w:color w:val="000000"/>
                      <w:szCs w:val="21"/>
                      <w:lang w:eastAsia="zh-CN"/>
                    </w:rPr>
                    <w:t>、</w:t>
                  </w:r>
                  <w:r>
                    <w:rPr>
                      <w:rFonts w:hint="eastAsia"/>
                      <w:bCs/>
                      <w:color w:val="000000"/>
                      <w:szCs w:val="21"/>
                    </w:rPr>
                    <w:t>项目</w:t>
                  </w:r>
                  <w:r>
                    <w:rPr>
                      <w:rFonts w:hint="eastAsia"/>
                      <w:bCs/>
                      <w:color w:val="000000"/>
                      <w:szCs w:val="21"/>
                      <w:lang w:eastAsia="zh-CN"/>
                    </w:rPr>
                    <w:t>仅有生活污水排放，无需进行废水总量替代削减；新增的</w:t>
                  </w:r>
                  <w:r>
                    <w:rPr>
                      <w:rFonts w:hint="eastAsia"/>
                      <w:bCs/>
                      <w:color w:val="000000"/>
                      <w:szCs w:val="21"/>
                      <w:lang w:val="en-US" w:eastAsia="zh-CN"/>
                    </w:rPr>
                    <w:t>VOCs指标按照1:2进行削减替代，由当地生态环境部门平衡</w:t>
                  </w:r>
                  <w:r>
                    <w:rPr>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33" w:type="dxa"/>
                  <w:noWrap w:val="0"/>
                  <w:vAlign w:val="center"/>
                </w:tcPr>
                <w:p>
                  <w:pPr>
                    <w:jc w:val="center"/>
                    <w:rPr>
                      <w:rFonts w:hint="eastAsia"/>
                      <w:color w:val="000000"/>
                    </w:rPr>
                  </w:pPr>
                  <w:r>
                    <w:rPr>
                      <w:rFonts w:hint="eastAsia"/>
                      <w:color w:val="000000"/>
                    </w:rPr>
                    <w:t>3</w:t>
                  </w:r>
                </w:p>
              </w:tc>
              <w:tc>
                <w:tcPr>
                  <w:tcW w:w="2263" w:type="dxa"/>
                  <w:noWrap w:val="0"/>
                  <w:vAlign w:val="center"/>
                </w:tcPr>
                <w:p>
                  <w:pPr>
                    <w:rPr>
                      <w:color w:val="000000"/>
                    </w:rPr>
                  </w:pPr>
                  <w:r>
                    <w:rPr>
                      <w:bCs/>
                      <w:color w:val="000000"/>
                      <w:szCs w:val="21"/>
                    </w:rPr>
                    <w:t>建设项目还应当符合国土空间规划、国家和省产业政策等要求</w:t>
                  </w:r>
                </w:p>
              </w:tc>
              <w:tc>
                <w:tcPr>
                  <w:tcW w:w="5224" w:type="dxa"/>
                  <w:noWrap w:val="0"/>
                  <w:vAlign w:val="top"/>
                </w:tcPr>
                <w:p>
                  <w:pPr>
                    <w:rPr>
                      <w:color w:val="000000"/>
                    </w:rPr>
                  </w:pPr>
                  <w:r>
                    <w:rPr>
                      <w:color w:val="000000"/>
                    </w:rPr>
                    <w:t>1</w:t>
                  </w:r>
                  <w:r>
                    <w:rPr>
                      <w:rFonts w:hint="eastAsia"/>
                      <w:color w:val="000000"/>
                      <w:lang w:eastAsia="zh-CN"/>
                    </w:rPr>
                    <w:t>、</w:t>
                  </w:r>
                  <w:r>
                    <w:rPr>
                      <w:color w:val="000000"/>
                    </w:rPr>
                    <w:t>本项目位于</w:t>
                  </w:r>
                  <w:r>
                    <w:rPr>
                      <w:rFonts w:hint="eastAsia"/>
                      <w:color w:val="000000"/>
                      <w:lang w:eastAsia="zh-CN"/>
                    </w:rPr>
                    <w:t>浙江省长兴县虹星桥镇工业集中区</w:t>
                  </w:r>
                  <w:r>
                    <w:rPr>
                      <w:rFonts w:hint="eastAsia"/>
                      <w:color w:val="000000"/>
                    </w:rPr>
                    <w:t>内</w:t>
                  </w:r>
                  <w:r>
                    <w:rPr>
                      <w:color w:val="000000"/>
                    </w:rPr>
                    <w:t>，所在土地性质为工业用地，符合土地利用规划。</w:t>
                  </w:r>
                </w:p>
                <w:p>
                  <w:pPr>
                    <w:rPr>
                      <w:color w:val="000000"/>
                    </w:rPr>
                  </w:pPr>
                  <w:r>
                    <w:rPr>
                      <w:color w:val="000000"/>
                    </w:rPr>
                    <w:t>2</w:t>
                  </w:r>
                  <w:r>
                    <w:rPr>
                      <w:rFonts w:hint="eastAsia"/>
                      <w:color w:val="000000"/>
                      <w:lang w:eastAsia="zh-CN"/>
                    </w:rPr>
                    <w:t>、</w:t>
                  </w:r>
                  <w:r>
                    <w:rPr>
                      <w:color w:val="000000"/>
                    </w:rPr>
                    <w:t>本项目属于</w:t>
                  </w:r>
                  <w:r>
                    <w:rPr>
                      <w:rFonts w:hint="eastAsia"/>
                      <w:color w:val="000000"/>
                    </w:rPr>
                    <w:t>化纤织造加工C1751</w:t>
                  </w:r>
                  <w:r>
                    <w:rPr>
                      <w:rFonts w:hint="eastAsia"/>
                      <w:color w:val="000000"/>
                      <w:lang w:eastAsia="zh-CN"/>
                    </w:rPr>
                    <w:t>、</w:t>
                  </w:r>
                  <w:r>
                    <w:rPr>
                      <w:rFonts w:hint="eastAsia"/>
                      <w:color w:val="000000"/>
                    </w:rPr>
                    <w:t>涤纶纤维制造 C2822</w:t>
                  </w:r>
                  <w:r>
                    <w:rPr>
                      <w:color w:val="000000"/>
                    </w:rPr>
                    <w:t>（国民经济行业分类），对照</w:t>
                  </w:r>
                  <w:r>
                    <w:rPr>
                      <w:rFonts w:hint="eastAsia"/>
                    </w:rPr>
                    <w:t>《产业结构调整指导目录（2019年本）》</w:t>
                  </w:r>
                  <w:r>
                    <w:rPr>
                      <w:rFonts w:hint="eastAsia"/>
                      <w:lang w:eastAsia="zh-CN"/>
                    </w:rPr>
                    <w:t>（</w:t>
                  </w:r>
                  <w:r>
                    <w:rPr>
                      <w:rFonts w:hint="eastAsia"/>
                      <w:lang w:val="en-US" w:eastAsia="zh-CN"/>
                    </w:rPr>
                    <w:t>2021年修订</w:t>
                  </w:r>
                  <w:r>
                    <w:rPr>
                      <w:rFonts w:hint="eastAsia"/>
                      <w:lang w:eastAsia="zh-CN"/>
                    </w:rPr>
                    <w:t>）</w:t>
                  </w:r>
                  <w:r>
                    <w:rPr>
                      <w:color w:val="000000"/>
                    </w:rPr>
                    <w:t>，本项目不属于产业政策中的限制、禁止或淘汰类，属于允许类，符合国家和地方产业政策。</w:t>
                  </w:r>
                </w:p>
              </w:tc>
            </w:tr>
          </w:tbl>
          <w:p>
            <w:pPr>
              <w:spacing w:line="500" w:lineRule="exact"/>
              <w:rPr>
                <w:b/>
                <w:color w:val="000000"/>
                <w:w w:val="90"/>
                <w:sz w:val="24"/>
              </w:rPr>
            </w:pPr>
            <w:r>
              <w:rPr>
                <w:rFonts w:hint="eastAsia"/>
                <w:b/>
                <w:color w:val="000000"/>
                <w:sz w:val="24"/>
                <w:szCs w:val="22"/>
              </w:rPr>
              <w:t>1.1.</w:t>
            </w:r>
            <w:r>
              <w:rPr>
                <w:rFonts w:hint="eastAsia"/>
                <w:b/>
                <w:color w:val="000000"/>
                <w:sz w:val="24"/>
                <w:szCs w:val="22"/>
                <w:lang w:val="en-US" w:eastAsia="zh-CN"/>
              </w:rPr>
              <w:t>4</w:t>
            </w:r>
            <w:r>
              <w:rPr>
                <w:b/>
                <w:color w:val="000000"/>
                <w:w w:val="90"/>
                <w:sz w:val="24"/>
              </w:rPr>
              <w:t>《关于落实&lt;水污染防治行动计划实施区域差别化环境准入的指导意见&gt;》</w:t>
            </w:r>
          </w:p>
          <w:p>
            <w:pPr>
              <w:spacing w:line="500" w:lineRule="exact"/>
              <w:ind w:firstLine="480" w:firstLineChars="200"/>
              <w:rPr>
                <w:color w:val="000000"/>
                <w:sz w:val="24"/>
              </w:rPr>
            </w:pPr>
            <w:r>
              <w:rPr>
                <w:color w:val="000000"/>
                <w:sz w:val="24"/>
              </w:rPr>
              <w:t>项目符合性分析见表</w:t>
            </w:r>
            <w:r>
              <w:rPr>
                <w:rFonts w:hint="eastAsia"/>
                <w:color w:val="000000"/>
                <w:sz w:val="24"/>
              </w:rPr>
              <w:t>1.1-</w:t>
            </w:r>
            <w:r>
              <w:rPr>
                <w:rFonts w:hint="eastAsia"/>
                <w:color w:val="000000"/>
                <w:sz w:val="24"/>
                <w:lang w:val="en-US" w:eastAsia="zh-CN"/>
              </w:rPr>
              <w:t>4</w:t>
            </w:r>
            <w:r>
              <w:rPr>
                <w:color w:val="000000"/>
                <w:sz w:val="24"/>
              </w:rPr>
              <w:t>。</w:t>
            </w:r>
          </w:p>
          <w:p>
            <w:pPr>
              <w:spacing w:line="460" w:lineRule="exact"/>
              <w:jc w:val="center"/>
              <w:rPr>
                <w:b/>
                <w:color w:val="000000"/>
                <w:szCs w:val="21"/>
              </w:rPr>
            </w:pPr>
          </w:p>
          <w:p>
            <w:pPr>
              <w:spacing w:line="460" w:lineRule="exact"/>
              <w:jc w:val="center"/>
              <w:rPr>
                <w:b/>
                <w:color w:val="000000"/>
                <w:szCs w:val="21"/>
              </w:rPr>
            </w:pPr>
          </w:p>
          <w:p>
            <w:pPr>
              <w:spacing w:line="460" w:lineRule="exact"/>
              <w:jc w:val="center"/>
              <w:rPr>
                <w:b/>
                <w:color w:val="000000"/>
                <w:szCs w:val="21"/>
              </w:rPr>
            </w:pPr>
          </w:p>
          <w:p>
            <w:pPr>
              <w:spacing w:line="460" w:lineRule="exact"/>
              <w:jc w:val="center"/>
              <w:rPr>
                <w:b/>
                <w:color w:val="000000"/>
                <w:szCs w:val="21"/>
              </w:rPr>
            </w:pPr>
            <w:r>
              <w:rPr>
                <w:b/>
                <w:color w:val="000000"/>
                <w:szCs w:val="21"/>
              </w:rPr>
              <w:t>表</w:t>
            </w:r>
            <w:r>
              <w:rPr>
                <w:rFonts w:hint="eastAsia"/>
                <w:b/>
                <w:color w:val="000000"/>
                <w:szCs w:val="21"/>
              </w:rPr>
              <w:t>1.1-</w:t>
            </w:r>
            <w:r>
              <w:rPr>
                <w:rFonts w:hint="eastAsia"/>
                <w:b/>
                <w:color w:val="000000"/>
                <w:szCs w:val="21"/>
                <w:lang w:val="en-US" w:eastAsia="zh-CN"/>
              </w:rPr>
              <w:t xml:space="preserve">4 </w:t>
            </w:r>
            <w:r>
              <w:rPr>
                <w:b/>
                <w:color w:val="000000"/>
                <w:szCs w:val="21"/>
              </w:rPr>
              <w:t xml:space="preserve"> 意见符合性分析</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541"/>
              <w:gridCol w:w="3033"/>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noWrap w:val="0"/>
                  <w:vAlign w:val="center"/>
                </w:tcPr>
                <w:p>
                  <w:pPr>
                    <w:jc w:val="center"/>
                    <w:rPr>
                      <w:bCs/>
                      <w:color w:val="000000"/>
                      <w:szCs w:val="21"/>
                    </w:rPr>
                  </w:pPr>
                  <w:r>
                    <w:rPr>
                      <w:bCs/>
                      <w:color w:val="000000"/>
                      <w:szCs w:val="21"/>
                    </w:rPr>
                    <w:t>序号</w:t>
                  </w:r>
                </w:p>
              </w:tc>
              <w:tc>
                <w:tcPr>
                  <w:tcW w:w="3670" w:type="dxa"/>
                  <w:noWrap w:val="0"/>
                  <w:vAlign w:val="center"/>
                </w:tcPr>
                <w:p>
                  <w:pPr>
                    <w:jc w:val="center"/>
                    <w:rPr>
                      <w:bCs/>
                      <w:color w:val="000000"/>
                      <w:szCs w:val="21"/>
                    </w:rPr>
                  </w:pPr>
                  <w:r>
                    <w:rPr>
                      <w:bCs/>
                      <w:color w:val="000000"/>
                      <w:szCs w:val="21"/>
                    </w:rPr>
                    <w:t>要求</w:t>
                  </w:r>
                </w:p>
              </w:tc>
              <w:tc>
                <w:tcPr>
                  <w:tcW w:w="3142" w:type="dxa"/>
                  <w:noWrap w:val="0"/>
                  <w:vAlign w:val="center"/>
                </w:tcPr>
                <w:p>
                  <w:pPr>
                    <w:jc w:val="center"/>
                    <w:rPr>
                      <w:bCs/>
                      <w:color w:val="000000"/>
                      <w:szCs w:val="21"/>
                    </w:rPr>
                  </w:pPr>
                  <w:r>
                    <w:rPr>
                      <w:bCs/>
                      <w:color w:val="000000"/>
                      <w:szCs w:val="21"/>
                    </w:rPr>
                    <w:t>项目情况</w:t>
                  </w:r>
                </w:p>
              </w:tc>
              <w:tc>
                <w:tcPr>
                  <w:tcW w:w="862" w:type="dxa"/>
                  <w:noWrap w:val="0"/>
                  <w:vAlign w:val="center"/>
                </w:tcPr>
                <w:p>
                  <w:pPr>
                    <w:jc w:val="center"/>
                    <w:rPr>
                      <w:bCs/>
                      <w:color w:val="000000"/>
                      <w:szCs w:val="21"/>
                    </w:rPr>
                  </w:pPr>
                  <w:r>
                    <w:rPr>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noWrap w:val="0"/>
                  <w:vAlign w:val="center"/>
                </w:tcPr>
                <w:p>
                  <w:pPr>
                    <w:jc w:val="center"/>
                    <w:rPr>
                      <w:color w:val="000000"/>
                      <w:szCs w:val="21"/>
                    </w:rPr>
                  </w:pPr>
                  <w:r>
                    <w:rPr>
                      <w:color w:val="000000"/>
                      <w:szCs w:val="21"/>
                    </w:rPr>
                    <w:t>1</w:t>
                  </w:r>
                </w:p>
              </w:tc>
              <w:tc>
                <w:tcPr>
                  <w:tcW w:w="3670" w:type="dxa"/>
                  <w:noWrap w:val="0"/>
                  <w:vAlign w:val="center"/>
                </w:tcPr>
                <w:p>
                  <w:pPr>
                    <w:jc w:val="both"/>
                    <w:rPr>
                      <w:bCs/>
                      <w:color w:val="000000"/>
                      <w:szCs w:val="21"/>
                    </w:rPr>
                  </w:pPr>
                  <w:r>
                    <w:rPr>
                      <w:color w:val="000000"/>
                      <w:szCs w:val="21"/>
                    </w:rPr>
                    <w:t>落实《长江经济带取水口排污口和应急水源布局规划》，沿江地区进一步严格石化、化工、印染、造纸等项目环境准入，对干流两岸一定范围内新建相关重污染项目不予环境准入，推进石化化工企业向尚有一定环境容量的沿海地区集中、绿色发展。</w:t>
                  </w:r>
                </w:p>
              </w:tc>
              <w:tc>
                <w:tcPr>
                  <w:tcW w:w="3142" w:type="dxa"/>
                  <w:noWrap w:val="0"/>
                  <w:vAlign w:val="center"/>
                </w:tcPr>
                <w:p>
                  <w:pPr>
                    <w:jc w:val="both"/>
                    <w:rPr>
                      <w:color w:val="000000"/>
                      <w:szCs w:val="21"/>
                    </w:rPr>
                  </w:pPr>
                  <w:r>
                    <w:rPr>
                      <w:color w:val="000000"/>
                      <w:szCs w:val="21"/>
                    </w:rPr>
                    <w:t>项目位于</w:t>
                  </w:r>
                  <w:r>
                    <w:rPr>
                      <w:rFonts w:hint="eastAsia"/>
                      <w:color w:val="000000"/>
                      <w:lang w:eastAsia="zh-CN"/>
                    </w:rPr>
                    <w:t>长兴县虹星桥镇工业集中区</w:t>
                  </w:r>
                  <w:r>
                    <w:rPr>
                      <w:color w:val="000000"/>
                      <w:szCs w:val="21"/>
                    </w:rPr>
                    <w:t>，不属于长江沿江地区，项目</w:t>
                  </w:r>
                  <w:r>
                    <w:rPr>
                      <w:rFonts w:hint="eastAsia"/>
                      <w:color w:val="000000"/>
                      <w:szCs w:val="21"/>
                      <w:lang w:eastAsia="zh-CN"/>
                    </w:rPr>
                    <w:t>属于化纤织造加工C1751、涤纶纤维制造 C2822（国民经济行业分类）</w:t>
                  </w:r>
                  <w:r>
                    <w:rPr>
                      <w:color w:val="000000"/>
                      <w:szCs w:val="21"/>
                    </w:rPr>
                    <w:t>，不属于重污染项目。</w:t>
                  </w:r>
                </w:p>
              </w:tc>
              <w:tc>
                <w:tcPr>
                  <w:tcW w:w="862" w:type="dxa"/>
                  <w:noWrap w:val="0"/>
                  <w:vAlign w:val="center"/>
                </w:tcPr>
                <w:p>
                  <w:pPr>
                    <w:jc w:val="center"/>
                    <w:rPr>
                      <w:color w:val="000000"/>
                      <w:szCs w:val="21"/>
                    </w:rPr>
                  </w:pPr>
                  <w:r>
                    <w:rPr>
                      <w:color w:val="000000"/>
                      <w:szCs w:val="21"/>
                    </w:rPr>
                    <w:t>符合</w:t>
                  </w:r>
                </w:p>
                <w:p>
                  <w:pPr>
                    <w:jc w:val="center"/>
                    <w:rPr>
                      <w:color w:val="000000"/>
                      <w:szCs w:val="21"/>
                    </w:rPr>
                  </w:pPr>
                  <w:r>
                    <w:rPr>
                      <w:color w:val="00000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noWrap w:val="0"/>
                  <w:vAlign w:val="center"/>
                </w:tcPr>
                <w:p>
                  <w:pPr>
                    <w:jc w:val="center"/>
                    <w:rPr>
                      <w:color w:val="000000"/>
                      <w:szCs w:val="21"/>
                    </w:rPr>
                  </w:pPr>
                  <w:r>
                    <w:rPr>
                      <w:color w:val="000000"/>
                      <w:szCs w:val="21"/>
                    </w:rPr>
                    <w:t>2</w:t>
                  </w:r>
                </w:p>
              </w:tc>
              <w:tc>
                <w:tcPr>
                  <w:tcW w:w="3670" w:type="dxa"/>
                  <w:noWrap w:val="0"/>
                  <w:vAlign w:val="center"/>
                </w:tcPr>
                <w:p>
                  <w:pPr>
                    <w:jc w:val="both"/>
                    <w:rPr>
                      <w:color w:val="000000"/>
                      <w:szCs w:val="21"/>
                    </w:rPr>
                  </w:pPr>
                  <w:r>
                    <w:rPr>
                      <w:color w:val="000000"/>
                      <w:szCs w:val="21"/>
                    </w:rPr>
                    <w:t>对太湖流域新建原料化工、燃料、颜料及排放氮磷污染物的工业项目，不予环境准入</w:t>
                  </w:r>
                  <w:r>
                    <w:rPr>
                      <w:bCs/>
                      <w:color w:val="000000"/>
                      <w:szCs w:val="21"/>
                    </w:rPr>
                    <w:t>。</w:t>
                  </w:r>
                </w:p>
              </w:tc>
              <w:tc>
                <w:tcPr>
                  <w:tcW w:w="3142" w:type="dxa"/>
                  <w:noWrap w:val="0"/>
                  <w:vAlign w:val="center"/>
                </w:tcPr>
                <w:p>
                  <w:pPr>
                    <w:jc w:val="both"/>
                    <w:rPr>
                      <w:rFonts w:hint="eastAsia" w:eastAsia="宋体"/>
                      <w:color w:val="000000"/>
                      <w:szCs w:val="21"/>
                      <w:lang w:eastAsia="zh-CN"/>
                    </w:rPr>
                  </w:pPr>
                  <w:r>
                    <w:rPr>
                      <w:color w:val="000000"/>
                      <w:szCs w:val="21"/>
                    </w:rPr>
                    <w:t>项目为</w:t>
                  </w:r>
                  <w:r>
                    <w:rPr>
                      <w:rFonts w:hint="eastAsia"/>
                      <w:color w:val="000000"/>
                      <w:szCs w:val="21"/>
                    </w:rPr>
                    <w:t>化纤织造加工C1751、涤纶纤维制造 C2822（国民经济行业分类）</w:t>
                  </w:r>
                  <w:r>
                    <w:rPr>
                      <w:color w:val="000000"/>
                      <w:szCs w:val="21"/>
                    </w:rPr>
                    <w:t>，不属于新建原料化工、燃料、颜料项目。</w:t>
                  </w:r>
                  <w:r>
                    <w:rPr>
                      <w:rFonts w:hint="eastAsia"/>
                      <w:color w:val="000000"/>
                      <w:szCs w:val="21"/>
                      <w:lang w:eastAsia="zh-CN"/>
                    </w:rPr>
                    <w:t>本项目生产废水不含氮磷污染物。</w:t>
                  </w:r>
                </w:p>
              </w:tc>
              <w:tc>
                <w:tcPr>
                  <w:tcW w:w="862" w:type="dxa"/>
                  <w:noWrap w:val="0"/>
                  <w:vAlign w:val="center"/>
                </w:tcPr>
                <w:p>
                  <w:pPr>
                    <w:jc w:val="center"/>
                    <w:rPr>
                      <w:color w:val="000000"/>
                      <w:szCs w:val="21"/>
                    </w:rPr>
                  </w:pPr>
                  <w:r>
                    <w:rPr>
                      <w:color w:val="000000"/>
                      <w:szCs w:val="21"/>
                    </w:rPr>
                    <w:t>符合</w:t>
                  </w:r>
                </w:p>
                <w:p>
                  <w:pPr>
                    <w:jc w:val="center"/>
                    <w:rPr>
                      <w:color w:val="000000"/>
                      <w:szCs w:val="21"/>
                    </w:rPr>
                  </w:pPr>
                  <w:r>
                    <w:rPr>
                      <w:color w:val="00000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noWrap w:val="0"/>
                  <w:vAlign w:val="center"/>
                </w:tcPr>
                <w:p>
                  <w:pPr>
                    <w:jc w:val="center"/>
                    <w:rPr>
                      <w:color w:val="000000"/>
                      <w:szCs w:val="21"/>
                    </w:rPr>
                  </w:pPr>
                  <w:r>
                    <w:rPr>
                      <w:color w:val="000000"/>
                      <w:szCs w:val="21"/>
                    </w:rPr>
                    <w:t>3</w:t>
                  </w:r>
                </w:p>
              </w:tc>
              <w:tc>
                <w:tcPr>
                  <w:tcW w:w="3670" w:type="dxa"/>
                  <w:noWrap w:val="0"/>
                  <w:vAlign w:val="center"/>
                </w:tcPr>
                <w:p>
                  <w:pPr>
                    <w:jc w:val="both"/>
                    <w:rPr>
                      <w:color w:val="000000"/>
                      <w:szCs w:val="21"/>
                    </w:rPr>
                  </w:pPr>
                  <w:r>
                    <w:rPr>
                      <w:color w:val="000000"/>
                      <w:szCs w:val="21"/>
                    </w:rPr>
                    <w:t>实施江、湖一体的氮、磷污染控制，防范和治理江、湖富营养化。</w:t>
                  </w:r>
                </w:p>
              </w:tc>
              <w:tc>
                <w:tcPr>
                  <w:tcW w:w="3142" w:type="dxa"/>
                  <w:noWrap w:val="0"/>
                  <w:vAlign w:val="center"/>
                </w:tcPr>
                <w:p>
                  <w:pPr>
                    <w:jc w:val="both"/>
                    <w:rPr>
                      <w:rFonts w:hint="eastAsia" w:eastAsia="宋体"/>
                      <w:color w:val="000000"/>
                      <w:szCs w:val="21"/>
                      <w:lang w:eastAsia="zh-CN"/>
                    </w:rPr>
                  </w:pPr>
                  <w:r>
                    <w:rPr>
                      <w:rFonts w:hint="eastAsia"/>
                      <w:color w:val="000000"/>
                      <w:szCs w:val="21"/>
                      <w:lang w:eastAsia="zh-CN"/>
                    </w:rPr>
                    <w:t>本项目</w:t>
                  </w:r>
                  <w:r>
                    <w:rPr>
                      <w:rFonts w:hint="eastAsia"/>
                      <w:color w:val="000000"/>
                      <w:szCs w:val="21"/>
                    </w:rPr>
                    <w:t>生产废水纳管至长兴虹溪污水处理有限公司虹星桥镇北片中水回用站后全部回用于</w:t>
                  </w:r>
                  <w:r>
                    <w:rPr>
                      <w:rFonts w:hint="eastAsia"/>
                      <w:color w:val="000000"/>
                      <w:szCs w:val="21"/>
                      <w:lang w:eastAsia="zh-CN"/>
                    </w:rPr>
                    <w:t>织造</w:t>
                  </w:r>
                  <w:r>
                    <w:rPr>
                      <w:rFonts w:hint="eastAsia"/>
                      <w:color w:val="000000"/>
                      <w:szCs w:val="21"/>
                    </w:rPr>
                    <w:t>；生活污水经预处理后纳入当地农村生活污水终端系统处理达标后排放</w:t>
                  </w:r>
                  <w:r>
                    <w:rPr>
                      <w:rFonts w:hint="eastAsia"/>
                      <w:color w:val="000000"/>
                      <w:szCs w:val="21"/>
                      <w:lang w:eastAsia="zh-CN"/>
                    </w:rPr>
                    <w:t>。</w:t>
                  </w:r>
                </w:p>
              </w:tc>
              <w:tc>
                <w:tcPr>
                  <w:tcW w:w="862" w:type="dxa"/>
                  <w:noWrap w:val="0"/>
                  <w:vAlign w:val="center"/>
                </w:tcPr>
                <w:p>
                  <w:pPr>
                    <w:jc w:val="center"/>
                    <w:rPr>
                      <w:color w:val="000000"/>
                      <w:szCs w:val="21"/>
                    </w:rPr>
                  </w:pPr>
                  <w:r>
                    <w:rPr>
                      <w:color w:val="000000"/>
                      <w:szCs w:val="21"/>
                    </w:rPr>
                    <w:t>符合</w:t>
                  </w:r>
                </w:p>
                <w:p>
                  <w:pPr>
                    <w:jc w:val="center"/>
                    <w:rPr>
                      <w:color w:val="000000"/>
                      <w:szCs w:val="21"/>
                    </w:rPr>
                  </w:pPr>
                  <w:r>
                    <w:rPr>
                      <w:color w:val="00000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31" w:type="dxa"/>
                  <w:noWrap w:val="0"/>
                  <w:vAlign w:val="center"/>
                </w:tcPr>
                <w:p>
                  <w:pPr>
                    <w:jc w:val="center"/>
                    <w:rPr>
                      <w:color w:val="000000"/>
                      <w:szCs w:val="21"/>
                    </w:rPr>
                  </w:pPr>
                  <w:r>
                    <w:rPr>
                      <w:color w:val="000000"/>
                      <w:szCs w:val="21"/>
                    </w:rPr>
                    <w:t>4</w:t>
                  </w:r>
                </w:p>
              </w:tc>
              <w:tc>
                <w:tcPr>
                  <w:tcW w:w="3670" w:type="dxa"/>
                  <w:noWrap w:val="0"/>
                  <w:vAlign w:val="center"/>
                </w:tcPr>
                <w:p>
                  <w:pPr>
                    <w:jc w:val="both"/>
                    <w:rPr>
                      <w:color w:val="000000"/>
                      <w:szCs w:val="21"/>
                    </w:rPr>
                  </w:pPr>
                  <w:r>
                    <w:rPr>
                      <w:color w:val="000000"/>
                      <w:szCs w:val="21"/>
                    </w:rPr>
                    <w:t>严格沿江港口码头项目环境准入，强化环境风险防范措施。</w:t>
                  </w:r>
                </w:p>
              </w:tc>
              <w:tc>
                <w:tcPr>
                  <w:tcW w:w="3142" w:type="dxa"/>
                  <w:noWrap w:val="0"/>
                  <w:vAlign w:val="center"/>
                </w:tcPr>
                <w:p>
                  <w:pPr>
                    <w:jc w:val="both"/>
                    <w:rPr>
                      <w:color w:val="000000"/>
                      <w:szCs w:val="21"/>
                    </w:rPr>
                  </w:pPr>
                  <w:r>
                    <w:rPr>
                      <w:color w:val="000000"/>
                      <w:szCs w:val="21"/>
                    </w:rPr>
                    <w:t>不涉及。</w:t>
                  </w:r>
                </w:p>
              </w:tc>
              <w:tc>
                <w:tcPr>
                  <w:tcW w:w="862" w:type="dxa"/>
                  <w:noWrap w:val="0"/>
                  <w:vAlign w:val="center"/>
                </w:tcPr>
                <w:p>
                  <w:pPr>
                    <w:jc w:val="center"/>
                    <w:rPr>
                      <w:color w:val="000000"/>
                      <w:szCs w:val="21"/>
                    </w:rPr>
                  </w:pPr>
                  <w:r>
                    <w:rPr>
                      <w:color w:val="000000"/>
                      <w:szCs w:val="21"/>
                    </w:rPr>
                    <w:t>符合</w:t>
                  </w:r>
                </w:p>
                <w:p>
                  <w:pPr>
                    <w:jc w:val="center"/>
                    <w:rPr>
                      <w:color w:val="000000"/>
                      <w:szCs w:val="21"/>
                    </w:rPr>
                  </w:pPr>
                  <w:r>
                    <w:rPr>
                      <w:color w:val="000000"/>
                      <w:szCs w:val="21"/>
                    </w:rPr>
                    <w:t>要求</w:t>
                  </w:r>
                </w:p>
              </w:tc>
            </w:tr>
          </w:tbl>
          <w:p>
            <w:pPr>
              <w:spacing w:line="500" w:lineRule="exact"/>
              <w:ind w:firstLine="480" w:firstLineChars="200"/>
              <w:rPr>
                <w:color w:val="000000"/>
                <w:sz w:val="24"/>
              </w:rPr>
            </w:pPr>
            <w:r>
              <w:rPr>
                <w:color w:val="000000"/>
                <w:sz w:val="24"/>
              </w:rPr>
              <w:t>综上所述，项目符合《关于落实&lt;水污染防治行动计划&gt;实施区域差别化环境准入的指导意见》。</w:t>
            </w:r>
          </w:p>
          <w:p>
            <w:pPr>
              <w:spacing w:line="500" w:lineRule="exact"/>
              <w:rPr>
                <w:b/>
                <w:color w:val="000000"/>
                <w:sz w:val="24"/>
              </w:rPr>
            </w:pPr>
            <w:r>
              <w:rPr>
                <w:rFonts w:hint="eastAsia"/>
                <w:b/>
                <w:color w:val="000000"/>
                <w:sz w:val="24"/>
              </w:rPr>
              <w:t>1.1.</w:t>
            </w:r>
            <w:r>
              <w:rPr>
                <w:rFonts w:hint="eastAsia"/>
                <w:b/>
                <w:color w:val="000000"/>
                <w:sz w:val="24"/>
                <w:lang w:val="en-US" w:eastAsia="zh-CN"/>
              </w:rPr>
              <w:t>5</w:t>
            </w:r>
            <w:r>
              <w:rPr>
                <w:b/>
                <w:color w:val="000000"/>
                <w:sz w:val="24"/>
              </w:rPr>
              <w:t>《太湖流域管理条例》</w:t>
            </w:r>
          </w:p>
          <w:p>
            <w:pPr>
              <w:pStyle w:val="3"/>
              <w:spacing w:line="500" w:lineRule="exact"/>
              <w:ind w:firstLine="480" w:firstLineChars="200"/>
              <w:rPr>
                <w:bCs/>
                <w:color w:val="000000"/>
                <w:sz w:val="24"/>
                <w:szCs w:val="22"/>
              </w:rPr>
            </w:pPr>
            <w:r>
              <w:rPr>
                <w:bCs/>
                <w:color w:val="000000"/>
                <w:sz w:val="24"/>
                <w:szCs w:val="22"/>
              </w:rPr>
              <w:t>项目符合性分析见表</w:t>
            </w:r>
            <w:r>
              <w:rPr>
                <w:rFonts w:hint="eastAsia"/>
                <w:bCs/>
                <w:color w:val="000000"/>
                <w:sz w:val="24"/>
                <w:szCs w:val="22"/>
              </w:rPr>
              <w:t>1.1-</w:t>
            </w:r>
            <w:r>
              <w:rPr>
                <w:rFonts w:hint="eastAsia"/>
                <w:bCs/>
                <w:color w:val="000000"/>
                <w:sz w:val="24"/>
                <w:szCs w:val="22"/>
                <w:lang w:val="en-US" w:eastAsia="zh-CN"/>
              </w:rPr>
              <w:t>5</w:t>
            </w:r>
            <w:r>
              <w:rPr>
                <w:bCs/>
                <w:color w:val="000000"/>
                <w:sz w:val="24"/>
                <w:szCs w:val="22"/>
              </w:rPr>
              <w:t>。</w:t>
            </w:r>
          </w:p>
          <w:p>
            <w:pPr>
              <w:pStyle w:val="3"/>
              <w:spacing w:line="460" w:lineRule="exact"/>
              <w:ind w:firstLine="0"/>
              <w:jc w:val="center"/>
              <w:rPr>
                <w:rFonts w:hint="eastAsia"/>
                <w:b/>
                <w:color w:val="000000"/>
                <w:szCs w:val="21"/>
              </w:rPr>
            </w:pPr>
            <w:r>
              <w:rPr>
                <w:b/>
                <w:color w:val="000000"/>
                <w:szCs w:val="21"/>
              </w:rPr>
              <w:t>表</w:t>
            </w:r>
            <w:r>
              <w:rPr>
                <w:rFonts w:hint="eastAsia"/>
                <w:b/>
                <w:color w:val="000000"/>
                <w:szCs w:val="21"/>
              </w:rPr>
              <w:t>1.1-</w:t>
            </w:r>
            <w:r>
              <w:rPr>
                <w:rFonts w:hint="eastAsia"/>
                <w:b/>
                <w:color w:val="000000"/>
                <w:szCs w:val="21"/>
                <w:lang w:val="en-US" w:eastAsia="zh-CN"/>
              </w:rPr>
              <w:t>5</w:t>
            </w:r>
            <w:r>
              <w:rPr>
                <w:b/>
                <w:color w:val="000000"/>
                <w:szCs w:val="21"/>
              </w:rPr>
              <w:t xml:space="preserve">  </w:t>
            </w:r>
            <w:r>
              <w:rPr>
                <w:rFonts w:hint="eastAsia"/>
                <w:b/>
                <w:color w:val="000000"/>
                <w:szCs w:val="21"/>
              </w:rPr>
              <w:t>《太湖流域管理条例》</w:t>
            </w:r>
            <w:r>
              <w:rPr>
                <w:b/>
                <w:color w:val="000000"/>
                <w:szCs w:val="21"/>
              </w:rPr>
              <w:t>符合性分析</w:t>
            </w:r>
            <w:r>
              <w:rPr>
                <w:rFonts w:hint="eastAsia"/>
                <w:b/>
                <w:color w:val="000000"/>
                <w:szCs w:val="21"/>
              </w:rPr>
              <w:t>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4224"/>
              <w:gridCol w:w="2461"/>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noWrap w:val="0"/>
                  <w:vAlign w:val="center"/>
                </w:tcPr>
                <w:p>
                  <w:pPr>
                    <w:jc w:val="center"/>
                    <w:rPr>
                      <w:color w:val="000000"/>
                      <w:szCs w:val="21"/>
                    </w:rPr>
                  </w:pPr>
                  <w:r>
                    <w:rPr>
                      <w:color w:val="000000"/>
                      <w:szCs w:val="21"/>
                    </w:rPr>
                    <w:t>序号</w:t>
                  </w:r>
                </w:p>
              </w:tc>
              <w:tc>
                <w:tcPr>
                  <w:tcW w:w="4380" w:type="dxa"/>
                  <w:noWrap w:val="0"/>
                  <w:vAlign w:val="center"/>
                </w:tcPr>
                <w:p>
                  <w:pPr>
                    <w:jc w:val="center"/>
                    <w:rPr>
                      <w:color w:val="000000"/>
                      <w:szCs w:val="21"/>
                    </w:rPr>
                  </w:pPr>
                  <w:r>
                    <w:rPr>
                      <w:color w:val="000000"/>
                      <w:szCs w:val="21"/>
                    </w:rPr>
                    <w:t>要求</w:t>
                  </w:r>
                </w:p>
              </w:tc>
              <w:tc>
                <w:tcPr>
                  <w:tcW w:w="2548" w:type="dxa"/>
                  <w:noWrap w:val="0"/>
                  <w:vAlign w:val="center"/>
                </w:tcPr>
                <w:p>
                  <w:pPr>
                    <w:jc w:val="center"/>
                    <w:rPr>
                      <w:color w:val="000000"/>
                      <w:szCs w:val="21"/>
                    </w:rPr>
                  </w:pPr>
                  <w:r>
                    <w:rPr>
                      <w:color w:val="000000"/>
                      <w:szCs w:val="21"/>
                    </w:rPr>
                    <w:t>项目情况</w:t>
                  </w:r>
                </w:p>
              </w:tc>
              <w:tc>
                <w:tcPr>
                  <w:tcW w:w="862" w:type="dxa"/>
                  <w:noWrap w:val="0"/>
                  <w:vAlign w:val="center"/>
                </w:tcPr>
                <w:p>
                  <w:pPr>
                    <w:jc w:val="center"/>
                    <w:rPr>
                      <w:color w:val="000000"/>
                      <w:szCs w:val="21"/>
                    </w:rPr>
                  </w:pPr>
                  <w:r>
                    <w:rPr>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restart"/>
                  <w:noWrap w:val="0"/>
                  <w:vAlign w:val="center"/>
                </w:tcPr>
                <w:p>
                  <w:pPr>
                    <w:jc w:val="center"/>
                    <w:rPr>
                      <w:color w:val="000000"/>
                      <w:szCs w:val="21"/>
                    </w:rPr>
                  </w:pPr>
                  <w:r>
                    <w:rPr>
                      <w:color w:val="000000"/>
                      <w:szCs w:val="21"/>
                    </w:rPr>
                    <w:t>1</w:t>
                  </w:r>
                </w:p>
              </w:tc>
              <w:tc>
                <w:tcPr>
                  <w:tcW w:w="4380" w:type="dxa"/>
                  <w:noWrap w:val="0"/>
                  <w:vAlign w:val="center"/>
                </w:tcPr>
                <w:p>
                  <w:pPr>
                    <w:jc w:val="both"/>
                    <w:rPr>
                      <w:bCs/>
                      <w:color w:val="000000"/>
                      <w:szCs w:val="21"/>
                    </w:rPr>
                  </w:pPr>
                  <w:r>
                    <w:rPr>
                      <w:color w:val="000000"/>
                      <w:szCs w:val="21"/>
                    </w:rPr>
                    <w:t>排污单位排放水污染物，不得超过经核定的水污染物排放总量，并应当按照规定设置便于检查、采样的规范化排污口，悬挂标志牌；不得私设暗管或者采取其他规避监管的方式排放水污染物。</w:t>
                  </w:r>
                </w:p>
              </w:tc>
              <w:tc>
                <w:tcPr>
                  <w:tcW w:w="2548" w:type="dxa"/>
                  <w:noWrap w:val="0"/>
                  <w:vAlign w:val="center"/>
                </w:tcPr>
                <w:p>
                  <w:pPr>
                    <w:jc w:val="both"/>
                    <w:rPr>
                      <w:color w:val="000000"/>
                      <w:szCs w:val="21"/>
                    </w:rPr>
                  </w:pPr>
                  <w:r>
                    <w:rPr>
                      <w:color w:val="000000"/>
                      <w:szCs w:val="21"/>
                    </w:rPr>
                    <w:t>项目严格执行总量控制制度，将按相关规定完成排污权交易。项目将设置规范化排污口，并设置标识牌。</w:t>
                  </w:r>
                </w:p>
              </w:tc>
              <w:tc>
                <w:tcPr>
                  <w:tcW w:w="862" w:type="dxa"/>
                  <w:noWrap w:val="0"/>
                  <w:vAlign w:val="center"/>
                </w:tcPr>
                <w:p>
                  <w:pPr>
                    <w:jc w:val="center"/>
                    <w:rPr>
                      <w:color w:val="000000"/>
                      <w:szCs w:val="21"/>
                    </w:rPr>
                  </w:pPr>
                  <w:r>
                    <w:rPr>
                      <w:color w:val="000000"/>
                      <w:szCs w:val="21"/>
                    </w:rPr>
                    <w:t>符合</w:t>
                  </w:r>
                </w:p>
                <w:p>
                  <w:pPr>
                    <w:jc w:val="center"/>
                    <w:rPr>
                      <w:color w:val="000000"/>
                      <w:szCs w:val="21"/>
                    </w:rPr>
                  </w:pPr>
                  <w:r>
                    <w:rPr>
                      <w:color w:val="00000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noWrap w:val="0"/>
                  <w:vAlign w:val="center"/>
                </w:tcPr>
                <w:p>
                  <w:pPr>
                    <w:jc w:val="center"/>
                    <w:rPr>
                      <w:color w:val="000000"/>
                      <w:szCs w:val="21"/>
                    </w:rPr>
                  </w:pPr>
                </w:p>
              </w:tc>
              <w:tc>
                <w:tcPr>
                  <w:tcW w:w="4380" w:type="dxa"/>
                  <w:noWrap w:val="0"/>
                  <w:vAlign w:val="center"/>
                </w:tcPr>
                <w:p>
                  <w:pPr>
                    <w:jc w:val="both"/>
                    <w:rPr>
                      <w:color w:val="000000"/>
                      <w:szCs w:val="21"/>
                    </w:rPr>
                  </w:pPr>
                  <w:r>
                    <w:rPr>
                      <w:color w:val="000000"/>
                      <w:szCs w:val="21"/>
                    </w:rPr>
                    <w:t>禁止在太湖流域设置不符合国家产业政策和水环境综合治理要求的造纸、制革、酒精、淀粉、冶金、酿造、印染、电镀等排放水污染物的生产项目，现有的生产项目不能实现达标排放的，应当依法关闭。</w:t>
                  </w:r>
                </w:p>
              </w:tc>
              <w:tc>
                <w:tcPr>
                  <w:tcW w:w="2548" w:type="dxa"/>
                  <w:noWrap w:val="0"/>
                  <w:vAlign w:val="center"/>
                </w:tcPr>
                <w:p>
                  <w:pPr>
                    <w:jc w:val="both"/>
                    <w:rPr>
                      <w:color w:val="000000"/>
                      <w:szCs w:val="21"/>
                    </w:rPr>
                  </w:pPr>
                  <w:r>
                    <w:rPr>
                      <w:color w:val="000000"/>
                      <w:szCs w:val="21"/>
                    </w:rPr>
                    <w:t>项目行业为</w:t>
                  </w:r>
                  <w:r>
                    <w:rPr>
                      <w:rFonts w:hint="eastAsia"/>
                      <w:color w:val="000000"/>
                      <w:szCs w:val="21"/>
                      <w:lang w:eastAsia="zh-CN"/>
                    </w:rPr>
                    <w:t>纺织业</w:t>
                  </w:r>
                  <w:r>
                    <w:rPr>
                      <w:color w:val="000000"/>
                      <w:szCs w:val="21"/>
                    </w:rPr>
                    <w:t xml:space="preserve"> ，不属于条例中禁止设置的行业。</w:t>
                  </w:r>
                </w:p>
              </w:tc>
              <w:tc>
                <w:tcPr>
                  <w:tcW w:w="862" w:type="dxa"/>
                  <w:noWrap w:val="0"/>
                  <w:vAlign w:val="center"/>
                </w:tcPr>
                <w:p>
                  <w:pPr>
                    <w:jc w:val="center"/>
                    <w:rPr>
                      <w:color w:val="000000"/>
                      <w:szCs w:val="21"/>
                    </w:rPr>
                  </w:pPr>
                  <w:r>
                    <w:rPr>
                      <w:color w:val="000000"/>
                      <w:szCs w:val="21"/>
                    </w:rPr>
                    <w:t>符合</w:t>
                  </w:r>
                </w:p>
                <w:p>
                  <w:pPr>
                    <w:jc w:val="center"/>
                    <w:rPr>
                      <w:color w:val="000000"/>
                      <w:szCs w:val="21"/>
                    </w:rPr>
                  </w:pPr>
                  <w:r>
                    <w:rPr>
                      <w:color w:val="00000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noWrap w:val="0"/>
                  <w:vAlign w:val="center"/>
                </w:tcPr>
                <w:p>
                  <w:pPr>
                    <w:jc w:val="center"/>
                    <w:rPr>
                      <w:color w:val="000000"/>
                      <w:szCs w:val="21"/>
                    </w:rPr>
                  </w:pPr>
                </w:p>
              </w:tc>
              <w:tc>
                <w:tcPr>
                  <w:tcW w:w="4380" w:type="dxa"/>
                  <w:noWrap w:val="0"/>
                  <w:vAlign w:val="center"/>
                </w:tcPr>
                <w:p>
                  <w:pPr>
                    <w:jc w:val="both"/>
                    <w:rPr>
                      <w:color w:val="000000"/>
                      <w:szCs w:val="21"/>
                    </w:rPr>
                  </w:pPr>
                  <w:r>
                    <w:rPr>
                      <w:color w:val="000000"/>
                      <w:szCs w:val="21"/>
                    </w:rPr>
                    <w:t>在太湖流域新设企业应当符合国家规定的清洁生产要求，现有的企业尚未达到清洁生产要求的，应当按照清洁生产规划要求进行技术改造，两省一市人民政府应当加强监督检查。</w:t>
                  </w:r>
                </w:p>
              </w:tc>
              <w:tc>
                <w:tcPr>
                  <w:tcW w:w="2548" w:type="dxa"/>
                  <w:noWrap w:val="0"/>
                  <w:vAlign w:val="center"/>
                </w:tcPr>
                <w:p>
                  <w:pPr>
                    <w:jc w:val="both"/>
                    <w:rPr>
                      <w:color w:val="000000"/>
                      <w:szCs w:val="21"/>
                    </w:rPr>
                  </w:pPr>
                  <w:r>
                    <w:rPr>
                      <w:color w:val="000000"/>
                      <w:szCs w:val="21"/>
                    </w:rPr>
                    <w:t>项目将严格执行国家规定的清洁生产要求。</w:t>
                  </w:r>
                </w:p>
              </w:tc>
              <w:tc>
                <w:tcPr>
                  <w:tcW w:w="862" w:type="dxa"/>
                  <w:noWrap w:val="0"/>
                  <w:vAlign w:val="center"/>
                </w:tcPr>
                <w:p>
                  <w:pPr>
                    <w:jc w:val="center"/>
                    <w:rPr>
                      <w:color w:val="000000"/>
                      <w:szCs w:val="21"/>
                    </w:rPr>
                  </w:pPr>
                  <w:r>
                    <w:rPr>
                      <w:color w:val="000000"/>
                      <w:szCs w:val="21"/>
                    </w:rPr>
                    <w:t>符合</w:t>
                  </w:r>
                </w:p>
                <w:p>
                  <w:pPr>
                    <w:jc w:val="center"/>
                    <w:rPr>
                      <w:color w:val="000000"/>
                      <w:szCs w:val="21"/>
                    </w:rPr>
                  </w:pPr>
                  <w:r>
                    <w:rPr>
                      <w:color w:val="00000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Merge w:val="continue"/>
                  <w:noWrap w:val="0"/>
                  <w:vAlign w:val="center"/>
                </w:tcPr>
                <w:p>
                  <w:pPr>
                    <w:jc w:val="center"/>
                    <w:rPr>
                      <w:color w:val="000000"/>
                      <w:szCs w:val="21"/>
                    </w:rPr>
                  </w:pPr>
                </w:p>
              </w:tc>
              <w:tc>
                <w:tcPr>
                  <w:tcW w:w="4380" w:type="dxa"/>
                  <w:noWrap w:val="0"/>
                  <w:vAlign w:val="center"/>
                </w:tcPr>
                <w:p>
                  <w:pPr>
                    <w:jc w:val="both"/>
                    <w:rPr>
                      <w:color w:val="000000"/>
                      <w:szCs w:val="21"/>
                    </w:rPr>
                  </w:pPr>
                  <w:r>
                    <w:rPr>
                      <w:color w:val="000000"/>
                      <w:szCs w:val="21"/>
                    </w:rPr>
                    <w:t>第二十九条 新孟河、望虞河以外的其他主要入太湖河道，自河口1万米上溯至5万米河道岸线内及其岸线两侧各1000 米范围内，禁止下列行为：</w:t>
                  </w:r>
                </w:p>
                <w:p>
                  <w:pPr>
                    <w:jc w:val="both"/>
                    <w:rPr>
                      <w:color w:val="000000"/>
                      <w:szCs w:val="21"/>
                    </w:rPr>
                  </w:pPr>
                  <w:r>
                    <w:rPr>
                      <w:color w:val="000000"/>
                      <w:szCs w:val="21"/>
                    </w:rPr>
                    <w:t>（一）新建、扩建化工、医药生产项目；</w:t>
                  </w:r>
                </w:p>
                <w:p>
                  <w:pPr>
                    <w:jc w:val="both"/>
                    <w:rPr>
                      <w:color w:val="000000"/>
                      <w:szCs w:val="21"/>
                    </w:rPr>
                  </w:pPr>
                  <w:r>
                    <w:rPr>
                      <w:color w:val="000000"/>
                      <w:szCs w:val="21"/>
                    </w:rPr>
                    <w:t>（二）新建、扩建污水集中处理设施排污口以外的排污口；</w:t>
                  </w:r>
                </w:p>
                <w:p>
                  <w:pPr>
                    <w:jc w:val="both"/>
                    <w:rPr>
                      <w:color w:val="000000"/>
                      <w:szCs w:val="21"/>
                    </w:rPr>
                  </w:pPr>
                  <w:r>
                    <w:rPr>
                      <w:color w:val="000000"/>
                      <w:szCs w:val="21"/>
                    </w:rPr>
                    <w:t>（三）扩大水产养殖规模。</w:t>
                  </w:r>
                </w:p>
              </w:tc>
              <w:tc>
                <w:tcPr>
                  <w:tcW w:w="2548" w:type="dxa"/>
                  <w:noWrap w:val="0"/>
                  <w:vAlign w:val="center"/>
                </w:tcPr>
                <w:p>
                  <w:pPr>
                    <w:jc w:val="both"/>
                    <w:rPr>
                      <w:color w:val="000000"/>
                      <w:szCs w:val="21"/>
                    </w:rPr>
                  </w:pPr>
                  <w:r>
                    <w:rPr>
                      <w:color w:val="000000"/>
                      <w:szCs w:val="21"/>
                    </w:rPr>
                    <w:t>项目不在主要入太湖河道1000米范围内，不属于条例划定的禁建范围。</w:t>
                  </w:r>
                </w:p>
              </w:tc>
              <w:tc>
                <w:tcPr>
                  <w:tcW w:w="862" w:type="dxa"/>
                  <w:noWrap w:val="0"/>
                  <w:vAlign w:val="center"/>
                </w:tcPr>
                <w:p>
                  <w:pPr>
                    <w:jc w:val="center"/>
                    <w:rPr>
                      <w:color w:val="000000"/>
                      <w:szCs w:val="21"/>
                    </w:rPr>
                  </w:pPr>
                  <w:r>
                    <w:rPr>
                      <w:color w:val="000000"/>
                      <w:szCs w:val="21"/>
                    </w:rPr>
                    <w:t>符合</w:t>
                  </w:r>
                </w:p>
                <w:p>
                  <w:pPr>
                    <w:jc w:val="center"/>
                    <w:rPr>
                      <w:color w:val="000000"/>
                      <w:szCs w:val="21"/>
                    </w:rPr>
                  </w:pPr>
                  <w:r>
                    <w:rPr>
                      <w:color w:val="000000"/>
                      <w:szCs w:val="21"/>
                    </w:rPr>
                    <w:t>要求</w:t>
                  </w:r>
                </w:p>
              </w:tc>
            </w:tr>
          </w:tbl>
          <w:p>
            <w:pPr>
              <w:pStyle w:val="3"/>
              <w:spacing w:line="500" w:lineRule="exact"/>
              <w:ind w:firstLine="480" w:firstLineChars="200"/>
              <w:rPr>
                <w:color w:val="000000"/>
                <w:sz w:val="24"/>
              </w:rPr>
            </w:pPr>
            <w:r>
              <w:rPr>
                <w:color w:val="000000"/>
                <w:sz w:val="24"/>
              </w:rPr>
              <w:t>综上所述，项目符合《太湖流域管理条例》。</w:t>
            </w:r>
          </w:p>
          <w:p>
            <w:pPr>
              <w:autoSpaceDE w:val="0"/>
              <w:autoSpaceDN w:val="0"/>
              <w:adjustRightInd w:val="0"/>
              <w:snapToGrid w:val="0"/>
              <w:spacing w:line="500" w:lineRule="exact"/>
              <w:jc w:val="both"/>
              <w:rPr>
                <w:b/>
                <w:kern w:val="0"/>
                <w:sz w:val="24"/>
                <w:szCs w:val="24"/>
              </w:rPr>
            </w:pPr>
            <w:r>
              <w:rPr>
                <w:rFonts w:hint="eastAsia"/>
                <w:b/>
                <w:kern w:val="0"/>
                <w:sz w:val="24"/>
                <w:szCs w:val="24"/>
                <w:lang w:val="en-US" w:eastAsia="zh-CN"/>
              </w:rPr>
              <w:t xml:space="preserve">1.1.6 </w:t>
            </w:r>
            <w:r>
              <w:rPr>
                <w:rFonts w:hint="eastAsia"/>
                <w:b/>
                <w:kern w:val="0"/>
                <w:sz w:val="24"/>
                <w:szCs w:val="24"/>
              </w:rPr>
              <w:t>《国家发展改革委等部门关于印发</w:t>
            </w:r>
            <w:r>
              <w:rPr>
                <w:b/>
                <w:snapToGrid w:val="0"/>
                <w:sz w:val="24"/>
                <w:szCs w:val="24"/>
              </w:rPr>
              <w:t>〈</w:t>
            </w:r>
            <w:r>
              <w:rPr>
                <w:rFonts w:hint="eastAsia"/>
                <w:b/>
                <w:kern w:val="0"/>
                <w:sz w:val="24"/>
                <w:szCs w:val="24"/>
              </w:rPr>
              <w:t>太湖流域水环境综合治理总体方案</w:t>
            </w:r>
            <w:r>
              <w:rPr>
                <w:b/>
                <w:snapToGrid w:val="0"/>
                <w:sz w:val="24"/>
                <w:szCs w:val="24"/>
              </w:rPr>
              <w:t>〉</w:t>
            </w:r>
            <w:r>
              <w:rPr>
                <w:rFonts w:hint="eastAsia"/>
                <w:b/>
                <w:kern w:val="0"/>
                <w:sz w:val="24"/>
                <w:szCs w:val="24"/>
              </w:rPr>
              <w:t>的通知》</w:t>
            </w:r>
          </w:p>
          <w:p>
            <w:pPr>
              <w:spacing w:line="500" w:lineRule="exact"/>
              <w:ind w:firstLine="480" w:firstLineChars="200"/>
              <w:contextualSpacing/>
              <w:rPr>
                <w:bCs/>
                <w:snapToGrid w:val="0"/>
                <w:sz w:val="24"/>
                <w:szCs w:val="20"/>
              </w:rPr>
            </w:pPr>
            <w:r>
              <w:rPr>
                <w:rFonts w:hint="eastAsia"/>
                <w:bCs/>
                <w:snapToGrid w:val="0"/>
                <w:sz w:val="24"/>
                <w:szCs w:val="20"/>
              </w:rPr>
              <w:t>《国家发展改革委等部门关于应发〈太湖流域水环境综合治理总体方案〉的通知》（发改地区[2022]</w:t>
            </w:r>
            <w:r>
              <w:rPr>
                <w:bCs/>
                <w:snapToGrid w:val="0"/>
                <w:sz w:val="24"/>
                <w:szCs w:val="20"/>
              </w:rPr>
              <w:t>959</w:t>
            </w:r>
            <w:r>
              <w:rPr>
                <w:rFonts w:hint="eastAsia"/>
                <w:bCs/>
                <w:snapToGrid w:val="0"/>
                <w:sz w:val="24"/>
                <w:szCs w:val="20"/>
              </w:rPr>
              <w:t>号）经国务院同意，由国家发展改革委联合自然资源部、生态环境部、住房城乡建设部、水利部、农业农村部印发《太湖流域水环境综合治理总体方案》于2</w:t>
            </w:r>
            <w:r>
              <w:rPr>
                <w:bCs/>
                <w:snapToGrid w:val="0"/>
                <w:sz w:val="24"/>
                <w:szCs w:val="20"/>
              </w:rPr>
              <w:t>022</w:t>
            </w:r>
            <w:r>
              <w:rPr>
                <w:rFonts w:hint="eastAsia"/>
                <w:bCs/>
                <w:snapToGrid w:val="0"/>
                <w:sz w:val="24"/>
                <w:szCs w:val="20"/>
              </w:rPr>
              <w:t>年6月2</w:t>
            </w:r>
            <w:r>
              <w:rPr>
                <w:bCs/>
                <w:snapToGrid w:val="0"/>
                <w:sz w:val="24"/>
                <w:szCs w:val="20"/>
              </w:rPr>
              <w:t>3</w:t>
            </w:r>
            <w:r>
              <w:rPr>
                <w:rFonts w:hint="eastAsia"/>
                <w:bCs/>
                <w:snapToGrid w:val="0"/>
                <w:sz w:val="24"/>
                <w:szCs w:val="20"/>
              </w:rPr>
              <w:t>日发布，</w:t>
            </w:r>
            <w:r>
              <w:rPr>
                <w:bCs/>
                <w:sz w:val="24"/>
                <w:szCs w:val="22"/>
              </w:rPr>
              <w:t>项目的符合性分析见表</w:t>
            </w:r>
            <w:r>
              <w:rPr>
                <w:rFonts w:hint="eastAsia"/>
                <w:bCs/>
                <w:sz w:val="24"/>
                <w:szCs w:val="22"/>
              </w:rPr>
              <w:t>1.</w:t>
            </w:r>
            <w:r>
              <w:rPr>
                <w:rFonts w:hint="eastAsia"/>
                <w:bCs/>
                <w:sz w:val="24"/>
                <w:szCs w:val="22"/>
                <w:lang w:val="en-US" w:eastAsia="zh-CN"/>
              </w:rPr>
              <w:t>1</w:t>
            </w:r>
            <w:r>
              <w:rPr>
                <w:bCs/>
                <w:sz w:val="24"/>
                <w:szCs w:val="22"/>
              </w:rPr>
              <w:t>-</w:t>
            </w:r>
            <w:r>
              <w:rPr>
                <w:rFonts w:hint="eastAsia"/>
                <w:bCs/>
                <w:sz w:val="24"/>
                <w:szCs w:val="22"/>
                <w:lang w:val="en-US" w:eastAsia="zh-CN"/>
              </w:rPr>
              <w:t>6</w:t>
            </w:r>
            <w:r>
              <w:rPr>
                <w:rFonts w:hint="eastAsia"/>
                <w:bCs/>
                <w:snapToGrid w:val="0"/>
                <w:sz w:val="24"/>
                <w:szCs w:val="20"/>
              </w:rPr>
              <w:t>。</w:t>
            </w:r>
          </w:p>
          <w:p>
            <w:pPr>
              <w:spacing w:line="460" w:lineRule="exact"/>
              <w:contextualSpacing/>
              <w:jc w:val="center"/>
              <w:rPr>
                <w:b/>
                <w:szCs w:val="21"/>
              </w:rPr>
            </w:pPr>
            <w:r>
              <w:rPr>
                <w:b/>
                <w:szCs w:val="21"/>
              </w:rPr>
              <w:t>表</w:t>
            </w:r>
            <w:r>
              <w:rPr>
                <w:rFonts w:hint="eastAsia"/>
                <w:b/>
                <w:szCs w:val="21"/>
              </w:rPr>
              <w:t>1.</w:t>
            </w:r>
            <w:r>
              <w:rPr>
                <w:rFonts w:hint="eastAsia"/>
                <w:b/>
                <w:szCs w:val="21"/>
                <w:lang w:val="en-US" w:eastAsia="zh-CN"/>
              </w:rPr>
              <w:t>1</w:t>
            </w:r>
            <w:r>
              <w:rPr>
                <w:b/>
                <w:szCs w:val="21"/>
              </w:rPr>
              <w:t>-</w:t>
            </w:r>
            <w:r>
              <w:rPr>
                <w:rFonts w:hint="eastAsia"/>
                <w:b/>
                <w:szCs w:val="21"/>
                <w:lang w:val="en-US" w:eastAsia="zh-CN"/>
              </w:rPr>
              <w:t>6</w:t>
            </w:r>
            <w:r>
              <w:rPr>
                <w:rFonts w:hint="eastAsia"/>
                <w:b/>
                <w:szCs w:val="21"/>
              </w:rPr>
              <w:t xml:space="preserve"> </w:t>
            </w:r>
            <w:r>
              <w:rPr>
                <w:rFonts w:hint="eastAsia"/>
                <w:b/>
                <w:szCs w:val="21"/>
                <w:lang w:val="en-US" w:eastAsia="zh-CN"/>
              </w:rPr>
              <w:t xml:space="preserve"> </w:t>
            </w:r>
            <w:r>
              <w:rPr>
                <w:rFonts w:hint="eastAsia"/>
                <w:b/>
                <w:szCs w:val="21"/>
              </w:rPr>
              <w:t>《国家发展改革委等部门关于印发〈太湖流域水环境综合治理总体方案〉的通知》</w:t>
            </w:r>
            <w:r>
              <w:rPr>
                <w:b/>
                <w:szCs w:val="21"/>
              </w:rPr>
              <w:t>（节选）符合性分析</w:t>
            </w:r>
          </w:p>
          <w:tbl>
            <w:tblPr>
              <w:tblStyle w:val="40"/>
              <w:tblW w:w="82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2"/>
              <w:gridCol w:w="4221"/>
              <w:gridCol w:w="2549"/>
              <w:gridCol w:w="6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0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kern w:val="0"/>
                      <w:szCs w:val="21"/>
                      <w14:textFill>
                        <w14:solidFill>
                          <w14:schemeClr w14:val="tx1"/>
                        </w14:solidFill>
                      </w14:textFill>
                    </w:rPr>
                    <w:t>内容</w:t>
                  </w:r>
                </w:p>
              </w:tc>
              <w:tc>
                <w:tcPr>
                  <w:tcW w:w="422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具体要求</w:t>
                  </w:r>
                </w:p>
              </w:tc>
              <w:tc>
                <w:tcPr>
                  <w:tcW w:w="2549"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Style w:val="43"/>
                      <w:rFonts w:ascii="Times New Roman" w:hAnsi="Times New Roman" w:eastAsia="宋体" w:cs="Times New Roman"/>
                      <w:b w:val="0"/>
                      <w:color w:val="000000" w:themeColor="text1"/>
                      <w:szCs w:val="21"/>
                      <w14:textFill>
                        <w14:solidFill>
                          <w14:schemeClr w14:val="tx1"/>
                        </w14:solidFill>
                      </w14:textFill>
                    </w:rPr>
                    <w:t>项目情况</w:t>
                  </w:r>
                </w:p>
              </w:tc>
              <w:tc>
                <w:tcPr>
                  <w:tcW w:w="665" w:type="dxa"/>
                  <w:tcBorders>
                    <w:top w:val="single" w:color="auto" w:sz="4" w:space="0"/>
                    <w:left w:val="single" w:color="auto" w:sz="4" w:space="0"/>
                    <w:bottom w:val="single" w:color="auto" w:sz="4" w:space="0"/>
                    <w:right w:val="single" w:color="auto" w:sz="4" w:space="0"/>
                  </w:tcBorders>
                  <w:noWrap/>
                  <w:vAlign w:val="center"/>
                </w:tcPr>
                <w:p>
                  <w:pPr>
                    <w:jc w:val="center"/>
                    <w:rPr>
                      <w:rStyle w:val="43"/>
                      <w:rFonts w:ascii="Times New Roman" w:hAnsi="Times New Roman" w:eastAsia="宋体" w:cs="Times New Roman"/>
                      <w:b w:val="0"/>
                      <w:color w:val="000000" w:themeColor="text1"/>
                      <w:szCs w:val="21"/>
                      <w14:textFill>
                        <w14:solidFill>
                          <w14:schemeClr w14:val="tx1"/>
                        </w14:solidFill>
                      </w14:textFill>
                    </w:rPr>
                  </w:pPr>
                  <w:r>
                    <w:rPr>
                      <w:rStyle w:val="43"/>
                      <w:rFonts w:ascii="Times New Roman" w:hAnsi="Times New Roman" w:eastAsia="宋体" w:cs="Times New Roman"/>
                      <w:b w:val="0"/>
                      <w:color w:val="000000" w:themeColor="text1"/>
                      <w:szCs w:val="21"/>
                      <w14:textFill>
                        <w14:solidFill>
                          <w14:schemeClr w14:val="tx1"/>
                        </w14:solidFill>
                      </w14:textFill>
                    </w:rPr>
                    <w:t>是否</w:t>
                  </w:r>
                </w:p>
                <w:p>
                  <w:pPr>
                    <w:jc w:val="center"/>
                    <w:rPr>
                      <w:rFonts w:ascii="Times New Roman" w:hAnsi="Times New Roman" w:eastAsia="宋体" w:cs="Times New Roman"/>
                      <w:bCs/>
                      <w:color w:val="000000" w:themeColor="text1"/>
                      <w:szCs w:val="21"/>
                      <w14:textFill>
                        <w14:solidFill>
                          <w14:schemeClr w14:val="tx1"/>
                        </w14:solidFill>
                      </w14:textFill>
                    </w:rPr>
                  </w:pPr>
                  <w:r>
                    <w:rPr>
                      <w:rStyle w:val="43"/>
                      <w:rFonts w:ascii="Times New Roman" w:hAnsi="Times New Roman" w:eastAsia="宋体" w:cs="Times New Roman"/>
                      <w:b w:val="0"/>
                      <w:color w:val="000000" w:themeColor="text1"/>
                      <w:szCs w:val="2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02" w:type="dxa"/>
                  <w:tcBorders>
                    <w:top w:val="single" w:color="auto" w:sz="4" w:space="0"/>
                    <w:left w:val="single" w:color="auto" w:sz="4" w:space="0"/>
                    <w:bottom w:val="single" w:color="auto" w:sz="4" w:space="0"/>
                    <w:right w:val="single" w:color="auto" w:sz="4" w:space="0"/>
                  </w:tcBorders>
                  <w:noWrap/>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深化工业污染治理</w:t>
                  </w:r>
                </w:p>
              </w:tc>
              <w:tc>
                <w:tcPr>
                  <w:tcW w:w="4221" w:type="dxa"/>
                  <w:tcBorders>
                    <w:top w:val="single" w:color="auto" w:sz="4" w:space="0"/>
                    <w:left w:val="single" w:color="auto" w:sz="4" w:space="0"/>
                    <w:bottom w:val="single" w:color="auto" w:sz="4" w:space="0"/>
                    <w:right w:val="single" w:color="auto" w:sz="4" w:space="0"/>
                  </w:tcBorders>
                  <w:noWrap/>
                  <w:vAlign w:val="center"/>
                </w:tcPr>
                <w:p>
                  <w:pPr>
                    <w:widowControl/>
                    <w:jc w:val="left"/>
                  </w:pPr>
                  <w:r>
                    <w:rPr>
                      <w:rFonts w:hint="eastAsia"/>
                    </w:rPr>
                    <w:t>督促企业依法持证排污、按证排污，严格落实总磷许可排放浓度和许可排放量要求。持续强化涉水行业污染整治，基于水生态环境质量改善需要，大力推进印染、化工、造纸、钢铁、电镀、食品(啤酒、味精)等重点行业企业废水深度处理。实施工业园区限值限量管理，全面推进工业园区污水管网排查整治和污水收集处理设施建设，加快实施管网混错接改造、管网更新、破损修复改造等，依法推动园区生产废水应纳尽纳。推进化工园区雨污分流改造和初期雨水收集处理，鼓励有条件的园区实施化工企业废水分类收集、分质处理、一企一管、明管输送、实时监测。</w:t>
                  </w:r>
                </w:p>
                <w:p>
                  <w:pPr>
                    <w:widowControl/>
                    <w:jc w:val="left"/>
                  </w:pPr>
                  <w:r>
                    <w:rPr>
                      <w:rFonts w:hint="eastAsia"/>
                    </w:rPr>
                    <w:t>推进企业内部工业用水循环利用、园区内企业间用水系统集成优化，推动工业废水资源化利用。积极推进清洁生产，引导工业园区、开发区尤其是耗水量大的企业新建中水回用设施和环保循环设施，推行尾水循环再生利用。开展造纸、印染等高耗水行业工业废水循环利用示范，率先在纺织印染、化工材料等工业园区探索建设“污水零直排区”，实施环境信息依法披露、生态环境损害赔偿、环境污染责任保险等制度。</w:t>
                  </w:r>
                </w:p>
              </w:tc>
              <w:tc>
                <w:tcPr>
                  <w:tcW w:w="2549" w:type="dxa"/>
                  <w:tcBorders>
                    <w:top w:val="single" w:color="auto" w:sz="4" w:space="0"/>
                    <w:left w:val="single" w:color="auto" w:sz="4" w:space="0"/>
                    <w:bottom w:val="single" w:color="auto" w:sz="4" w:space="0"/>
                    <w:right w:val="single" w:color="auto" w:sz="4" w:space="0"/>
                  </w:tcBorders>
                  <w:noWrap/>
                  <w:vAlign w:val="center"/>
                </w:tcPr>
                <w:p>
                  <w:pPr>
                    <w:rPr>
                      <w:rFonts w:ascii="Times New Roman" w:hAnsi="Times New Roman" w:cs="Times New Roman"/>
                      <w:szCs w:val="21"/>
                    </w:rPr>
                  </w:pPr>
                  <w:r>
                    <w:rPr>
                      <w:rFonts w:hint="eastAsia" w:ascii="Times New Roman" w:hAnsi="Times New Roman" w:cs="Times New Roman"/>
                      <w:bCs/>
                      <w:snapToGrid w:val="0"/>
                      <w:szCs w:val="21"/>
                    </w:rPr>
                    <w:t>项目将在投产前依法申领排排污许可证，</w:t>
                  </w:r>
                  <w:r>
                    <w:rPr>
                      <w:rFonts w:ascii="Times New Roman" w:hAnsi="Times New Roman" w:cs="Times New Roman"/>
                      <w:szCs w:val="21"/>
                    </w:rPr>
                    <w:t>厂区将实行雨、污分流。</w:t>
                  </w:r>
                  <w:r>
                    <w:rPr>
                      <w:rFonts w:hint="eastAsia" w:ascii="Times New Roman" w:hAnsi="Times New Roman" w:cs="Times New Roman"/>
                      <w:szCs w:val="21"/>
                    </w:rPr>
                    <w:t>生产废水纳管至长兴虹溪污水处理有限公司虹星桥镇北片中水回用站后全部回用于</w:t>
                  </w:r>
                  <w:r>
                    <w:rPr>
                      <w:rFonts w:hint="eastAsia" w:ascii="Times New Roman" w:hAnsi="Times New Roman" w:cs="Times New Roman"/>
                      <w:szCs w:val="21"/>
                      <w:lang w:eastAsia="zh-CN"/>
                    </w:rPr>
                    <w:t>织造</w:t>
                  </w:r>
                  <w:r>
                    <w:rPr>
                      <w:rFonts w:hint="eastAsia" w:ascii="Times New Roman" w:hAnsi="Times New Roman" w:cs="Times New Roman"/>
                      <w:szCs w:val="21"/>
                    </w:rPr>
                    <w:t>；生活污水经预处理后纳入当地农村生活污水终端系统处理达标后排放</w:t>
                  </w:r>
                  <w:r>
                    <w:rPr>
                      <w:rFonts w:ascii="Times New Roman" w:hAnsi="Times New Roman" w:cs="Times New Roman"/>
                      <w:szCs w:val="21"/>
                    </w:rPr>
                    <w:t>。</w:t>
                  </w:r>
                </w:p>
              </w:tc>
              <w:tc>
                <w:tcPr>
                  <w:tcW w:w="66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02" w:type="dxa"/>
                  <w:tcBorders>
                    <w:top w:val="single" w:color="auto" w:sz="4" w:space="0"/>
                    <w:left w:val="single" w:color="auto" w:sz="4" w:space="0"/>
                    <w:bottom w:val="single" w:color="auto" w:sz="4" w:space="0"/>
                    <w:right w:val="single" w:color="auto" w:sz="4" w:space="0"/>
                  </w:tcBorders>
                  <w:noWrap/>
                  <w:vAlign w:val="center"/>
                </w:tcPr>
                <w:p>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引导产业合理布局</w:t>
                  </w:r>
                </w:p>
              </w:tc>
              <w:tc>
                <w:tcPr>
                  <w:tcW w:w="422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宋体" w:cs="Times New Roman"/>
                      <w:szCs w:val="21"/>
                    </w:rPr>
                  </w:pPr>
                  <w:r>
                    <w:rPr>
                      <w:rFonts w:hint="eastAsia"/>
                    </w:rPr>
                    <w:t>严禁落地国家和本地产业结构调整目录明确的限制类、淘汰类工艺、装备、产品与项目，依法推动污染企业退出。继续推进城市建成区内造纸、印染、化工等污染较重企业有序搬迁改造或依法关闭，推动环太湖生态环境敏感区内不符合产业发展政策、存在重大安全隐患且不具备整治条件的企业依法关闭或搬迁至合规工业园。</w:t>
                  </w:r>
                  <w:r>
                    <w:rPr>
                      <w:rFonts w:ascii="Times New Roman" w:hAnsi="Times New Roman" w:cs="Times New Roman"/>
                    </w:rPr>
                    <w:t>推进太湖流域等重要饮用水水源地300米范围内重点排污企业逐步退出。除战略性新兴产业项目外，太湖流域原则上不再审批其他生产性新增</w:t>
                  </w:r>
                  <w:r>
                    <w:rPr>
                      <w:rFonts w:hint="eastAsia"/>
                    </w:rPr>
                    <w:t>氮磷污染物的工业类建设项目。环太湖地区重点布局总部经济、研发设计、高端制造、销售等业清洁生产水平，实现同行业领先。</w:t>
                  </w:r>
                </w:p>
              </w:tc>
              <w:tc>
                <w:tcPr>
                  <w:tcW w:w="2549" w:type="dxa"/>
                  <w:tcBorders>
                    <w:top w:val="single" w:color="auto" w:sz="4" w:space="0"/>
                    <w:left w:val="single" w:color="auto" w:sz="4" w:space="0"/>
                    <w:bottom w:val="single" w:color="auto" w:sz="4" w:space="0"/>
                    <w:right w:val="single" w:color="auto" w:sz="4" w:space="0"/>
                  </w:tcBorders>
                  <w:noWrap/>
                  <w:vAlign w:val="center"/>
                </w:tcPr>
                <w:p>
                  <w:pPr>
                    <w:rPr>
                      <w:rFonts w:ascii="Times New Roman" w:hAnsi="Times New Roman" w:cs="Times New Roman"/>
                      <w:szCs w:val="21"/>
                    </w:rPr>
                  </w:pPr>
                  <w:r>
                    <w:rPr>
                      <w:rFonts w:ascii="Times New Roman" w:hAnsi="Times New Roman" w:eastAsia="宋体" w:cs="Times New Roman"/>
                      <w:color w:val="000000" w:themeColor="text1"/>
                      <w:szCs w:val="21"/>
                      <w14:textFill>
                        <w14:solidFill>
                          <w14:schemeClr w14:val="tx1"/>
                        </w14:solidFill>
                      </w14:textFill>
                    </w:rPr>
                    <w:t>本项目所属行业为</w:t>
                  </w:r>
                  <w:r>
                    <w:rPr>
                      <w:rFonts w:hint="eastAsia" w:ascii="Times New Roman" w:hAnsi="Times New Roman"/>
                      <w:bCs/>
                      <w:szCs w:val="21"/>
                    </w:rPr>
                    <w:t>化纤织造加工C1751</w:t>
                  </w:r>
                  <w:r>
                    <w:rPr>
                      <w:rFonts w:hint="eastAsia" w:ascii="Times New Roman" w:hAnsi="Times New Roman"/>
                      <w:bCs/>
                      <w:szCs w:val="21"/>
                      <w:lang w:eastAsia="zh-CN"/>
                    </w:rPr>
                    <w:t>、涤纶纤维制造 C2822</w:t>
                  </w:r>
                  <w:r>
                    <w:rPr>
                      <w:rFonts w:ascii="Times New Roman" w:hAnsi="Times New Roman" w:cs="Times New Roman"/>
                      <w:color w:val="000000" w:themeColor="text1"/>
                      <w:szCs w:val="21"/>
                      <w14:textFill>
                        <w14:solidFill>
                          <w14:schemeClr w14:val="tx1"/>
                        </w14:solidFill>
                      </w14:textFill>
                    </w:rPr>
                    <w:t>，不属于</w:t>
                  </w:r>
                  <w:r>
                    <w:rPr>
                      <w:rFonts w:hint="eastAsia"/>
                      <w:color w:val="000000" w:themeColor="text1"/>
                      <w14:textFill>
                        <w14:solidFill>
                          <w14:schemeClr w14:val="tx1"/>
                        </w14:solidFill>
                      </w14:textFill>
                    </w:rPr>
                    <w:t>法律法规和相关政策明令禁止的落后产能项目，不属于《产业结构调整指导目录》淘汰类中的落后生产工艺装备、落后产品投资项目</w:t>
                  </w:r>
                  <w:r>
                    <w:rPr>
                      <w:rFonts w:hint="eastAsia" w:ascii="Times New Roman" w:hAnsi="Times New Roman" w:cs="Times New Roman"/>
                      <w:color w:val="000000" w:themeColor="text1"/>
                      <w:szCs w:val="21"/>
                      <w14:textFill>
                        <w14:solidFill>
                          <w14:schemeClr w14:val="tx1"/>
                        </w14:solidFill>
                      </w14:textFill>
                    </w:rPr>
                    <w:t>，不属于</w:t>
                  </w:r>
                  <w:r>
                    <w:rPr>
                      <w:rFonts w:hint="eastAsia"/>
                    </w:rPr>
                    <w:t>城市建成区内造纸、印染、化工等污染较重企业，</w:t>
                  </w:r>
                  <w:r>
                    <w:rPr>
                      <w:rFonts w:hint="eastAsia" w:ascii="Times New Roman" w:hAnsi="Times New Roman"/>
                      <w:bCs/>
                      <w:szCs w:val="21"/>
                    </w:rPr>
                    <w:t>且位于长兴县工业平台范围内，</w:t>
                  </w:r>
                  <w:r>
                    <w:rPr>
                      <w:rFonts w:hint="eastAsia" w:ascii="Times New Roman" w:hAnsi="Times New Roman"/>
                      <w:bCs/>
                      <w:szCs w:val="21"/>
                      <w:lang w:eastAsia="zh-CN"/>
                    </w:rPr>
                    <w:t>不</w:t>
                  </w:r>
                  <w:r>
                    <w:rPr>
                      <w:rFonts w:hint="eastAsia" w:ascii="Times New Roman" w:hAnsi="Times New Roman" w:eastAsia="宋体" w:cs="Times New Roman"/>
                      <w:szCs w:val="21"/>
                    </w:rPr>
                    <w:t>属于</w:t>
                  </w:r>
                  <w:r>
                    <w:rPr>
                      <w:rFonts w:ascii="Times New Roman" w:hAnsi="Times New Roman" w:cs="Times New Roman"/>
                    </w:rPr>
                    <w:t>太湖流域等重要饮用水水源地300米范围内重点排污企业</w:t>
                  </w:r>
                  <w:r>
                    <w:rPr>
                      <w:rFonts w:hint="eastAsia" w:ascii="Times New Roman" w:hAnsi="Times New Roman" w:cs="Times New Roman"/>
                    </w:rPr>
                    <w:t>，本项目</w:t>
                  </w:r>
                  <w:r>
                    <w:rPr>
                      <w:rFonts w:hint="eastAsia" w:ascii="Times New Roman" w:hAnsi="Times New Roman" w:cs="Times New Roman"/>
                      <w:lang w:eastAsia="zh-CN"/>
                    </w:rPr>
                    <w:t>仅排放生活污水，</w:t>
                  </w:r>
                  <w:r>
                    <w:rPr>
                      <w:rFonts w:hint="eastAsia" w:ascii="Times New Roman" w:hAnsi="Times New Roman" w:cs="Times New Roman"/>
                    </w:rPr>
                    <w:t>不属于</w:t>
                  </w:r>
                  <w:r>
                    <w:rPr>
                      <w:rFonts w:ascii="Times New Roman" w:hAnsi="Times New Roman" w:cs="Times New Roman"/>
                    </w:rPr>
                    <w:t>其他生产性新增</w:t>
                  </w:r>
                  <w:r>
                    <w:rPr>
                      <w:rFonts w:hint="eastAsia"/>
                    </w:rPr>
                    <w:t>氮磷污染物的工业类建设项目。</w:t>
                  </w:r>
                </w:p>
              </w:tc>
              <w:tc>
                <w:tcPr>
                  <w:tcW w:w="66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spacing w:line="500" w:lineRule="exact"/>
              <w:contextualSpacing/>
              <w:rPr>
                <w:b/>
                <w:sz w:val="24"/>
                <w:szCs w:val="22"/>
              </w:rPr>
            </w:pPr>
            <w:r>
              <w:rPr>
                <w:b/>
                <w:sz w:val="24"/>
                <w:szCs w:val="22"/>
              </w:rPr>
              <w:t>1.</w:t>
            </w:r>
            <w:r>
              <w:rPr>
                <w:rFonts w:hint="eastAsia"/>
                <w:b/>
                <w:sz w:val="24"/>
                <w:szCs w:val="22"/>
                <w:lang w:val="en-US" w:eastAsia="zh-CN"/>
              </w:rPr>
              <w:t>1</w:t>
            </w:r>
            <w:r>
              <w:rPr>
                <w:rFonts w:hint="eastAsia"/>
                <w:b/>
                <w:sz w:val="24"/>
                <w:szCs w:val="22"/>
              </w:rPr>
              <w:t>.</w:t>
            </w:r>
            <w:r>
              <w:rPr>
                <w:rFonts w:hint="eastAsia"/>
                <w:b/>
                <w:sz w:val="24"/>
                <w:szCs w:val="22"/>
                <w:lang w:val="en-US" w:eastAsia="zh-CN"/>
              </w:rPr>
              <w:t xml:space="preserve">7 </w:t>
            </w:r>
            <w:r>
              <w:rPr>
                <w:b/>
                <w:sz w:val="24"/>
                <w:szCs w:val="22"/>
              </w:rPr>
              <w:t>《〈长江经济带发展负面清单指南</w:t>
            </w:r>
            <w:r>
              <w:rPr>
                <w:b/>
                <w:color w:val="000000"/>
                <w:kern w:val="0"/>
                <w:sz w:val="24"/>
              </w:rPr>
              <w:t>（试行，2022年版）</w:t>
            </w:r>
            <w:r>
              <w:rPr>
                <w:b/>
                <w:sz w:val="24"/>
                <w:szCs w:val="22"/>
              </w:rPr>
              <w:t>〉浙江省实施细则》</w:t>
            </w:r>
          </w:p>
          <w:p>
            <w:pPr>
              <w:pStyle w:val="31"/>
              <w:snapToGrid/>
              <w:spacing w:line="500" w:lineRule="exact"/>
              <w:ind w:firstLine="480" w:firstLineChars="200"/>
              <w:rPr>
                <w:bCs/>
                <w:sz w:val="24"/>
                <w:szCs w:val="22"/>
              </w:rPr>
            </w:pPr>
            <w:r>
              <w:rPr>
                <w:bCs/>
                <w:sz w:val="24"/>
                <w:szCs w:val="22"/>
              </w:rPr>
              <w:t>项目的符合性分析见表</w:t>
            </w:r>
            <w:r>
              <w:rPr>
                <w:rFonts w:hint="eastAsia"/>
                <w:bCs/>
                <w:sz w:val="24"/>
                <w:szCs w:val="22"/>
              </w:rPr>
              <w:t>1.</w:t>
            </w:r>
            <w:r>
              <w:rPr>
                <w:rFonts w:hint="eastAsia"/>
                <w:bCs/>
                <w:sz w:val="24"/>
                <w:szCs w:val="22"/>
                <w:lang w:val="en-US" w:eastAsia="zh-CN"/>
              </w:rPr>
              <w:t>1</w:t>
            </w:r>
            <w:r>
              <w:rPr>
                <w:rFonts w:hint="eastAsia"/>
                <w:bCs/>
                <w:sz w:val="24"/>
                <w:szCs w:val="22"/>
              </w:rPr>
              <w:t>-</w:t>
            </w:r>
            <w:r>
              <w:rPr>
                <w:rFonts w:hint="eastAsia"/>
                <w:bCs/>
                <w:sz w:val="24"/>
                <w:szCs w:val="22"/>
                <w:lang w:val="en-US" w:eastAsia="zh-CN"/>
              </w:rPr>
              <w:t>7</w:t>
            </w:r>
            <w:r>
              <w:rPr>
                <w:bCs/>
                <w:sz w:val="24"/>
                <w:szCs w:val="22"/>
              </w:rPr>
              <w:t>。</w:t>
            </w:r>
          </w:p>
          <w:p>
            <w:pPr>
              <w:pStyle w:val="31"/>
              <w:spacing w:line="460" w:lineRule="exact"/>
              <w:ind w:firstLine="0"/>
              <w:jc w:val="center"/>
              <w:rPr>
                <w:sz w:val="21"/>
                <w:szCs w:val="21"/>
              </w:rPr>
            </w:pPr>
            <w:r>
              <w:rPr>
                <w:b/>
                <w:sz w:val="21"/>
                <w:szCs w:val="21"/>
              </w:rPr>
              <w:t>表</w:t>
            </w:r>
            <w:r>
              <w:rPr>
                <w:rFonts w:hint="eastAsia"/>
                <w:b/>
                <w:sz w:val="21"/>
                <w:szCs w:val="21"/>
                <w:lang w:val="en-US" w:eastAsia="zh-CN"/>
              </w:rPr>
              <w:t xml:space="preserve">1.1-7 </w:t>
            </w:r>
            <w:r>
              <w:rPr>
                <w:b/>
                <w:sz w:val="21"/>
                <w:szCs w:val="21"/>
              </w:rPr>
              <w:t xml:space="preserve"> </w:t>
            </w:r>
            <w:r>
              <w:rPr>
                <w:rFonts w:hint="eastAsia"/>
                <w:b/>
                <w:sz w:val="21"/>
                <w:szCs w:val="21"/>
              </w:rPr>
              <w:t>《〈长江经济带发展负面清单指南（试行，2022年版）〉》</w:t>
            </w:r>
            <w:r>
              <w:rPr>
                <w:b/>
                <w:spacing w:val="-10"/>
                <w:sz w:val="21"/>
                <w:szCs w:val="21"/>
              </w:rPr>
              <w:t>（节选）符合性分析</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3475"/>
              <w:gridCol w:w="3949"/>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Cs/>
                      <w:szCs w:val="21"/>
                    </w:rPr>
                  </w:pPr>
                  <w:r>
                    <w:rPr>
                      <w:rFonts w:hAnsi="宋体"/>
                      <w:bCs/>
                      <w:szCs w:val="21"/>
                    </w:rPr>
                    <w:t>条例</w:t>
                  </w:r>
                </w:p>
              </w:tc>
              <w:tc>
                <w:tcPr>
                  <w:tcW w:w="347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Cs/>
                      <w:szCs w:val="21"/>
                    </w:rPr>
                  </w:pPr>
                  <w:r>
                    <w:rPr>
                      <w:rFonts w:hAnsi="宋体"/>
                      <w:bCs/>
                      <w:szCs w:val="21"/>
                    </w:rPr>
                    <w:t>要求</w:t>
                  </w:r>
                </w:p>
              </w:tc>
              <w:tc>
                <w:tcPr>
                  <w:tcW w:w="39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Cs/>
                      <w:szCs w:val="21"/>
                      <w:highlight w:val="none"/>
                    </w:rPr>
                  </w:pPr>
                  <w:r>
                    <w:rPr>
                      <w:rFonts w:hAnsi="宋体"/>
                      <w:bCs/>
                      <w:szCs w:val="21"/>
                      <w:highlight w:val="none"/>
                    </w:rPr>
                    <w:t>项目情况</w:t>
                  </w:r>
                </w:p>
              </w:tc>
              <w:tc>
                <w:tcPr>
                  <w:tcW w:w="66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Cs/>
                      <w:szCs w:val="21"/>
                      <w:highlight w:val="none"/>
                    </w:rPr>
                  </w:pPr>
                  <w:r>
                    <w:rPr>
                      <w:rFonts w:hAnsi="宋体"/>
                      <w:bCs/>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dxa"/>
                  <w:tcBorders>
                    <w:top w:val="single" w:color="auto" w:sz="4" w:space="0"/>
                    <w:left w:val="single" w:color="auto" w:sz="4" w:space="0"/>
                    <w:bottom w:val="single" w:color="auto" w:sz="4" w:space="0"/>
                    <w:right w:val="single" w:color="auto" w:sz="4" w:space="0"/>
                  </w:tcBorders>
                  <w:noWrap/>
                  <w:vAlign w:val="center"/>
                </w:tcPr>
                <w:p>
                  <w:pPr>
                    <w:contextualSpacing/>
                    <w:jc w:val="center"/>
                    <w:rPr>
                      <w:szCs w:val="21"/>
                    </w:rPr>
                  </w:pPr>
                  <w:r>
                    <w:rPr>
                      <w:szCs w:val="21"/>
                    </w:rPr>
                    <w:t>第</w:t>
                  </w:r>
                  <w:r>
                    <w:rPr>
                      <w:rFonts w:hint="eastAsia"/>
                      <w:szCs w:val="21"/>
                      <w:lang w:eastAsia="zh-CN"/>
                    </w:rPr>
                    <w:t>十三</w:t>
                  </w:r>
                  <w:r>
                    <w:rPr>
                      <w:szCs w:val="21"/>
                    </w:rPr>
                    <w:t>条</w:t>
                  </w:r>
                </w:p>
              </w:tc>
              <w:tc>
                <w:tcPr>
                  <w:tcW w:w="3475" w:type="dxa"/>
                  <w:tcBorders>
                    <w:top w:val="single" w:color="auto" w:sz="4" w:space="0"/>
                    <w:left w:val="single" w:color="auto" w:sz="4" w:space="0"/>
                    <w:bottom w:val="single" w:color="auto" w:sz="4" w:space="0"/>
                    <w:right w:val="single" w:color="auto" w:sz="4" w:space="0"/>
                  </w:tcBorders>
                  <w:noWrap/>
                  <w:vAlign w:val="center"/>
                </w:tcPr>
                <w:p>
                  <w:pPr>
                    <w:contextualSpacing/>
                    <w:rPr>
                      <w:rFonts w:hint="eastAsia" w:eastAsia="宋体"/>
                      <w:bCs/>
                      <w:color w:val="auto"/>
                      <w:szCs w:val="21"/>
                      <w:lang w:eastAsia="zh-CN"/>
                    </w:rPr>
                  </w:pPr>
                  <w:r>
                    <w:rPr>
                      <w:rFonts w:hint="eastAsia"/>
                      <w:bCs/>
                      <w:color w:val="auto"/>
                      <w:szCs w:val="21"/>
                    </w:rPr>
                    <w:t>禁止在长江支流、太湖等重要岸线一公里范围内新建、扩建化工园区和化工项目</w:t>
                  </w:r>
                  <w:r>
                    <w:rPr>
                      <w:rFonts w:hint="eastAsia"/>
                      <w:bCs/>
                      <w:color w:val="auto"/>
                      <w:szCs w:val="21"/>
                      <w:lang w:eastAsia="zh-CN"/>
                    </w:rPr>
                    <w:t>。</w:t>
                  </w:r>
                </w:p>
              </w:tc>
              <w:tc>
                <w:tcPr>
                  <w:tcW w:w="39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eastAsia="宋体"/>
                      <w:color w:val="auto"/>
                      <w:szCs w:val="21"/>
                      <w:lang w:eastAsia="zh-CN"/>
                    </w:rPr>
                  </w:pPr>
                  <w:r>
                    <w:rPr>
                      <w:rFonts w:hint="eastAsia"/>
                      <w:color w:val="auto"/>
                      <w:szCs w:val="21"/>
                      <w:lang w:eastAsia="zh-CN"/>
                    </w:rPr>
                    <w:t>本项目属于化纤织造加工C1751、涤纶纤维制造 C2822，不属于化工项目，也不属于位于长江支流、太湖等重要岸线一公里范围内。</w:t>
                  </w:r>
                </w:p>
              </w:tc>
              <w:tc>
                <w:tcPr>
                  <w:tcW w:w="66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21"/>
                    </w:rPr>
                  </w:pPr>
                  <w:r>
                    <w:rPr>
                      <w:rFonts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dxa"/>
                  <w:tcBorders>
                    <w:top w:val="single" w:color="auto" w:sz="4" w:space="0"/>
                    <w:left w:val="single" w:color="auto" w:sz="4" w:space="0"/>
                    <w:bottom w:val="single" w:color="auto" w:sz="4" w:space="0"/>
                    <w:right w:val="single" w:color="auto" w:sz="4" w:space="0"/>
                  </w:tcBorders>
                  <w:noWrap/>
                  <w:vAlign w:val="center"/>
                </w:tcPr>
                <w:p>
                  <w:pPr>
                    <w:contextualSpacing/>
                    <w:jc w:val="center"/>
                    <w:rPr>
                      <w:szCs w:val="21"/>
                    </w:rPr>
                  </w:pPr>
                  <w:r>
                    <w:rPr>
                      <w:szCs w:val="21"/>
                    </w:rPr>
                    <w:t>第</w:t>
                  </w:r>
                  <w:r>
                    <w:rPr>
                      <w:rFonts w:hint="eastAsia"/>
                      <w:szCs w:val="21"/>
                      <w:lang w:eastAsia="zh-CN"/>
                    </w:rPr>
                    <w:t>十五</w:t>
                  </w:r>
                  <w:r>
                    <w:rPr>
                      <w:szCs w:val="21"/>
                    </w:rPr>
                    <w:t>条</w:t>
                  </w:r>
                </w:p>
              </w:tc>
              <w:tc>
                <w:tcPr>
                  <w:tcW w:w="3475" w:type="dxa"/>
                  <w:tcBorders>
                    <w:top w:val="single" w:color="auto" w:sz="4" w:space="0"/>
                    <w:left w:val="single" w:color="auto" w:sz="4" w:space="0"/>
                    <w:bottom w:val="single" w:color="auto" w:sz="4" w:space="0"/>
                    <w:right w:val="single" w:color="auto" w:sz="4" w:space="0"/>
                  </w:tcBorders>
                  <w:noWrap/>
                  <w:vAlign w:val="center"/>
                </w:tcPr>
                <w:p>
                  <w:pPr>
                    <w:contextualSpacing/>
                    <w:rPr>
                      <w:rFonts w:hint="eastAsia" w:eastAsia="宋体"/>
                      <w:color w:val="auto"/>
                      <w:szCs w:val="21"/>
                      <w:lang w:eastAsia="zh-CN"/>
                    </w:rPr>
                  </w:pPr>
                  <w:r>
                    <w:rPr>
                      <w:rFonts w:hint="eastAsia" w:eastAsia="宋体"/>
                      <w:color w:val="auto"/>
                      <w:szCs w:val="21"/>
                      <w:lang w:eastAsia="zh-CN"/>
                    </w:rPr>
                    <w:t>禁止在合规园区外新建、扩建钢铁、石化、化工、焦化、建材、有色、制浆造纸等高污染项目。高污染项目清单参照生态环境部《环境保护综合目录》中的高污染产品目录执行。</w:t>
                  </w:r>
                </w:p>
              </w:tc>
              <w:tc>
                <w:tcPr>
                  <w:tcW w:w="39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eastAsia="宋体"/>
                      <w:color w:val="auto"/>
                      <w:szCs w:val="21"/>
                      <w:lang w:eastAsia="zh-CN"/>
                    </w:rPr>
                  </w:pPr>
                  <w:r>
                    <w:rPr>
                      <w:rFonts w:hint="eastAsia" w:eastAsia="宋体"/>
                      <w:color w:val="auto"/>
                      <w:szCs w:val="21"/>
                      <w:lang w:eastAsia="zh-CN"/>
                    </w:rPr>
                    <w:t>本项目位于</w:t>
                  </w:r>
                  <w:r>
                    <w:rPr>
                      <w:rFonts w:hint="eastAsia"/>
                      <w:color w:val="000000"/>
                      <w:lang w:eastAsia="zh-CN"/>
                    </w:rPr>
                    <w:t>长兴县虹星桥镇工业集中区</w:t>
                  </w:r>
                  <w:r>
                    <w:rPr>
                      <w:rFonts w:hint="eastAsia" w:eastAsia="宋体"/>
                      <w:color w:val="auto"/>
                      <w:szCs w:val="21"/>
                      <w:lang w:eastAsia="zh-CN"/>
                    </w:rPr>
                    <w:t>，不属于条例里禁止新建、扩建的行业高污染项目。</w:t>
                  </w:r>
                </w:p>
              </w:tc>
              <w:tc>
                <w:tcPr>
                  <w:tcW w:w="66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21"/>
                    </w:rPr>
                  </w:pPr>
                  <w:r>
                    <w:rPr>
                      <w:rFonts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dxa"/>
                  <w:tcBorders>
                    <w:top w:val="single" w:color="auto" w:sz="4" w:space="0"/>
                    <w:left w:val="single" w:color="auto" w:sz="4" w:space="0"/>
                    <w:bottom w:val="single" w:color="auto" w:sz="4" w:space="0"/>
                    <w:right w:val="single" w:color="auto" w:sz="4" w:space="0"/>
                  </w:tcBorders>
                  <w:noWrap/>
                  <w:vAlign w:val="center"/>
                </w:tcPr>
                <w:p>
                  <w:pPr>
                    <w:contextualSpacing/>
                    <w:jc w:val="center"/>
                    <w:rPr>
                      <w:rFonts w:hint="eastAsia" w:eastAsia="宋体"/>
                      <w:szCs w:val="21"/>
                      <w:lang w:eastAsia="zh-CN"/>
                    </w:rPr>
                  </w:pPr>
                  <w:r>
                    <w:rPr>
                      <w:szCs w:val="21"/>
                    </w:rPr>
                    <w:t>第</w:t>
                  </w:r>
                  <w:r>
                    <w:rPr>
                      <w:rFonts w:hint="eastAsia"/>
                      <w:szCs w:val="21"/>
                      <w:lang w:eastAsia="zh-CN"/>
                    </w:rPr>
                    <w:t>十六</w:t>
                  </w:r>
                  <w:r>
                    <w:rPr>
                      <w:szCs w:val="21"/>
                    </w:rPr>
                    <w:t>条</w:t>
                  </w:r>
                </w:p>
              </w:tc>
              <w:tc>
                <w:tcPr>
                  <w:tcW w:w="3475" w:type="dxa"/>
                  <w:tcBorders>
                    <w:top w:val="single" w:color="auto" w:sz="4" w:space="0"/>
                    <w:left w:val="single" w:color="auto" w:sz="4" w:space="0"/>
                    <w:bottom w:val="single" w:color="auto" w:sz="4" w:space="0"/>
                    <w:right w:val="single" w:color="auto" w:sz="4" w:space="0"/>
                  </w:tcBorders>
                  <w:noWrap/>
                  <w:vAlign w:val="center"/>
                </w:tcPr>
                <w:p>
                  <w:pPr>
                    <w:contextualSpacing/>
                    <w:rPr>
                      <w:rFonts w:hint="eastAsia" w:eastAsia="宋体"/>
                      <w:szCs w:val="21"/>
                      <w:lang w:eastAsia="zh-CN"/>
                    </w:rPr>
                  </w:pPr>
                  <w:r>
                    <w:rPr>
                      <w:rFonts w:hint="eastAsia" w:eastAsia="宋体"/>
                      <w:szCs w:val="21"/>
                      <w:lang w:eastAsia="zh-CN"/>
                    </w:rPr>
                    <w:t>禁止新建、扩建不符合国家石化、现代煤化工等产业布局规划的项目。</w:t>
                  </w:r>
                </w:p>
              </w:tc>
              <w:tc>
                <w:tcPr>
                  <w:tcW w:w="39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hAnsi="宋体" w:eastAsia="宋体"/>
                      <w:szCs w:val="21"/>
                      <w:lang w:eastAsia="zh-CN"/>
                    </w:rPr>
                  </w:pPr>
                  <w:r>
                    <w:rPr>
                      <w:rFonts w:hint="eastAsia" w:hAnsi="宋体"/>
                      <w:szCs w:val="21"/>
                      <w:lang w:eastAsia="zh-CN"/>
                    </w:rPr>
                    <w:t>不涉及。</w:t>
                  </w:r>
                </w:p>
              </w:tc>
              <w:tc>
                <w:tcPr>
                  <w:tcW w:w="66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Ansi="宋体"/>
                      <w:szCs w:val="21"/>
                    </w:rPr>
                  </w:pPr>
                  <w:r>
                    <w:rPr>
                      <w:rFonts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dxa"/>
                  <w:tcBorders>
                    <w:top w:val="single" w:color="auto" w:sz="4" w:space="0"/>
                    <w:left w:val="single" w:color="auto" w:sz="4" w:space="0"/>
                    <w:bottom w:val="single" w:color="auto" w:sz="4" w:space="0"/>
                    <w:right w:val="single" w:color="auto" w:sz="4" w:space="0"/>
                  </w:tcBorders>
                  <w:noWrap/>
                  <w:vAlign w:val="center"/>
                </w:tcPr>
                <w:p>
                  <w:pPr>
                    <w:contextualSpacing/>
                    <w:jc w:val="center"/>
                    <w:rPr>
                      <w:szCs w:val="21"/>
                    </w:rPr>
                  </w:pPr>
                  <w:r>
                    <w:rPr>
                      <w:szCs w:val="21"/>
                    </w:rPr>
                    <w:t>第</w:t>
                  </w:r>
                  <w:r>
                    <w:rPr>
                      <w:rFonts w:hint="eastAsia"/>
                      <w:szCs w:val="21"/>
                      <w:lang w:eastAsia="zh-CN"/>
                    </w:rPr>
                    <w:t>十七</w:t>
                  </w:r>
                  <w:r>
                    <w:rPr>
                      <w:szCs w:val="21"/>
                    </w:rPr>
                    <w:t>条</w:t>
                  </w:r>
                </w:p>
              </w:tc>
              <w:tc>
                <w:tcPr>
                  <w:tcW w:w="3475" w:type="dxa"/>
                  <w:tcBorders>
                    <w:top w:val="single" w:color="auto" w:sz="4" w:space="0"/>
                    <w:left w:val="single" w:color="auto" w:sz="4" w:space="0"/>
                    <w:bottom w:val="single" w:color="auto" w:sz="4" w:space="0"/>
                    <w:right w:val="single" w:color="auto" w:sz="4" w:space="0"/>
                  </w:tcBorders>
                  <w:noWrap/>
                  <w:vAlign w:val="center"/>
                </w:tcPr>
                <w:p>
                  <w:pPr>
                    <w:contextualSpacing/>
                    <w:rPr>
                      <w:rFonts w:hint="eastAsia" w:eastAsia="宋体"/>
                      <w:szCs w:val="21"/>
                      <w:lang w:eastAsia="zh-CN"/>
                    </w:rPr>
                  </w:pPr>
                  <w:r>
                    <w:rPr>
                      <w:rFonts w:hint="eastAsia" w:eastAsia="宋体"/>
                      <w:szCs w:val="21"/>
                      <w:lang w:eastAsia="zh-CN"/>
                    </w:rPr>
                    <w:t xml:space="preserve"> 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39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hAnsi="宋体" w:eastAsia="宋体"/>
                      <w:szCs w:val="21"/>
                      <w:lang w:eastAsia="zh-CN"/>
                    </w:rPr>
                  </w:pPr>
                  <w:r>
                    <w:rPr>
                      <w:rFonts w:hint="eastAsia" w:hAnsi="宋体"/>
                      <w:szCs w:val="21"/>
                    </w:rPr>
                    <w:t>对照《产业结构调整指导目录（2019年本）》（2021年修订），本项目不属于产业政策中的限制、禁止或淘汰类，属于允许类，符合国家和地方产业政策</w:t>
                  </w:r>
                  <w:r>
                    <w:rPr>
                      <w:rFonts w:hint="eastAsia" w:hAnsi="宋体"/>
                      <w:szCs w:val="21"/>
                      <w:lang w:eastAsia="zh-CN"/>
                    </w:rPr>
                    <w:t>。</w:t>
                  </w:r>
                </w:p>
              </w:tc>
              <w:tc>
                <w:tcPr>
                  <w:tcW w:w="66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Ansi="宋体"/>
                      <w:szCs w:val="21"/>
                    </w:rPr>
                  </w:pPr>
                  <w:r>
                    <w:rPr>
                      <w:rFonts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dxa"/>
                  <w:tcBorders>
                    <w:top w:val="single" w:color="auto" w:sz="4" w:space="0"/>
                    <w:left w:val="single" w:color="auto" w:sz="4" w:space="0"/>
                    <w:bottom w:val="single" w:color="auto" w:sz="4" w:space="0"/>
                    <w:right w:val="single" w:color="auto" w:sz="4" w:space="0"/>
                  </w:tcBorders>
                  <w:noWrap/>
                  <w:vAlign w:val="center"/>
                </w:tcPr>
                <w:p>
                  <w:pPr>
                    <w:contextualSpacing/>
                    <w:jc w:val="center"/>
                    <w:rPr>
                      <w:rFonts w:hint="eastAsia" w:eastAsia="宋体"/>
                      <w:szCs w:val="21"/>
                      <w:lang w:eastAsia="zh-CN"/>
                    </w:rPr>
                  </w:pPr>
                  <w:r>
                    <w:rPr>
                      <w:rFonts w:hint="eastAsia"/>
                      <w:szCs w:val="21"/>
                      <w:lang w:eastAsia="zh-CN"/>
                    </w:rPr>
                    <w:t>第十九条</w:t>
                  </w:r>
                </w:p>
              </w:tc>
              <w:tc>
                <w:tcPr>
                  <w:tcW w:w="3475" w:type="dxa"/>
                  <w:tcBorders>
                    <w:top w:val="single" w:color="auto" w:sz="4" w:space="0"/>
                    <w:left w:val="single" w:color="auto" w:sz="4" w:space="0"/>
                    <w:bottom w:val="single" w:color="auto" w:sz="4" w:space="0"/>
                    <w:right w:val="single" w:color="auto" w:sz="4" w:space="0"/>
                  </w:tcBorders>
                  <w:noWrap/>
                  <w:vAlign w:val="center"/>
                </w:tcPr>
                <w:p>
                  <w:pPr>
                    <w:contextualSpacing/>
                    <w:rPr>
                      <w:rFonts w:hint="eastAsia" w:eastAsia="宋体"/>
                      <w:szCs w:val="21"/>
                      <w:lang w:eastAsia="zh-CN"/>
                    </w:rPr>
                  </w:pPr>
                  <w:r>
                    <w:rPr>
                      <w:rFonts w:hint="eastAsia" w:eastAsia="宋体"/>
                      <w:szCs w:val="21"/>
                      <w:lang w:eastAsia="zh-CN"/>
                    </w:rPr>
                    <w:t>禁止新建、扩建不符合要求的高耗能高排放项目。</w:t>
                  </w:r>
                </w:p>
              </w:tc>
              <w:tc>
                <w:tcPr>
                  <w:tcW w:w="39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hAnsi="宋体" w:eastAsia="宋体"/>
                      <w:szCs w:val="21"/>
                      <w:lang w:eastAsia="zh-CN"/>
                    </w:rPr>
                  </w:pPr>
                  <w:r>
                    <w:rPr>
                      <w:rFonts w:hint="eastAsia" w:hAnsi="宋体"/>
                      <w:szCs w:val="21"/>
                      <w:lang w:eastAsia="zh-CN"/>
                    </w:rPr>
                    <w:t>本项目不属于高耗能和高排放项目。</w:t>
                  </w:r>
                </w:p>
              </w:tc>
              <w:tc>
                <w:tcPr>
                  <w:tcW w:w="66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Ansi="宋体"/>
                      <w:szCs w:val="21"/>
                    </w:rPr>
                  </w:pPr>
                  <w:r>
                    <w:rPr>
                      <w:rFonts w:hAnsi="宋体"/>
                      <w:szCs w:val="21"/>
                    </w:rPr>
                    <w:t>符合</w:t>
                  </w:r>
                </w:p>
              </w:tc>
            </w:tr>
          </w:tbl>
          <w:p>
            <w:pPr>
              <w:spacing w:line="500" w:lineRule="exact"/>
              <w:rPr>
                <w:b/>
                <w:color w:val="000000"/>
                <w:sz w:val="24"/>
              </w:rPr>
            </w:pPr>
            <w:r>
              <w:rPr>
                <w:rFonts w:hint="eastAsia"/>
                <w:b/>
                <w:color w:val="000000"/>
                <w:sz w:val="24"/>
                <w:lang w:val="en-US" w:eastAsia="zh-CN"/>
              </w:rPr>
              <w:t>1.1.8</w:t>
            </w:r>
            <w:r>
              <w:rPr>
                <w:rFonts w:hAnsi="宋体"/>
                <w:b/>
                <w:color w:val="000000"/>
                <w:sz w:val="24"/>
              </w:rPr>
              <w:t>《浙江省高耗能行业项目缓批限批实施办法》审批符合性分析</w:t>
            </w:r>
          </w:p>
          <w:p>
            <w:pPr>
              <w:pStyle w:val="23"/>
              <w:spacing w:line="480" w:lineRule="exact"/>
              <w:jc w:val="center"/>
              <w:rPr>
                <w:rFonts w:hint="default" w:ascii="Times New Roman" w:hAnsi="Times New Roman" w:cs="Times New Roman"/>
                <w:b/>
                <w:color w:val="000000"/>
              </w:rPr>
            </w:pPr>
            <w:r>
              <w:rPr>
                <w:rFonts w:hint="default" w:ascii="Times New Roman" w:hAnsi="宋体" w:cs="Times New Roman"/>
                <w:b/>
                <w:color w:val="000000"/>
              </w:rPr>
              <w:t>表</w:t>
            </w:r>
            <w:r>
              <w:rPr>
                <w:rFonts w:hint="default" w:ascii="Times New Roman" w:hAnsi="Times New Roman" w:cs="Times New Roman"/>
                <w:b/>
                <w:color w:val="000000"/>
              </w:rPr>
              <w:t>1.1</w:t>
            </w:r>
            <w:r>
              <w:rPr>
                <w:rFonts w:hint="eastAsia" w:ascii="Times New Roman" w:hAnsi="Times New Roman" w:cs="Times New Roman"/>
                <w:b/>
                <w:color w:val="000000"/>
                <w:lang w:val="en-US" w:eastAsia="zh-CN"/>
              </w:rPr>
              <w:t>-8</w:t>
            </w:r>
            <w:r>
              <w:rPr>
                <w:rFonts w:hint="default" w:ascii="Times New Roman" w:hAnsi="Times New Roman" w:cs="Times New Roman"/>
                <w:b/>
                <w:color w:val="000000"/>
              </w:rPr>
              <w:t xml:space="preserve">  </w:t>
            </w:r>
            <w:r>
              <w:rPr>
                <w:rFonts w:hint="default" w:ascii="Times New Roman" w:hAnsi="宋体" w:cs="Times New Roman"/>
                <w:b/>
                <w:color w:val="000000"/>
              </w:rPr>
              <w:t>《浙江省高耗能行业项目缓批限批实施办法》审批符合性分析</w:t>
            </w:r>
          </w:p>
          <w:tbl>
            <w:tblPr>
              <w:tblStyle w:val="40"/>
              <w:tblW w:w="850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931"/>
              <w:gridCol w:w="457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3669" w:type="dxa"/>
                  <w:noWrap w:val="0"/>
                  <w:vAlign w:val="center"/>
                </w:tcPr>
                <w:p>
                  <w:pPr>
                    <w:jc w:val="center"/>
                    <w:rPr>
                      <w:color w:val="000000"/>
                    </w:rPr>
                  </w:pPr>
                  <w:r>
                    <w:rPr>
                      <w:rFonts w:hAnsi="宋体"/>
                      <w:color w:val="000000"/>
                    </w:rPr>
                    <w:t>判断依据</w:t>
                  </w:r>
                </w:p>
              </w:tc>
              <w:tc>
                <w:tcPr>
                  <w:tcW w:w="4269" w:type="dxa"/>
                  <w:noWrap w:val="0"/>
                  <w:vAlign w:val="center"/>
                </w:tcPr>
                <w:p>
                  <w:pPr>
                    <w:jc w:val="center"/>
                    <w:rPr>
                      <w:color w:val="000000"/>
                    </w:rPr>
                  </w:pPr>
                  <w:r>
                    <w:rPr>
                      <w:rFonts w:hAnsi="宋体"/>
                      <w:bCs/>
                      <w:szCs w:val="21"/>
                      <w:highlight w:val="none"/>
                    </w:rPr>
                    <w:t>项目情况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669" w:type="dxa"/>
                  <w:noWrap w:val="0"/>
                  <w:vAlign w:val="center"/>
                </w:tcPr>
                <w:p>
                  <w:pPr>
                    <w:rPr>
                      <w:color w:val="000000"/>
                    </w:rPr>
                  </w:pPr>
                  <w:r>
                    <w:rPr>
                      <w:rFonts w:hAnsi="宋体"/>
                      <w:color w:val="000000"/>
                    </w:rPr>
                    <w:t>纺织业、非金属矿物制品业、金属冶炼和压延加工业、化学原料及化学制品制造业、石油加工炼焦和核燃料加工业、造纸和纸制品业、化学纤维制造业、电力热力的生产和供应业、数据中心等新增能耗的新建、改建、扩建项目，其中单位工业增加能耗低于全省</w:t>
                  </w:r>
                  <w:r>
                    <w:rPr>
                      <w:color w:val="000000"/>
                    </w:rPr>
                    <w:t>“</w:t>
                  </w:r>
                  <w:r>
                    <w:rPr>
                      <w:rFonts w:hAnsi="宋体"/>
                      <w:color w:val="000000"/>
                    </w:rPr>
                    <w:t>十三五</w:t>
                  </w:r>
                  <w:r>
                    <w:rPr>
                      <w:color w:val="000000"/>
                    </w:rPr>
                    <w:t>”</w:t>
                  </w:r>
                  <w:r>
                    <w:rPr>
                      <w:rFonts w:hAnsi="宋体"/>
                      <w:color w:val="000000"/>
                    </w:rPr>
                    <w:t>工业增加值能耗控制目标的项目除外。</w:t>
                  </w:r>
                </w:p>
              </w:tc>
              <w:tc>
                <w:tcPr>
                  <w:tcW w:w="4269" w:type="dxa"/>
                  <w:noWrap w:val="0"/>
                  <w:vAlign w:val="center"/>
                </w:tcPr>
                <w:p>
                  <w:pPr>
                    <w:rPr>
                      <w:color w:val="000000"/>
                    </w:rPr>
                  </w:pPr>
                  <w:r>
                    <w:rPr>
                      <w:rFonts w:hAnsi="宋体"/>
                      <w:color w:val="000000"/>
                    </w:rPr>
                    <w:t>本项目为</w:t>
                  </w:r>
                  <w:r>
                    <w:rPr>
                      <w:rFonts w:hint="eastAsia" w:hAnsi="宋体"/>
                      <w:color w:val="000000"/>
                      <w:lang w:eastAsia="zh-CN"/>
                    </w:rPr>
                    <w:t>纺织业；根据企业固定资产投资项目节能审查申请表中数据，生产中使用的能源主要为水、电和蒸汽，能源消费总量</w:t>
                  </w:r>
                  <w:r>
                    <w:rPr>
                      <w:rFonts w:hint="eastAsia" w:hAnsi="宋体"/>
                      <w:color w:val="000000"/>
                      <w:lang w:val="en-US" w:eastAsia="zh-CN"/>
                    </w:rPr>
                    <w:t>折算成标煤为934.9吨标煤（等价值）；单位工业增加值能耗为0.51吨标煤/万元</w:t>
                  </w:r>
                  <w:r>
                    <w:rPr>
                      <w:rFonts w:hAnsi="宋体"/>
                      <w:color w:val="000000"/>
                    </w:rPr>
                    <w:t>，低于</w:t>
                  </w:r>
                  <w:r>
                    <w:rPr>
                      <w:color w:val="000000"/>
                    </w:rPr>
                    <w:t>“</w:t>
                  </w:r>
                  <w:r>
                    <w:rPr>
                      <w:rFonts w:hAnsi="宋体"/>
                      <w:color w:val="000000"/>
                    </w:rPr>
                    <w:t>十四五</w:t>
                  </w:r>
                  <w:r>
                    <w:rPr>
                      <w:color w:val="000000"/>
                    </w:rPr>
                    <w:t>”</w:t>
                  </w:r>
                  <w:r>
                    <w:rPr>
                      <w:rFonts w:hAnsi="宋体"/>
                      <w:color w:val="000000"/>
                    </w:rPr>
                    <w:t>工业增加值控制目标能耗</w:t>
                  </w:r>
                  <w:r>
                    <w:rPr>
                      <w:color w:val="000000"/>
                    </w:rPr>
                    <w:t>0.52</w:t>
                  </w:r>
                  <w:r>
                    <w:rPr>
                      <w:rFonts w:hAnsi="宋体"/>
                      <w:color w:val="000000"/>
                    </w:rPr>
                    <w:t>吨标准煤</w:t>
                  </w:r>
                  <w:r>
                    <w:rPr>
                      <w:color w:val="000000"/>
                    </w:rPr>
                    <w:t>/</w:t>
                  </w:r>
                  <w:r>
                    <w:rPr>
                      <w:rFonts w:hAnsi="宋体"/>
                      <w:color w:val="000000"/>
                    </w:rPr>
                    <w:t>万元。</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contextualSpacing/>
              <w:textAlignment w:val="auto"/>
              <w:rPr>
                <w:b/>
                <w:color w:val="000000"/>
                <w:sz w:val="24"/>
                <w:szCs w:val="22"/>
              </w:rPr>
            </w:pPr>
            <w:r>
              <w:rPr>
                <w:color w:val="000000"/>
                <w:sz w:val="24"/>
              </w:rPr>
              <w:t>项目符合</w:t>
            </w:r>
            <w:r>
              <w:rPr>
                <w:rFonts w:hint="eastAsia"/>
                <w:color w:val="000000"/>
                <w:sz w:val="24"/>
                <w:lang w:eastAsia="zh-CN"/>
              </w:rPr>
              <w:t>《</w:t>
            </w:r>
            <w:r>
              <w:rPr>
                <w:rFonts w:hint="eastAsia"/>
                <w:color w:val="000000"/>
                <w:sz w:val="24"/>
              </w:rPr>
              <w:t>浙江省高耗能行业项目缓批限批实施办法》</w:t>
            </w:r>
            <w:r>
              <w:rPr>
                <w:color w:val="000000"/>
                <w:sz w:val="24"/>
              </w:rPr>
              <w:t>要求。</w:t>
            </w:r>
          </w:p>
          <w:p>
            <w:pPr>
              <w:spacing w:line="500" w:lineRule="exact"/>
              <w:contextualSpacing/>
              <w:rPr>
                <w:b/>
                <w:color w:val="000000"/>
                <w:sz w:val="24"/>
                <w:szCs w:val="22"/>
              </w:rPr>
            </w:pPr>
          </w:p>
          <w:p>
            <w:pPr>
              <w:pStyle w:val="5"/>
              <w:ind w:left="0" w:leftChars="0" w:firstLine="0" w:firstLineChars="0"/>
              <w:rPr>
                <w:rFonts w:hint="eastAsia"/>
                <w:lang w:eastAsia="zh-CN"/>
              </w:rPr>
            </w:pPr>
          </w:p>
          <w:p>
            <w:pPr>
              <w:pStyle w:val="5"/>
              <w:ind w:left="0" w:leftChars="0" w:firstLine="0" w:firstLineChars="0"/>
              <w:rPr>
                <w:rFonts w:hint="eastAsia" w:eastAsia="宋体"/>
                <w:lang w:eastAsia="zh-CN"/>
              </w:rPr>
            </w:pPr>
          </w:p>
        </w:tc>
      </w:tr>
    </w:tbl>
    <w:p>
      <w:bookmarkStart w:id="2" w:name="_Toc5256"/>
    </w:p>
    <w:p>
      <w:pPr>
        <w:rPr>
          <w:rFonts w:hint="eastAsia"/>
          <w:lang w:eastAsia="zh-CN"/>
        </w:rPr>
      </w:pPr>
    </w:p>
    <w:p>
      <w:pPr>
        <w:rPr>
          <w:rFonts w:hint="eastAsia"/>
          <w:lang w:eastAsia="zh-CN"/>
        </w:rPr>
        <w:sectPr>
          <w:headerReference r:id="rId14" w:type="default"/>
          <w:footerReference r:id="rId16" w:type="default"/>
          <w:headerReference r:id="rId15" w:type="even"/>
          <w:footerReference r:id="rId17" w:type="even"/>
          <w:pgSz w:w="11906" w:h="16838"/>
          <w:pgMar w:top="1587" w:right="1587" w:bottom="1587" w:left="1587" w:header="851" w:footer="992" w:gutter="0"/>
          <w:pgBorders>
            <w:top w:val="none" w:sz="0" w:space="0"/>
            <w:left w:val="none" w:sz="0" w:space="0"/>
            <w:bottom w:val="none" w:sz="0" w:space="0"/>
            <w:right w:val="none" w:sz="0" w:space="0"/>
          </w:pgBorders>
          <w:cols w:space="0" w:num="1"/>
          <w:docGrid w:linePitch="312" w:charSpace="0"/>
        </w:sectPr>
      </w:pPr>
    </w:p>
    <w:tbl>
      <w:tblPr>
        <w:tblStyle w:val="40"/>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3"/>
        <w:gridCol w:w="137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383" w:type="dxa"/>
            <w:tcMar>
              <w:left w:w="28" w:type="dxa"/>
              <w:right w:w="28" w:type="dxa"/>
            </w:tcMar>
            <w:vAlign w:val="center"/>
          </w:tcPr>
          <w:p>
            <w:pPr>
              <w:pStyle w:val="35"/>
              <w:adjustRightInd w:val="0"/>
              <w:snapToGrid w:val="0"/>
              <w:spacing w:before="0" w:beforeAutospacing="0" w:after="0" w:afterAutospacing="0"/>
              <w:jc w:val="center"/>
              <w:rPr>
                <w:rFonts w:ascii="Times New Roman" w:hAnsi="Times New Roman" w:cs="Times New Roman"/>
                <w:bCs/>
              </w:rPr>
            </w:pPr>
            <w:r>
              <w:rPr>
                <w:rFonts w:hAnsi="宋体"/>
                <w:bCs/>
                <w:kern w:val="0"/>
                <w:sz w:val="24"/>
              </w:rPr>
              <w:t>其他符合性分析</w:t>
            </w:r>
          </w:p>
        </w:tc>
        <w:tc>
          <w:tcPr>
            <w:tcW w:w="13790" w:type="dxa"/>
          </w:tcPr>
          <w:p>
            <w:pPr>
              <w:pStyle w:val="2"/>
              <w:spacing w:line="500" w:lineRule="exact"/>
              <w:jc w:val="left"/>
              <w:rPr>
                <w:b/>
                <w:bCs/>
                <w:lang w:val="en-US" w:eastAsia="zh-CN"/>
              </w:rPr>
            </w:pPr>
            <w:r>
              <w:rPr>
                <w:rFonts w:hint="eastAsia"/>
                <w:b/>
                <w:bCs/>
                <w:lang w:val="en-US" w:eastAsia="zh-CN"/>
              </w:rPr>
              <w:t>1.2</w:t>
            </w:r>
            <w:r>
              <w:rPr>
                <w:rFonts w:hint="eastAsia"/>
                <w:b/>
                <w:spacing w:val="-8"/>
                <w:kern w:val="0"/>
                <w:lang w:val="en-US" w:eastAsia="zh-CN"/>
              </w:rPr>
              <w:t>其他相关整治规范等符合性</w:t>
            </w:r>
          </w:p>
          <w:p>
            <w:pPr>
              <w:pStyle w:val="105"/>
              <w:spacing w:before="20" w:line="500" w:lineRule="exact"/>
              <w:rPr>
                <w:rFonts w:hint="eastAsia"/>
                <w:color w:val="000000"/>
              </w:rPr>
            </w:pPr>
            <w:r>
              <w:rPr>
                <w:rFonts w:hint="eastAsia"/>
                <w:color w:val="000000"/>
              </w:rPr>
              <w:t>（</w:t>
            </w:r>
            <w:r>
              <w:rPr>
                <w:rFonts w:hint="eastAsia"/>
                <w:color w:val="000000"/>
                <w:lang w:val="en-US" w:eastAsia="zh-CN"/>
              </w:rPr>
              <w:t>1</w:t>
            </w:r>
            <w:r>
              <w:rPr>
                <w:rFonts w:hint="eastAsia"/>
                <w:color w:val="000000"/>
              </w:rPr>
              <w:t>）《浙江省“十四五”挥发性有机物综合治理方案》</w:t>
            </w:r>
          </w:p>
          <w:p>
            <w:pPr>
              <w:spacing w:line="500" w:lineRule="exact"/>
              <w:jc w:val="center"/>
              <w:rPr>
                <w:rFonts w:hint="eastAsia" w:hAnsi="宋体"/>
                <w:b/>
                <w:bCs/>
                <w:color w:val="000000"/>
                <w:szCs w:val="21"/>
              </w:rPr>
            </w:pPr>
            <w:r>
              <w:rPr>
                <w:rFonts w:hint="eastAsia" w:hAnsi="宋体"/>
                <w:b/>
                <w:bCs/>
                <w:color w:val="000000"/>
                <w:szCs w:val="21"/>
              </w:rPr>
              <w:t>表</w:t>
            </w:r>
            <w:r>
              <w:rPr>
                <w:rFonts w:hint="eastAsia" w:hAnsi="宋体"/>
                <w:b/>
                <w:bCs/>
                <w:color w:val="000000"/>
                <w:szCs w:val="21"/>
                <w:lang w:val="en-US" w:eastAsia="zh-CN"/>
              </w:rPr>
              <w:t xml:space="preserve">1.2-1 </w:t>
            </w:r>
            <w:r>
              <w:rPr>
                <w:rFonts w:hAnsi="宋体"/>
                <w:b/>
                <w:bCs/>
                <w:color w:val="000000"/>
                <w:szCs w:val="21"/>
              </w:rPr>
              <w:t xml:space="preserve"> 《浙江省</w:t>
            </w:r>
            <w:r>
              <w:rPr>
                <w:b/>
                <w:bCs/>
                <w:color w:val="000000"/>
                <w:szCs w:val="21"/>
              </w:rPr>
              <w:t>“</w:t>
            </w:r>
            <w:r>
              <w:rPr>
                <w:rFonts w:hAnsi="宋体"/>
                <w:b/>
                <w:bCs/>
                <w:color w:val="000000"/>
                <w:szCs w:val="21"/>
              </w:rPr>
              <w:t>十四五</w:t>
            </w:r>
            <w:r>
              <w:rPr>
                <w:b/>
                <w:bCs/>
                <w:color w:val="000000"/>
                <w:szCs w:val="21"/>
              </w:rPr>
              <w:t>”</w:t>
            </w:r>
            <w:r>
              <w:rPr>
                <w:rFonts w:hAnsi="宋体"/>
                <w:b/>
                <w:bCs/>
                <w:color w:val="000000"/>
                <w:szCs w:val="21"/>
              </w:rPr>
              <w:t>挥发性有机物综合治理方案》</w:t>
            </w:r>
            <w:r>
              <w:rPr>
                <w:rFonts w:hint="eastAsia" w:hAnsi="宋体"/>
                <w:b/>
                <w:bCs/>
                <w:color w:val="000000"/>
                <w:szCs w:val="21"/>
              </w:rPr>
              <w:t>（部分）符合性分析</w:t>
            </w:r>
          </w:p>
          <w:tbl>
            <w:tblPr>
              <w:tblStyle w:val="40"/>
              <w:tblW w:w="13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761"/>
              <w:gridCol w:w="2784"/>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noWrap w:val="0"/>
                  <w:vAlign w:val="center"/>
                </w:tcPr>
                <w:p>
                  <w:pPr>
                    <w:jc w:val="center"/>
                    <w:rPr>
                      <w:color w:val="000000"/>
                      <w:szCs w:val="21"/>
                    </w:rPr>
                  </w:pPr>
                  <w:r>
                    <w:rPr>
                      <w:color w:val="000000"/>
                      <w:szCs w:val="21"/>
                    </w:rPr>
                    <w:t>序号</w:t>
                  </w:r>
                </w:p>
              </w:tc>
              <w:tc>
                <w:tcPr>
                  <w:tcW w:w="8761" w:type="dxa"/>
                  <w:noWrap w:val="0"/>
                  <w:vAlign w:val="center"/>
                </w:tcPr>
                <w:p>
                  <w:pPr>
                    <w:jc w:val="center"/>
                    <w:rPr>
                      <w:color w:val="000000"/>
                      <w:szCs w:val="21"/>
                    </w:rPr>
                  </w:pPr>
                  <w:r>
                    <w:rPr>
                      <w:color w:val="000000"/>
                      <w:szCs w:val="21"/>
                    </w:rPr>
                    <w:t>要求</w:t>
                  </w:r>
                </w:p>
              </w:tc>
              <w:tc>
                <w:tcPr>
                  <w:tcW w:w="2784" w:type="dxa"/>
                  <w:noWrap w:val="0"/>
                  <w:vAlign w:val="center"/>
                </w:tcPr>
                <w:p>
                  <w:pPr>
                    <w:jc w:val="center"/>
                    <w:rPr>
                      <w:color w:val="000000"/>
                      <w:szCs w:val="21"/>
                    </w:rPr>
                  </w:pPr>
                  <w:r>
                    <w:rPr>
                      <w:color w:val="000000"/>
                      <w:szCs w:val="21"/>
                    </w:rPr>
                    <w:t>项目情况</w:t>
                  </w:r>
                </w:p>
              </w:tc>
              <w:tc>
                <w:tcPr>
                  <w:tcW w:w="1118" w:type="dxa"/>
                  <w:noWrap w:val="0"/>
                  <w:vAlign w:val="center"/>
                </w:tcPr>
                <w:p>
                  <w:pPr>
                    <w:jc w:val="center"/>
                    <w:rPr>
                      <w:color w:val="000000"/>
                      <w:szCs w:val="21"/>
                    </w:rPr>
                  </w:pPr>
                  <w:r>
                    <w:rPr>
                      <w:color w:val="00000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noWrap w:val="0"/>
                  <w:vAlign w:val="center"/>
                </w:tcPr>
                <w:p>
                  <w:pPr>
                    <w:jc w:val="center"/>
                    <w:rPr>
                      <w:color w:val="000000"/>
                      <w:szCs w:val="21"/>
                    </w:rPr>
                  </w:pPr>
                  <w:r>
                    <w:rPr>
                      <w:rFonts w:hint="eastAsia"/>
                      <w:color w:val="000000"/>
                      <w:szCs w:val="21"/>
                    </w:rPr>
                    <w:t>1</w:t>
                  </w:r>
                </w:p>
              </w:tc>
              <w:tc>
                <w:tcPr>
                  <w:tcW w:w="8761" w:type="dxa"/>
                  <w:noWrap w:val="0"/>
                  <w:vAlign w:val="center"/>
                </w:tcPr>
                <w:p>
                  <w:pPr>
                    <w:rPr>
                      <w:color w:val="000000"/>
                      <w:szCs w:val="21"/>
                    </w:rPr>
                  </w:pPr>
                  <w:r>
                    <w:rPr>
                      <w:color w:val="000000"/>
                      <w:szCs w:val="21"/>
                      <w:shd w:val="clear" w:color="auto" w:fill="FFFFFF"/>
                    </w:rPr>
                    <w:t>优化产业结构。引导石化、化工、工业涂装、包装印刷、合成革、化纤、纺织印染等重点行业合理布局，限制高VOCs排放化工类建设项目，禁止建设生产和使用VOCs含量限值不符合国家标准的涂料、油墨、胶粘剂、清洗剂等项目。贯彻落实《产业结构调整指导目录》《国家鼓励的有毒有害原料（产品）替代品目录》，依法依规淘汰涉VOCs排放工艺和装备，加大引导退出限制类工艺和装备力度，从源头减少涉VOCs污染物产生。</w:t>
                  </w:r>
                </w:p>
              </w:tc>
              <w:tc>
                <w:tcPr>
                  <w:tcW w:w="2784" w:type="dxa"/>
                  <w:noWrap w:val="0"/>
                  <w:vAlign w:val="center"/>
                </w:tcPr>
                <w:p>
                  <w:pPr>
                    <w:rPr>
                      <w:rFonts w:hint="default" w:eastAsia="宋体"/>
                      <w:color w:val="000000"/>
                      <w:szCs w:val="21"/>
                      <w:lang w:val="en-US" w:eastAsia="zh-CN"/>
                    </w:rPr>
                  </w:pPr>
                  <w:r>
                    <w:rPr>
                      <w:rFonts w:hint="eastAsia"/>
                      <w:color w:val="000000"/>
                      <w:szCs w:val="21"/>
                      <w:lang w:eastAsia="zh-CN"/>
                    </w:rPr>
                    <w:t>项目挥发性有机物产生原料主要为加弹油及水性浆料，</w:t>
                  </w:r>
                  <w:r>
                    <w:rPr>
                      <w:rFonts w:hint="eastAsia"/>
                      <w:color w:val="000000"/>
                      <w:szCs w:val="21"/>
                      <w:lang w:val="en-US" w:eastAsia="zh-CN"/>
                    </w:rPr>
                    <w:t>VOCs产生量较小。</w:t>
                  </w:r>
                </w:p>
              </w:tc>
              <w:tc>
                <w:tcPr>
                  <w:tcW w:w="1118"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noWrap w:val="0"/>
                  <w:vAlign w:val="center"/>
                </w:tcPr>
                <w:p>
                  <w:pPr>
                    <w:jc w:val="center"/>
                    <w:rPr>
                      <w:color w:val="000000"/>
                      <w:szCs w:val="21"/>
                    </w:rPr>
                  </w:pPr>
                  <w:r>
                    <w:rPr>
                      <w:rFonts w:hint="eastAsia"/>
                      <w:color w:val="000000"/>
                      <w:szCs w:val="21"/>
                    </w:rPr>
                    <w:t>2</w:t>
                  </w:r>
                </w:p>
              </w:tc>
              <w:tc>
                <w:tcPr>
                  <w:tcW w:w="8761" w:type="dxa"/>
                  <w:noWrap w:val="0"/>
                  <w:vAlign w:val="center"/>
                </w:tcPr>
                <w:p>
                  <w:pPr>
                    <w:rPr>
                      <w:color w:val="000000"/>
                      <w:szCs w:val="21"/>
                    </w:rPr>
                  </w:pPr>
                  <w:r>
                    <w:rPr>
                      <w:color w:val="000000"/>
                      <w:szCs w:val="21"/>
                      <w:shd w:val="clear" w:color="auto" w:fill="FFFFFF"/>
                    </w:rPr>
                    <w:t>严格环境准入。严格执行“三线一单”为核心的生态环境分区管控体系，制（修）订纺织印染（数码喷印）等行业绿色准入指导意见。严格执行建设项目新增VOCs排放量区域削减替代规定，削减措施原则上应优先来源于纳入排污许可管理的排污单位采取的治理措施，并与建设项目位于同一设区市。上一年度环境空气质量达标的区域，对石化等行业的建设项目VOCs排放量实行等量削减；上一年度环境空气质量不达标的区域，对石化等行业的建设项目VOCs排放量实行2倍量削减，直至达标后的下一年再恢复等量削减</w:t>
                  </w:r>
                </w:p>
              </w:tc>
              <w:tc>
                <w:tcPr>
                  <w:tcW w:w="2784" w:type="dxa"/>
                  <w:noWrap w:val="0"/>
                  <w:vAlign w:val="center"/>
                </w:tcPr>
                <w:p>
                  <w:pPr>
                    <w:rPr>
                      <w:rFonts w:hint="eastAsia"/>
                      <w:color w:val="000000"/>
                      <w:szCs w:val="21"/>
                    </w:rPr>
                  </w:pPr>
                  <w:r>
                    <w:rPr>
                      <w:rFonts w:hint="eastAsia"/>
                      <w:color w:val="000000"/>
                      <w:szCs w:val="21"/>
                    </w:rPr>
                    <w:t>项目符合《</w:t>
                  </w:r>
                  <w:r>
                    <w:rPr>
                      <w:rFonts w:hint="eastAsia"/>
                      <w:color w:val="000000"/>
                      <w:szCs w:val="21"/>
                      <w:lang w:eastAsia="zh-CN"/>
                    </w:rPr>
                    <w:t>长兴县</w:t>
                  </w:r>
                  <w:r>
                    <w:rPr>
                      <w:rFonts w:hint="eastAsia"/>
                      <w:color w:val="000000"/>
                      <w:szCs w:val="21"/>
                    </w:rPr>
                    <w:t>“三线一单”生态环境分区管控方案》，新增V</w:t>
                  </w:r>
                  <w:r>
                    <w:rPr>
                      <w:color w:val="000000"/>
                      <w:szCs w:val="21"/>
                    </w:rPr>
                    <w:t>OCs</w:t>
                  </w:r>
                  <w:r>
                    <w:rPr>
                      <w:rFonts w:hint="eastAsia"/>
                      <w:color w:val="000000"/>
                      <w:szCs w:val="21"/>
                    </w:rPr>
                    <w:t>总量按1:</w:t>
                  </w:r>
                  <w:r>
                    <w:rPr>
                      <w:color w:val="000000"/>
                      <w:szCs w:val="21"/>
                    </w:rPr>
                    <w:t>2</w:t>
                  </w:r>
                  <w:r>
                    <w:rPr>
                      <w:rFonts w:hint="eastAsia"/>
                      <w:color w:val="000000"/>
                      <w:szCs w:val="21"/>
                    </w:rPr>
                    <w:t>进行区域削减替代。</w:t>
                  </w:r>
                </w:p>
              </w:tc>
              <w:tc>
                <w:tcPr>
                  <w:tcW w:w="1118"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noWrap w:val="0"/>
                  <w:vAlign w:val="center"/>
                </w:tcPr>
                <w:p>
                  <w:pPr>
                    <w:jc w:val="center"/>
                    <w:rPr>
                      <w:color w:val="000000"/>
                      <w:szCs w:val="21"/>
                    </w:rPr>
                  </w:pPr>
                  <w:r>
                    <w:rPr>
                      <w:rFonts w:hint="eastAsia"/>
                      <w:color w:val="000000"/>
                      <w:szCs w:val="21"/>
                    </w:rPr>
                    <w:t>3</w:t>
                  </w:r>
                </w:p>
              </w:tc>
              <w:tc>
                <w:tcPr>
                  <w:tcW w:w="8761" w:type="dxa"/>
                  <w:noWrap w:val="0"/>
                  <w:vAlign w:val="center"/>
                </w:tcPr>
                <w:p>
                  <w:pPr>
                    <w:rPr>
                      <w:color w:val="000000"/>
                      <w:szCs w:val="21"/>
                    </w:rPr>
                  </w:pPr>
                  <w:r>
                    <w:rPr>
                      <w:color w:val="000000"/>
                      <w:szCs w:val="21"/>
                      <w:shd w:val="clear" w:color="auto" w:fill="FFFFFF"/>
                    </w:rPr>
                    <w:t>全面提升生产工艺绿色化水平。石化、化工等行业应采用原辅材料利用率高、废弃物产生量少的生产工艺，提升生产装备水平，采用密闭化、连续化、自动化、管道化等生产技术，鼓励工艺装置采取重力流布置，推广采用油品在线调和技术、密闭式循环水冷却系统等。工业涂装行业重点推进使用紧凑式涂装工艺，推广采用辊涂、静电喷涂、高压无气喷涂、空气辅助无气喷涂、热喷涂、超临界二氧化碳喷涂等技术，鼓励企业采用自动化、智能化喷涂设备替代人工喷涂，减少使用空气喷涂技术。包装印刷行业推广使用无溶剂复合、共挤出复合技术，鼓励采用水性凹印、醇水凹印、辐射固化凹印、柔版印刷、无水胶印等印刷工艺。鼓励生产工艺装备落后、在既有基础上整改困难的企业推倒重建，从车间布局、工艺装备等方面全面提升治理水平。</w:t>
                  </w:r>
                </w:p>
              </w:tc>
              <w:tc>
                <w:tcPr>
                  <w:tcW w:w="2784" w:type="dxa"/>
                  <w:noWrap w:val="0"/>
                  <w:vAlign w:val="center"/>
                </w:tcPr>
                <w:p>
                  <w:pPr>
                    <w:rPr>
                      <w:rFonts w:hint="eastAsia" w:eastAsia="宋体"/>
                      <w:color w:val="000000"/>
                      <w:szCs w:val="21"/>
                      <w:lang w:eastAsia="zh-CN"/>
                    </w:rPr>
                  </w:pPr>
                  <w:r>
                    <w:rPr>
                      <w:rFonts w:hint="eastAsia"/>
                      <w:color w:val="000000"/>
                      <w:szCs w:val="21"/>
                    </w:rPr>
                    <w:t>项目</w:t>
                  </w:r>
                  <w:r>
                    <w:rPr>
                      <w:rFonts w:hint="eastAsia"/>
                      <w:color w:val="000000"/>
                      <w:szCs w:val="21"/>
                      <w:lang w:eastAsia="zh-CN"/>
                    </w:rPr>
                    <w:t>不涉及涂装和印刷。</w:t>
                  </w:r>
                </w:p>
              </w:tc>
              <w:tc>
                <w:tcPr>
                  <w:tcW w:w="1118"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noWrap w:val="0"/>
                  <w:vAlign w:val="center"/>
                </w:tcPr>
                <w:p>
                  <w:pPr>
                    <w:jc w:val="center"/>
                    <w:rPr>
                      <w:color w:val="000000"/>
                      <w:szCs w:val="21"/>
                    </w:rPr>
                  </w:pPr>
                  <w:r>
                    <w:rPr>
                      <w:rFonts w:hint="eastAsia"/>
                      <w:color w:val="000000"/>
                      <w:szCs w:val="21"/>
                    </w:rPr>
                    <w:t>4</w:t>
                  </w:r>
                </w:p>
              </w:tc>
              <w:tc>
                <w:tcPr>
                  <w:tcW w:w="8761" w:type="dxa"/>
                  <w:noWrap w:val="0"/>
                  <w:vAlign w:val="center"/>
                </w:tcPr>
                <w:p>
                  <w:pPr>
                    <w:rPr>
                      <w:color w:val="000000"/>
                      <w:szCs w:val="21"/>
                      <w:shd w:val="clear" w:color="auto" w:fill="FFFFFF"/>
                    </w:rPr>
                  </w:pPr>
                  <w:r>
                    <w:rPr>
                      <w:color w:val="000000"/>
                      <w:szCs w:val="21"/>
                      <w:shd w:val="clear" w:color="auto" w:fill="FFFFFF"/>
                    </w:rPr>
                    <w:t>大力推进低VOCs含量原辅材料的源头替代。全面排查使用溶剂型工业涂料、油墨、胶粘剂、清洗剂等原辅材料的企业，各地应结合本地产业特点和本方案指导目录（见附件1），制定低VOCs含量原辅材料源头替代实施计划，明确分行业源头替代时间表，按照</w:t>
                  </w:r>
                  <w:r>
                    <w:rPr>
                      <w:rFonts w:hint="eastAsia"/>
                      <w:color w:val="000000"/>
                      <w:szCs w:val="21"/>
                      <w:shd w:val="clear" w:color="auto" w:fill="FFFFFF"/>
                    </w:rPr>
                    <w:t>“</w:t>
                  </w:r>
                  <w:r>
                    <w:rPr>
                      <w:color w:val="000000"/>
                      <w:szCs w:val="21"/>
                      <w:shd w:val="clear" w:color="auto" w:fill="FFFFFF"/>
                    </w:rPr>
                    <w:t>可替尽替、应代尽代</w:t>
                  </w:r>
                  <w:r>
                    <w:rPr>
                      <w:rFonts w:hint="eastAsia"/>
                      <w:color w:val="000000"/>
                      <w:szCs w:val="21"/>
                      <w:shd w:val="clear" w:color="auto" w:fill="FFFFFF"/>
                    </w:rPr>
                    <w:t>”</w:t>
                  </w:r>
                  <w:r>
                    <w:rPr>
                      <w:color w:val="000000"/>
                      <w:szCs w:val="21"/>
                      <w:shd w:val="clear" w:color="auto" w:fill="FFFFFF"/>
                    </w:rPr>
                    <w:t>的原则，实施一批替代溶剂型原辅材料的项目。加快低VOCs含量原辅材料研发、生产和应用，在更多技术成熟领域逐渐推广使用低VOCs含量原辅材料，到2025年，溶剂型工业涂料、油墨、胶粘剂等使用量下降比例达到国家要求。</w:t>
                  </w:r>
                </w:p>
              </w:tc>
              <w:tc>
                <w:tcPr>
                  <w:tcW w:w="2784" w:type="dxa"/>
                  <w:noWrap w:val="0"/>
                  <w:vAlign w:val="center"/>
                </w:tcPr>
                <w:p>
                  <w:pPr>
                    <w:rPr>
                      <w:rFonts w:hint="eastAsia"/>
                      <w:color w:val="000000"/>
                      <w:szCs w:val="21"/>
                    </w:rPr>
                  </w:pPr>
                  <w:r>
                    <w:rPr>
                      <w:rFonts w:hint="eastAsia"/>
                      <w:color w:val="000000"/>
                      <w:szCs w:val="21"/>
                      <w:lang w:eastAsia="zh-CN"/>
                    </w:rPr>
                    <w:t>项目挥发性有机物产生原料主要为加弹油及水性浆料，</w:t>
                  </w:r>
                  <w:r>
                    <w:rPr>
                      <w:rFonts w:hint="eastAsia"/>
                      <w:color w:val="000000"/>
                      <w:szCs w:val="21"/>
                      <w:lang w:val="en-US" w:eastAsia="zh-CN"/>
                    </w:rPr>
                    <w:t>VOCs产生量较小。</w:t>
                  </w:r>
                </w:p>
              </w:tc>
              <w:tc>
                <w:tcPr>
                  <w:tcW w:w="1118"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noWrap w:val="0"/>
                  <w:vAlign w:val="center"/>
                </w:tcPr>
                <w:p>
                  <w:pPr>
                    <w:jc w:val="center"/>
                    <w:rPr>
                      <w:color w:val="000000"/>
                      <w:szCs w:val="21"/>
                    </w:rPr>
                  </w:pPr>
                  <w:r>
                    <w:rPr>
                      <w:rFonts w:hint="eastAsia"/>
                      <w:color w:val="000000"/>
                      <w:szCs w:val="21"/>
                    </w:rPr>
                    <w:t>5</w:t>
                  </w:r>
                </w:p>
              </w:tc>
              <w:tc>
                <w:tcPr>
                  <w:tcW w:w="8761" w:type="dxa"/>
                  <w:noWrap w:val="0"/>
                  <w:vAlign w:val="center"/>
                </w:tcPr>
                <w:p>
                  <w:pPr>
                    <w:rPr>
                      <w:color w:val="000000"/>
                      <w:szCs w:val="21"/>
                      <w:shd w:val="clear" w:color="auto" w:fill="FFFFFF"/>
                    </w:rPr>
                  </w:pPr>
                  <w:r>
                    <w:rPr>
                      <w:color w:val="000000"/>
                      <w:szCs w:val="21"/>
                      <w:shd w:val="clear" w:color="auto" w:fill="FFFFFF"/>
                    </w:rPr>
                    <w:t>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原则上应保持微负压状态，并根据相关规范合理设置通风量；采用局部集气罩的，距集气罩开口面最远处的VOCs无组织排放位置控制风速应不低于0.3米/秒。对VOCs物料储罐和污水集输、储存、处理设施开展排查，督促企业按要求开展专项治理。</w:t>
                  </w:r>
                </w:p>
              </w:tc>
              <w:tc>
                <w:tcPr>
                  <w:tcW w:w="2784" w:type="dxa"/>
                  <w:noWrap w:val="0"/>
                  <w:vAlign w:val="center"/>
                </w:tcPr>
                <w:p>
                  <w:pPr>
                    <w:rPr>
                      <w:rFonts w:hint="eastAsia"/>
                      <w:color w:val="000000"/>
                      <w:szCs w:val="21"/>
                    </w:rPr>
                  </w:pPr>
                  <w:r>
                    <w:rPr>
                      <w:rFonts w:hint="eastAsia"/>
                      <w:color w:val="000000"/>
                      <w:szCs w:val="21"/>
                    </w:rPr>
                    <w:t>项目VOCs产生工序主要为</w:t>
                  </w:r>
                  <w:r>
                    <w:rPr>
                      <w:rFonts w:hint="eastAsia"/>
                      <w:color w:val="000000"/>
                      <w:szCs w:val="21"/>
                      <w:lang w:eastAsia="zh-CN"/>
                    </w:rPr>
                    <w:t>加弹工序和上浆烘干工序，均配备了吸风装置和废气处理设施；且烘干工序为密闭空间，可极大减少</w:t>
                  </w:r>
                  <w:r>
                    <w:rPr>
                      <w:rFonts w:hint="eastAsia"/>
                      <w:color w:val="000000"/>
                      <w:szCs w:val="21"/>
                      <w:lang w:val="en-US" w:eastAsia="zh-CN"/>
                    </w:rPr>
                    <w:t>VOCs的逸散</w:t>
                  </w:r>
                  <w:r>
                    <w:rPr>
                      <w:rFonts w:hint="eastAsia"/>
                      <w:color w:val="000000"/>
                      <w:szCs w:val="21"/>
                    </w:rPr>
                    <w:t>。</w:t>
                  </w:r>
                </w:p>
              </w:tc>
              <w:tc>
                <w:tcPr>
                  <w:tcW w:w="1118"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dxa"/>
                  <w:noWrap w:val="0"/>
                  <w:vAlign w:val="center"/>
                </w:tcPr>
                <w:p>
                  <w:pPr>
                    <w:jc w:val="center"/>
                    <w:rPr>
                      <w:color w:val="000000"/>
                      <w:szCs w:val="21"/>
                    </w:rPr>
                  </w:pPr>
                  <w:r>
                    <w:rPr>
                      <w:rFonts w:hint="eastAsia"/>
                      <w:color w:val="000000"/>
                      <w:szCs w:val="21"/>
                    </w:rPr>
                    <w:t>6</w:t>
                  </w:r>
                </w:p>
              </w:tc>
              <w:tc>
                <w:tcPr>
                  <w:tcW w:w="8761" w:type="dxa"/>
                  <w:noWrap w:val="0"/>
                  <w:vAlign w:val="center"/>
                </w:tcPr>
                <w:p>
                  <w:pPr>
                    <w:rPr>
                      <w:color w:val="000000"/>
                      <w:szCs w:val="21"/>
                      <w:shd w:val="clear" w:color="auto" w:fill="FFFFFF"/>
                    </w:rPr>
                  </w:pPr>
                  <w:r>
                    <w:rPr>
                      <w:color w:val="000000"/>
                      <w:szCs w:val="21"/>
                      <w:shd w:val="clear" w:color="auto" w:fill="FFFFFF"/>
                    </w:rPr>
                    <w:t>建设适宜高效的治理设施。企业新建治理设施或对现有治理设施实施改造，应结合排放VOCs产生特征、生产工况等合理选择治理技术，对治理难度大、单一治理工艺难以稳定达标的，要采用多种技术的组合工艺。采用活性炭吸附技术的，吸附装置和活性炭应符合相关技术要求，并按要求足量添加、定期更换活性炭。组织开展使用光催化、光氧化、低温等离子、一次性活性炭或上述组合技术等VOCs治理设施排查，对达不到要求的，应当更换或升级改造，实现稳定达标排放。到2025年，完成5000家低效VOCs治理设施改造升级，石化行业的VOCs综合去除效率达到70%以上，化工、工业涂装、包装印刷、合成革等行业的VOCs综合去除效率达到60%以上。</w:t>
                  </w:r>
                </w:p>
              </w:tc>
              <w:tc>
                <w:tcPr>
                  <w:tcW w:w="2784" w:type="dxa"/>
                  <w:noWrap w:val="0"/>
                  <w:vAlign w:val="center"/>
                </w:tcPr>
                <w:p>
                  <w:pPr>
                    <w:rPr>
                      <w:rFonts w:hint="eastAsia"/>
                      <w:color w:val="000000"/>
                      <w:szCs w:val="21"/>
                    </w:rPr>
                  </w:pPr>
                  <w:r>
                    <w:rPr>
                      <w:rFonts w:hint="eastAsia"/>
                      <w:color w:val="000000"/>
                      <w:szCs w:val="21"/>
                    </w:rPr>
                    <w:t>项目废气采用</w:t>
                  </w:r>
                  <w:r>
                    <w:rPr>
                      <w:rFonts w:hint="eastAsia"/>
                      <w:color w:val="000000"/>
                      <w:szCs w:val="21"/>
                      <w:lang w:eastAsia="zh-CN"/>
                    </w:rPr>
                    <w:t>冷却</w:t>
                  </w:r>
                  <w:r>
                    <w:rPr>
                      <w:rFonts w:hint="eastAsia"/>
                      <w:color w:val="000000"/>
                      <w:szCs w:val="21"/>
                      <w:lang w:val="en-US" w:eastAsia="zh-CN"/>
                    </w:rPr>
                    <w:t>+水喷淋+静电油烟净化装置</w:t>
                  </w:r>
                  <w:r>
                    <w:rPr>
                      <w:rFonts w:hint="eastAsia"/>
                      <w:color w:val="000000"/>
                      <w:szCs w:val="21"/>
                    </w:rPr>
                    <w:t>进行处理，V</w:t>
                  </w:r>
                  <w:r>
                    <w:rPr>
                      <w:color w:val="000000"/>
                      <w:szCs w:val="21"/>
                    </w:rPr>
                    <w:t>OCs</w:t>
                  </w:r>
                  <w:r>
                    <w:rPr>
                      <w:rFonts w:hint="eastAsia"/>
                      <w:color w:val="000000"/>
                      <w:szCs w:val="21"/>
                    </w:rPr>
                    <w:t>综合处理效率能达到</w:t>
                  </w:r>
                  <w:r>
                    <w:rPr>
                      <w:rFonts w:hint="eastAsia"/>
                      <w:color w:val="000000"/>
                      <w:szCs w:val="21"/>
                      <w:lang w:val="en-US" w:eastAsia="zh-CN"/>
                    </w:rPr>
                    <w:t>85</w:t>
                  </w:r>
                  <w:r>
                    <w:rPr>
                      <w:color w:val="000000"/>
                      <w:szCs w:val="21"/>
                    </w:rPr>
                    <w:t>%</w:t>
                  </w:r>
                  <w:r>
                    <w:rPr>
                      <w:rFonts w:hint="eastAsia"/>
                      <w:color w:val="000000"/>
                      <w:szCs w:val="21"/>
                    </w:rPr>
                    <w:t>。</w:t>
                  </w:r>
                </w:p>
              </w:tc>
              <w:tc>
                <w:tcPr>
                  <w:tcW w:w="1118" w:type="dxa"/>
                  <w:noWrap w:val="0"/>
                  <w:vAlign w:val="center"/>
                </w:tcPr>
                <w:p>
                  <w:pPr>
                    <w:jc w:val="center"/>
                    <w:rPr>
                      <w:color w:val="000000"/>
                      <w:szCs w:val="21"/>
                    </w:rPr>
                  </w:pPr>
                  <w:r>
                    <w:rPr>
                      <w:rFonts w:hint="eastAsia"/>
                      <w:color w:val="000000"/>
                      <w:szCs w:val="21"/>
                    </w:rPr>
                    <w:t>符合</w:t>
                  </w:r>
                </w:p>
              </w:tc>
            </w:tr>
          </w:tbl>
          <w:p>
            <w:pPr>
              <w:pStyle w:val="105"/>
              <w:keepNext w:val="0"/>
              <w:keepLines w:val="0"/>
              <w:pageBreakBefore w:val="0"/>
              <w:widowControl/>
              <w:kinsoku/>
              <w:wordWrap/>
              <w:overflowPunct/>
              <w:topLinePunct w:val="0"/>
              <w:autoSpaceDE/>
              <w:autoSpaceDN/>
              <w:bidi w:val="0"/>
              <w:adjustRightInd/>
              <w:snapToGrid/>
              <w:spacing w:before="0" w:line="500" w:lineRule="exact"/>
              <w:ind w:firstLine="480" w:firstLineChars="200"/>
              <w:jc w:val="left"/>
              <w:textAlignment w:val="auto"/>
              <w:rPr>
                <w:rStyle w:val="346"/>
                <w:rFonts w:hint="eastAsia" w:hAnsi="宋体"/>
                <w:color w:val="000000"/>
              </w:rPr>
            </w:pPr>
            <w:r>
              <w:rPr>
                <w:rFonts w:hint="eastAsia"/>
                <w:color w:val="000000"/>
              </w:rPr>
              <w:t>项目符合</w:t>
            </w:r>
            <w:r>
              <w:rPr>
                <w:rStyle w:val="346"/>
                <w:rFonts w:hint="eastAsia" w:hAnsi="宋体"/>
                <w:color w:val="000000"/>
              </w:rPr>
              <w:t>《浙江省“十四五”挥发性有机物综合治理方案》有关要求。</w:t>
            </w:r>
          </w:p>
          <w:p>
            <w:pPr>
              <w:pStyle w:val="105"/>
              <w:keepNext w:val="0"/>
              <w:keepLines w:val="0"/>
              <w:pageBreakBefore w:val="0"/>
              <w:widowControl/>
              <w:numPr>
                <w:ilvl w:val="0"/>
                <w:numId w:val="0"/>
              </w:numPr>
              <w:kinsoku/>
              <w:wordWrap/>
              <w:overflowPunct/>
              <w:topLinePunct w:val="0"/>
              <w:autoSpaceDE/>
              <w:autoSpaceDN/>
              <w:bidi w:val="0"/>
              <w:adjustRightInd/>
              <w:snapToGrid/>
              <w:spacing w:before="20" w:line="500" w:lineRule="exact"/>
              <w:ind w:firstLine="480" w:firstLineChars="200"/>
              <w:textAlignment w:val="auto"/>
              <w:rPr>
                <w:rFonts w:hint="eastAsia"/>
                <w:color w:val="000000"/>
                <w:lang w:eastAsia="zh-CN"/>
              </w:rPr>
            </w:pPr>
            <w:r>
              <w:rPr>
                <w:rFonts w:hint="eastAsia"/>
                <w:color w:val="000000"/>
                <w:lang w:eastAsia="zh-CN"/>
              </w:rPr>
              <w:t>（</w:t>
            </w:r>
            <w:r>
              <w:rPr>
                <w:rFonts w:hint="eastAsia"/>
                <w:color w:val="000000"/>
                <w:lang w:val="en-US" w:eastAsia="zh-CN"/>
              </w:rPr>
              <w:t>2</w:t>
            </w:r>
            <w:r>
              <w:rPr>
                <w:rFonts w:hint="eastAsia"/>
                <w:color w:val="000000"/>
                <w:lang w:eastAsia="zh-CN"/>
              </w:rPr>
              <w:t>）《关于印发长兴县纺织行业改造提升实施方案的通知》（长政办发〔20</w:t>
            </w:r>
            <w:r>
              <w:rPr>
                <w:rFonts w:hint="eastAsia"/>
                <w:color w:val="000000"/>
                <w:lang w:val="en-US" w:eastAsia="zh-CN"/>
              </w:rPr>
              <w:t>20</w:t>
            </w:r>
            <w:r>
              <w:rPr>
                <w:rFonts w:hint="eastAsia"/>
                <w:color w:val="000000"/>
                <w:lang w:eastAsia="zh-CN"/>
              </w:rPr>
              <w:t>〕</w:t>
            </w:r>
            <w:r>
              <w:rPr>
                <w:rFonts w:hint="eastAsia"/>
                <w:color w:val="000000"/>
                <w:lang w:val="en-US" w:eastAsia="zh-CN"/>
              </w:rPr>
              <w:t>40</w:t>
            </w:r>
            <w:r>
              <w:rPr>
                <w:rFonts w:hint="eastAsia"/>
                <w:color w:val="000000"/>
                <w:lang w:eastAsia="zh-CN"/>
              </w:rPr>
              <w:t>号）</w:t>
            </w:r>
          </w:p>
          <w:p>
            <w:pPr>
              <w:spacing w:line="500" w:lineRule="exact"/>
              <w:jc w:val="center"/>
              <w:rPr>
                <w:rFonts w:hint="eastAsia" w:hAnsi="宋体"/>
                <w:b/>
                <w:bCs/>
                <w:color w:val="000000"/>
                <w:szCs w:val="21"/>
              </w:rPr>
            </w:pPr>
            <w:r>
              <w:rPr>
                <w:rFonts w:hint="eastAsia" w:hAnsi="宋体"/>
                <w:b/>
                <w:bCs/>
                <w:color w:val="000000"/>
                <w:szCs w:val="21"/>
              </w:rPr>
              <w:t>表</w:t>
            </w:r>
            <w:r>
              <w:rPr>
                <w:rFonts w:hint="eastAsia" w:hAnsi="宋体"/>
                <w:b/>
                <w:bCs/>
                <w:color w:val="000000"/>
                <w:szCs w:val="21"/>
                <w:lang w:val="en-US" w:eastAsia="zh-CN"/>
              </w:rPr>
              <w:t xml:space="preserve">1.-2-2 </w:t>
            </w:r>
            <w:r>
              <w:rPr>
                <w:rFonts w:hAnsi="宋体"/>
                <w:b/>
                <w:bCs/>
                <w:color w:val="000000"/>
                <w:szCs w:val="21"/>
              </w:rPr>
              <w:t xml:space="preserve"> 《</w:t>
            </w:r>
            <w:r>
              <w:rPr>
                <w:rFonts w:hint="eastAsia" w:hAnsi="宋体"/>
                <w:b/>
                <w:bCs/>
                <w:color w:val="000000"/>
                <w:szCs w:val="21"/>
              </w:rPr>
              <w:t>关于印发长兴县纺织行业改造提升实施方案的通知</w:t>
            </w:r>
            <w:r>
              <w:rPr>
                <w:rFonts w:hAnsi="宋体"/>
                <w:b/>
                <w:bCs/>
                <w:color w:val="000000"/>
                <w:szCs w:val="21"/>
              </w:rPr>
              <w:t>》</w:t>
            </w:r>
            <w:r>
              <w:rPr>
                <w:rFonts w:hint="eastAsia" w:hAnsi="宋体"/>
                <w:b/>
                <w:bCs/>
                <w:color w:val="000000"/>
                <w:szCs w:val="21"/>
              </w:rPr>
              <w:t>符合性分析</w:t>
            </w:r>
          </w:p>
          <w:tbl>
            <w:tblPr>
              <w:tblStyle w:val="40"/>
              <w:tblW w:w="13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524"/>
              <w:gridCol w:w="3914"/>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noWrap w:val="0"/>
                  <w:vAlign w:val="center"/>
                </w:tcPr>
                <w:p>
                  <w:pPr>
                    <w:jc w:val="center"/>
                    <w:rPr>
                      <w:color w:val="000000"/>
                      <w:szCs w:val="21"/>
                    </w:rPr>
                  </w:pPr>
                  <w:r>
                    <w:rPr>
                      <w:color w:val="000000"/>
                      <w:szCs w:val="21"/>
                    </w:rPr>
                    <w:t>序号</w:t>
                  </w:r>
                </w:p>
              </w:tc>
              <w:tc>
                <w:tcPr>
                  <w:tcW w:w="7524" w:type="dxa"/>
                  <w:noWrap w:val="0"/>
                  <w:vAlign w:val="center"/>
                </w:tcPr>
                <w:p>
                  <w:pPr>
                    <w:jc w:val="center"/>
                    <w:rPr>
                      <w:color w:val="000000"/>
                      <w:szCs w:val="21"/>
                    </w:rPr>
                  </w:pPr>
                  <w:r>
                    <w:rPr>
                      <w:color w:val="000000"/>
                      <w:szCs w:val="21"/>
                    </w:rPr>
                    <w:t>要求</w:t>
                  </w:r>
                </w:p>
              </w:tc>
              <w:tc>
                <w:tcPr>
                  <w:tcW w:w="3914" w:type="dxa"/>
                  <w:noWrap w:val="0"/>
                  <w:vAlign w:val="center"/>
                </w:tcPr>
                <w:p>
                  <w:pPr>
                    <w:jc w:val="center"/>
                    <w:rPr>
                      <w:color w:val="000000"/>
                      <w:szCs w:val="21"/>
                    </w:rPr>
                  </w:pPr>
                  <w:r>
                    <w:rPr>
                      <w:color w:val="000000"/>
                      <w:szCs w:val="21"/>
                    </w:rPr>
                    <w:t>项目情况</w:t>
                  </w:r>
                </w:p>
              </w:tc>
              <w:tc>
                <w:tcPr>
                  <w:tcW w:w="1236" w:type="dxa"/>
                  <w:noWrap w:val="0"/>
                  <w:vAlign w:val="center"/>
                </w:tcPr>
                <w:p>
                  <w:pPr>
                    <w:jc w:val="center"/>
                    <w:rPr>
                      <w:color w:val="000000"/>
                      <w:szCs w:val="21"/>
                    </w:rPr>
                  </w:pPr>
                  <w:r>
                    <w:rPr>
                      <w:color w:val="00000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noWrap w:val="0"/>
                  <w:vAlign w:val="center"/>
                </w:tcPr>
                <w:p>
                  <w:pPr>
                    <w:jc w:val="center"/>
                    <w:rPr>
                      <w:color w:val="000000"/>
                      <w:szCs w:val="21"/>
                    </w:rPr>
                  </w:pPr>
                  <w:r>
                    <w:rPr>
                      <w:rFonts w:hint="eastAsia"/>
                      <w:color w:val="000000"/>
                      <w:szCs w:val="21"/>
                    </w:rPr>
                    <w:t>1</w:t>
                  </w:r>
                </w:p>
              </w:tc>
              <w:tc>
                <w:tcPr>
                  <w:tcW w:w="7524" w:type="dxa"/>
                  <w:noWrap w:val="0"/>
                  <w:vAlign w:val="center"/>
                </w:tcPr>
                <w:p>
                  <w:pPr>
                    <w:numPr>
                      <w:ilvl w:val="0"/>
                      <w:numId w:val="2"/>
                    </w:numPr>
                    <w:rPr>
                      <w:rFonts w:hint="eastAsia"/>
                      <w:color w:val="000000"/>
                      <w:szCs w:val="21"/>
                      <w:lang w:eastAsia="zh-CN"/>
                    </w:rPr>
                  </w:pPr>
                  <w:r>
                    <w:rPr>
                      <w:rFonts w:hint="eastAsia"/>
                      <w:color w:val="000000"/>
                      <w:szCs w:val="21"/>
                      <w:lang w:eastAsia="zh-CN"/>
                    </w:rPr>
                    <w:t>规划建设</w:t>
                  </w:r>
                </w:p>
                <w:p>
                  <w:pPr>
                    <w:numPr>
                      <w:ilvl w:val="0"/>
                      <w:numId w:val="0"/>
                    </w:numPr>
                    <w:rPr>
                      <w:rFonts w:hint="eastAsia" w:eastAsia="宋体"/>
                      <w:color w:val="000000"/>
                      <w:szCs w:val="21"/>
                      <w:lang w:val="en-US" w:eastAsia="zh-CN"/>
                    </w:rPr>
                  </w:pPr>
                  <w:r>
                    <w:rPr>
                      <w:rFonts w:hint="eastAsia"/>
                      <w:color w:val="000000"/>
                      <w:szCs w:val="21"/>
                    </w:rPr>
                    <w:t>企业选址符合生态环境功能区规划、土地利用规划和控制性详细规划，在镇级以上工业集聚区、小微产业园区内，具备污水纳管及中水回用条件，用地审批手续完备，符合消防有关要求。租赁场地的，租赁合同有效期不少于</w:t>
                  </w:r>
                  <w:r>
                    <w:rPr>
                      <w:rFonts w:hint="eastAsia"/>
                      <w:color w:val="000000"/>
                      <w:szCs w:val="21"/>
                      <w:lang w:val="en-US" w:eastAsia="zh-CN"/>
                    </w:rPr>
                    <w:t>5</w:t>
                  </w:r>
                  <w:r>
                    <w:rPr>
                      <w:rFonts w:hint="eastAsia"/>
                      <w:color w:val="000000"/>
                      <w:szCs w:val="21"/>
                    </w:rPr>
                    <w:t>年</w:t>
                  </w:r>
                  <w:r>
                    <w:rPr>
                      <w:rFonts w:hint="eastAsia"/>
                      <w:color w:val="000000"/>
                      <w:szCs w:val="21"/>
                      <w:lang w:eastAsia="zh-CN"/>
                    </w:rPr>
                    <w:t>。</w:t>
                  </w:r>
                </w:p>
              </w:tc>
              <w:tc>
                <w:tcPr>
                  <w:tcW w:w="3914" w:type="dxa"/>
                  <w:noWrap w:val="0"/>
                  <w:vAlign w:val="center"/>
                </w:tcPr>
                <w:p>
                  <w:pPr>
                    <w:rPr>
                      <w:rFonts w:hint="eastAsia" w:eastAsia="宋体"/>
                      <w:color w:val="000000"/>
                      <w:szCs w:val="21"/>
                      <w:lang w:eastAsia="zh-CN"/>
                    </w:rPr>
                  </w:pPr>
                  <w:r>
                    <w:rPr>
                      <w:rFonts w:hint="eastAsia"/>
                      <w:color w:val="000000"/>
                      <w:szCs w:val="21"/>
                      <w:lang w:eastAsia="zh-CN"/>
                    </w:rPr>
                    <w:t>项目选址于长兴县虹星桥镇工业集中区，符合生态环境功能区规划，企业所在土地为工业用地，符合用地要求，属于工业集中区，具备污水纳管及中水回用条件，用地审批手续完备，符合消防有关要求。</w:t>
                  </w:r>
                </w:p>
              </w:tc>
              <w:tc>
                <w:tcPr>
                  <w:tcW w:w="1236"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noWrap w:val="0"/>
                  <w:vAlign w:val="center"/>
                </w:tcPr>
                <w:p>
                  <w:pPr>
                    <w:jc w:val="center"/>
                    <w:rPr>
                      <w:color w:val="000000"/>
                      <w:szCs w:val="21"/>
                    </w:rPr>
                  </w:pPr>
                  <w:r>
                    <w:rPr>
                      <w:rFonts w:hint="eastAsia"/>
                      <w:color w:val="000000"/>
                      <w:szCs w:val="21"/>
                    </w:rPr>
                    <w:t>2</w:t>
                  </w:r>
                </w:p>
              </w:tc>
              <w:tc>
                <w:tcPr>
                  <w:tcW w:w="7524" w:type="dxa"/>
                  <w:noWrap w:val="0"/>
                  <w:vAlign w:val="center"/>
                </w:tcPr>
                <w:p>
                  <w:pPr>
                    <w:numPr>
                      <w:ilvl w:val="0"/>
                      <w:numId w:val="2"/>
                    </w:numPr>
                    <w:rPr>
                      <w:rFonts w:hint="eastAsia"/>
                      <w:color w:val="000000"/>
                      <w:szCs w:val="21"/>
                      <w:lang w:eastAsia="zh-CN"/>
                    </w:rPr>
                  </w:pPr>
                  <w:r>
                    <w:rPr>
                      <w:rFonts w:hint="eastAsia"/>
                      <w:color w:val="000000"/>
                      <w:szCs w:val="21"/>
                      <w:lang w:eastAsia="zh-CN"/>
                    </w:rPr>
                    <w:t>企业规模</w:t>
                  </w:r>
                </w:p>
                <w:p>
                  <w:pPr>
                    <w:rPr>
                      <w:color w:val="000000"/>
                      <w:szCs w:val="21"/>
                    </w:rPr>
                  </w:pPr>
                  <w:r>
                    <w:rPr>
                      <w:rFonts w:hint="eastAsia"/>
                      <w:color w:val="000000"/>
                      <w:szCs w:val="21"/>
                    </w:rPr>
                    <w:t>企业注册登记为有限责任公司或股份公司，项目投资强度不低于 240 万元/亩（其中租赁企业设备投资强度不低于 120 万元/亩）</w:t>
                  </w:r>
                  <w:r>
                    <w:rPr>
                      <w:rFonts w:hint="eastAsia"/>
                      <w:color w:val="000000"/>
                      <w:szCs w:val="21"/>
                      <w:lang w:eastAsia="zh-CN"/>
                    </w:rPr>
                    <w:t>，</w:t>
                  </w:r>
                  <w:r>
                    <w:rPr>
                      <w:rFonts w:hint="eastAsia"/>
                      <w:color w:val="000000"/>
                      <w:szCs w:val="21"/>
                    </w:rPr>
                    <w:t>新建厂房应不少于 2 层，原则上喷水织机数量不少于 180台（新建、迁建项目），加弹机与喷水织机配比不低于 1:50。企业亩均税收不低于 15 万元/亩，单位能耗增加值不低于 1.1 万元/吨标煤</w:t>
                  </w:r>
                  <w:r>
                    <w:rPr>
                      <w:rFonts w:hint="eastAsia"/>
                      <w:color w:val="000000"/>
                      <w:szCs w:val="21"/>
                      <w:lang w:eastAsia="zh-CN"/>
                    </w:rPr>
                    <w:t>。</w:t>
                  </w:r>
                </w:p>
              </w:tc>
              <w:tc>
                <w:tcPr>
                  <w:tcW w:w="3914" w:type="dxa"/>
                  <w:noWrap w:val="0"/>
                  <w:vAlign w:val="center"/>
                </w:tcPr>
                <w:p>
                  <w:pPr>
                    <w:rPr>
                      <w:rFonts w:hint="default" w:eastAsia="宋体"/>
                      <w:color w:val="000000"/>
                      <w:szCs w:val="21"/>
                      <w:lang w:val="en-US" w:eastAsia="zh-CN"/>
                    </w:rPr>
                  </w:pPr>
                  <w:r>
                    <w:rPr>
                      <w:rFonts w:hint="eastAsia"/>
                      <w:color w:val="000000"/>
                      <w:szCs w:val="21"/>
                      <w:lang w:eastAsia="zh-CN"/>
                    </w:rPr>
                    <w:t>企业注册登记为有限责任公司，项目投资强度为</w:t>
                  </w:r>
                  <w:r>
                    <w:rPr>
                      <w:rFonts w:hint="eastAsia"/>
                      <w:color w:val="000000"/>
                      <w:szCs w:val="21"/>
                      <w:lang w:val="en-US" w:eastAsia="zh-CN"/>
                    </w:rPr>
                    <w:t>245.63万元/亩，喷水织机数量为345台。根据《长兴县纺织行业改造提升领导小组会议纪要》[2021]1 号，对部分土地面积较小，建成后厂房容纳喷水织机不足 180 台的企业可按照厂房实际容量进行项目备案、审批。</w:t>
                  </w:r>
                </w:p>
              </w:tc>
              <w:tc>
                <w:tcPr>
                  <w:tcW w:w="1236"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noWrap w:val="0"/>
                  <w:vAlign w:val="center"/>
                </w:tcPr>
                <w:p>
                  <w:pPr>
                    <w:jc w:val="center"/>
                    <w:rPr>
                      <w:color w:val="000000"/>
                      <w:szCs w:val="21"/>
                    </w:rPr>
                  </w:pPr>
                  <w:r>
                    <w:rPr>
                      <w:rFonts w:hint="eastAsia"/>
                      <w:color w:val="000000"/>
                      <w:szCs w:val="21"/>
                    </w:rPr>
                    <w:t>3</w:t>
                  </w:r>
                </w:p>
              </w:tc>
              <w:tc>
                <w:tcPr>
                  <w:tcW w:w="7524" w:type="dxa"/>
                  <w:noWrap w:val="0"/>
                  <w:vAlign w:val="center"/>
                </w:tcPr>
                <w:p>
                  <w:pPr>
                    <w:numPr>
                      <w:ilvl w:val="0"/>
                      <w:numId w:val="2"/>
                    </w:numPr>
                    <w:rPr>
                      <w:rFonts w:hint="eastAsia"/>
                      <w:color w:val="000000"/>
                      <w:szCs w:val="21"/>
                      <w:lang w:eastAsia="zh-CN"/>
                    </w:rPr>
                  </w:pPr>
                  <w:r>
                    <w:rPr>
                      <w:rFonts w:hint="eastAsia"/>
                      <w:color w:val="000000"/>
                      <w:szCs w:val="21"/>
                      <w:lang w:eastAsia="zh-CN"/>
                    </w:rPr>
                    <w:t>工艺装备</w:t>
                  </w:r>
                </w:p>
                <w:p>
                  <w:pPr>
                    <w:rPr>
                      <w:color w:val="000000"/>
                      <w:szCs w:val="21"/>
                    </w:rPr>
                  </w:pPr>
                  <w:r>
                    <w:rPr>
                      <w:rFonts w:hint="eastAsia"/>
                      <w:color w:val="000000"/>
                      <w:szCs w:val="21"/>
                    </w:rPr>
                    <w:t>企业所用喷水织机、加弹机等设备达到国际或国内先进水平，符合县政府与国内纺织龙头企业的战略合作规划导向要求，与当前市场需求相匹配，机龄在 8 年以内</w:t>
                  </w:r>
                  <w:r>
                    <w:rPr>
                      <w:rFonts w:hint="eastAsia"/>
                      <w:color w:val="000000"/>
                      <w:szCs w:val="21"/>
                      <w:lang w:eastAsia="zh-CN"/>
                    </w:rPr>
                    <w:t>，</w:t>
                  </w:r>
                  <w:r>
                    <w:rPr>
                      <w:rFonts w:hint="eastAsia"/>
                      <w:color w:val="000000"/>
                      <w:szCs w:val="21"/>
                    </w:rPr>
                    <w:t>新引进喷水织机达到高速、节水、自动化程度高等要求（一般机型转速不低于600转/分钟），加弹机机械速度不低于 800 米/分钟，设备联网率达到100%。</w:t>
                  </w:r>
                </w:p>
              </w:tc>
              <w:tc>
                <w:tcPr>
                  <w:tcW w:w="3914" w:type="dxa"/>
                  <w:noWrap w:val="0"/>
                  <w:vAlign w:val="center"/>
                </w:tcPr>
                <w:p>
                  <w:pPr>
                    <w:rPr>
                      <w:rFonts w:hint="eastAsia" w:eastAsia="宋体"/>
                      <w:color w:val="000000"/>
                      <w:szCs w:val="21"/>
                      <w:lang w:eastAsia="zh-CN"/>
                    </w:rPr>
                  </w:pPr>
                  <w:r>
                    <w:rPr>
                      <w:rFonts w:hint="eastAsia"/>
                      <w:color w:val="000000"/>
                      <w:szCs w:val="21"/>
                    </w:rPr>
                    <w:t>企业所用喷水织机、加弹机设备达到国国内先进水平</w:t>
                  </w:r>
                  <w:r>
                    <w:rPr>
                      <w:rFonts w:hint="eastAsia"/>
                      <w:color w:val="000000"/>
                      <w:szCs w:val="21"/>
                      <w:lang w:eastAsia="zh-CN"/>
                    </w:rPr>
                    <w:t>，机龄在</w:t>
                  </w:r>
                  <w:r>
                    <w:rPr>
                      <w:rFonts w:hint="eastAsia"/>
                      <w:color w:val="000000"/>
                      <w:szCs w:val="21"/>
                      <w:lang w:val="en-US" w:eastAsia="zh-CN"/>
                    </w:rPr>
                    <w:t>8</w:t>
                  </w:r>
                  <w:r>
                    <w:rPr>
                      <w:rFonts w:hint="eastAsia"/>
                      <w:color w:val="000000"/>
                      <w:szCs w:val="21"/>
                      <w:lang w:eastAsia="zh-CN"/>
                    </w:rPr>
                    <w:t>年以内。</w:t>
                  </w:r>
                </w:p>
              </w:tc>
              <w:tc>
                <w:tcPr>
                  <w:tcW w:w="1236"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restart"/>
                  <w:noWrap w:val="0"/>
                  <w:vAlign w:val="center"/>
                </w:tcPr>
                <w:p>
                  <w:pPr>
                    <w:jc w:val="center"/>
                    <w:rPr>
                      <w:color w:val="000000"/>
                      <w:szCs w:val="21"/>
                    </w:rPr>
                  </w:pPr>
                  <w:r>
                    <w:rPr>
                      <w:rFonts w:hint="eastAsia"/>
                      <w:color w:val="000000"/>
                      <w:szCs w:val="21"/>
                    </w:rPr>
                    <w:t>4</w:t>
                  </w:r>
                </w:p>
              </w:tc>
              <w:tc>
                <w:tcPr>
                  <w:tcW w:w="7524" w:type="dxa"/>
                  <w:noWrap w:val="0"/>
                  <w:vAlign w:val="center"/>
                </w:tcPr>
                <w:p>
                  <w:pPr>
                    <w:numPr>
                      <w:ilvl w:val="0"/>
                      <w:numId w:val="2"/>
                    </w:numPr>
                    <w:rPr>
                      <w:rFonts w:hint="eastAsia"/>
                      <w:lang w:eastAsia="zh-CN"/>
                    </w:rPr>
                  </w:pPr>
                  <w:r>
                    <w:rPr>
                      <w:rFonts w:hint="eastAsia"/>
                      <w:lang w:eastAsia="zh-CN"/>
                    </w:rPr>
                    <w:t>污染防治</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textAlignment w:val="auto"/>
                    <w:rPr>
                      <w:rFonts w:hint="default"/>
                      <w:b w:val="0"/>
                      <w:bCs w:val="0"/>
                      <w:lang w:val="en-US" w:eastAsia="zh-CN"/>
                    </w:rPr>
                  </w:pPr>
                  <w:r>
                    <w:rPr>
                      <w:rFonts w:hint="eastAsia"/>
                      <w:lang w:val="en-US" w:eastAsia="zh-CN"/>
                    </w:rPr>
                    <w:t>、</w:t>
                  </w:r>
                  <w:r>
                    <w:rPr>
                      <w:rFonts w:hint="eastAsia"/>
                      <w:b w:val="0"/>
                      <w:bCs w:val="0"/>
                      <w:lang w:val="en-US" w:eastAsia="zh-CN"/>
                    </w:rPr>
                    <w:t>水污染防治</w:t>
                  </w:r>
                </w:p>
                <w:p>
                  <w:pPr>
                    <w:pStyle w:val="3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lang w:val="en-US" w:eastAsia="zh-CN"/>
                    </w:rPr>
                  </w:pPr>
                  <w:r>
                    <w:rPr>
                      <w:rFonts w:hint="default" w:ascii="Times New Roman" w:hAnsi="Times New Roman" w:eastAsia="宋体" w:cs="Times New Roman"/>
                      <w:b w:val="0"/>
                      <w:bCs w:val="0"/>
                      <w:color w:val="000000"/>
                      <w:kern w:val="2"/>
                      <w:sz w:val="21"/>
                      <w:szCs w:val="21"/>
                      <w:lang w:val="en-US" w:eastAsia="zh-CN" w:bidi="ar-SA"/>
                    </w:rPr>
                    <w:t>企业生产废水统一纳入污水管网，纳管污水达到《污水综合排放标准》（GB 8978-1996）第二时段三级标准。厂区内实行雨污分流，单个企业只设一个污水排放口，并按要求安装流量计</w:t>
                  </w:r>
                  <w:r>
                    <w:rPr>
                      <w:rFonts w:hint="eastAsia" w:cs="Times New Roman"/>
                      <w:b w:val="0"/>
                      <w:bCs w:val="0"/>
                      <w:color w:val="000000"/>
                      <w:kern w:val="2"/>
                      <w:sz w:val="21"/>
                      <w:szCs w:val="21"/>
                      <w:lang w:val="en-US" w:eastAsia="zh-CN" w:bidi="ar-SA"/>
                    </w:rPr>
                    <w:t>。</w:t>
                  </w:r>
                </w:p>
              </w:tc>
              <w:tc>
                <w:tcPr>
                  <w:tcW w:w="3914" w:type="dxa"/>
                  <w:noWrap w:val="0"/>
                  <w:vAlign w:val="center"/>
                </w:tcPr>
                <w:p>
                  <w:pPr>
                    <w:rPr>
                      <w:rFonts w:hint="eastAsia" w:eastAsia="宋体"/>
                      <w:color w:val="000000"/>
                      <w:szCs w:val="21"/>
                      <w:lang w:eastAsia="zh-CN"/>
                    </w:rPr>
                  </w:pPr>
                  <w:r>
                    <w:rPr>
                      <w:rFonts w:hint="eastAsia"/>
                      <w:color w:val="000000"/>
                      <w:szCs w:val="21"/>
                      <w:lang w:eastAsia="zh-CN"/>
                    </w:rPr>
                    <w:t>企业</w:t>
                  </w:r>
                  <w:r>
                    <w:rPr>
                      <w:rFonts w:hint="eastAsia" w:ascii="Times New Roman" w:hAnsi="Times New Roman" w:eastAsia="宋体" w:cs="Times New Roman"/>
                      <w:bCs/>
                      <w:color w:val="000000" w:themeColor="text1"/>
                      <w:szCs w:val="21"/>
                      <w:lang w:eastAsia="zh-CN"/>
                      <w14:textFill>
                        <w14:solidFill>
                          <w14:schemeClr w14:val="tx1"/>
                        </w14:solidFill>
                      </w14:textFill>
                    </w:rPr>
                    <w:t>生产</w:t>
                  </w:r>
                  <w:r>
                    <w:rPr>
                      <w:rFonts w:hint="eastAsia" w:ascii="Times New Roman" w:hAnsi="Times New Roman" w:eastAsia="宋体" w:cs="Times New Roman"/>
                      <w:bCs/>
                      <w:color w:val="000000" w:themeColor="text1"/>
                      <w:szCs w:val="21"/>
                      <w14:textFill>
                        <w14:solidFill>
                          <w14:schemeClr w14:val="tx1"/>
                        </w14:solidFill>
                      </w14:textFill>
                    </w:rPr>
                    <w:t>废水纳管至长兴虹溪污水处理有限公司虹星桥镇</w:t>
                  </w:r>
                  <w:r>
                    <w:rPr>
                      <w:rFonts w:hint="eastAsia" w:ascii="Times New Roman" w:hAnsi="Times New Roman" w:eastAsia="宋体" w:cs="Times New Roman"/>
                      <w:bCs/>
                      <w:color w:val="000000" w:themeColor="text1"/>
                      <w:szCs w:val="21"/>
                      <w:lang w:eastAsia="zh-CN"/>
                      <w14:textFill>
                        <w14:solidFill>
                          <w14:schemeClr w14:val="tx1"/>
                        </w14:solidFill>
                      </w14:textFill>
                    </w:rPr>
                    <w:t>北片</w:t>
                  </w:r>
                  <w:r>
                    <w:rPr>
                      <w:rFonts w:hint="eastAsia" w:ascii="Times New Roman" w:hAnsi="Times New Roman" w:eastAsia="宋体" w:cs="Times New Roman"/>
                      <w:bCs/>
                      <w:color w:val="000000" w:themeColor="text1"/>
                      <w:szCs w:val="21"/>
                      <w14:textFill>
                        <w14:solidFill>
                          <w14:schemeClr w14:val="tx1"/>
                        </w14:solidFill>
                      </w14:textFill>
                    </w:rPr>
                    <w:t>中水回用站后全部回用于</w:t>
                  </w:r>
                  <w:r>
                    <w:rPr>
                      <w:rFonts w:hint="eastAsia" w:ascii="Times New Roman" w:hAnsi="Times New Roman" w:cs="Times New Roman"/>
                      <w:bCs/>
                      <w:color w:val="000000" w:themeColor="text1"/>
                      <w:szCs w:val="21"/>
                      <w:lang w:eastAsia="zh-CN"/>
                      <w14:textFill>
                        <w14:solidFill>
                          <w14:schemeClr w14:val="tx1"/>
                        </w14:solidFill>
                      </w14:textFill>
                    </w:rPr>
                    <w:t>织造；厂区内实行雨污分流，</w:t>
                  </w:r>
                  <w:r>
                    <w:rPr>
                      <w:rFonts w:hint="eastAsia" w:ascii="Times New Roman" w:hAnsi="Times New Roman" w:eastAsia="宋体" w:cs="Times New Roman"/>
                      <w:bCs/>
                      <w:color w:val="000000" w:themeColor="text1"/>
                      <w:szCs w:val="21"/>
                      <w14:textFill>
                        <w14:solidFill>
                          <w14:schemeClr w14:val="tx1"/>
                        </w14:solidFill>
                      </w14:textFill>
                    </w:rPr>
                    <w:t>生活污水经预处理后</w:t>
                  </w:r>
                  <w:r>
                    <w:rPr>
                      <w:rFonts w:hint="eastAsia" w:ascii="Times New Roman" w:hAnsi="Times New Roman" w:eastAsia="宋体" w:cs="Times New Roman"/>
                      <w:bCs/>
                      <w:color w:val="000000" w:themeColor="text1"/>
                      <w:szCs w:val="21"/>
                      <w:lang w:eastAsia="zh-CN"/>
                      <w14:textFill>
                        <w14:solidFill>
                          <w14:schemeClr w14:val="tx1"/>
                        </w14:solidFill>
                      </w14:textFill>
                    </w:rPr>
                    <w:t>纳入</w:t>
                  </w:r>
                  <w:r>
                    <w:rPr>
                      <w:rFonts w:hint="eastAsia" w:ascii="Times New Roman" w:hAnsi="Times New Roman"/>
                      <w:bCs/>
                      <w:color w:val="auto"/>
                      <w:kern w:val="0"/>
                      <w:szCs w:val="21"/>
                      <w:lang w:eastAsia="zh-CN"/>
                    </w:rPr>
                    <w:t>当地农村生活污水终端系统处理达标后排放，仅</w:t>
                  </w:r>
                  <w:r>
                    <w:rPr>
                      <w:rFonts w:hint="eastAsia" w:ascii="Times New Roman" w:hAnsi="Times New Roman" w:cs="Times New Roman"/>
                      <w:bCs/>
                      <w:color w:val="000000" w:themeColor="text1"/>
                      <w:szCs w:val="21"/>
                      <w:lang w:eastAsia="zh-CN"/>
                      <w14:textFill>
                        <w14:solidFill>
                          <w14:schemeClr w14:val="tx1"/>
                        </w14:solidFill>
                      </w14:textFill>
                    </w:rPr>
                    <w:t>设一个污水排放口。</w:t>
                  </w:r>
                </w:p>
              </w:tc>
              <w:tc>
                <w:tcPr>
                  <w:tcW w:w="1236"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continue"/>
                  <w:noWrap w:val="0"/>
                  <w:vAlign w:val="center"/>
                </w:tcPr>
                <w:p>
                  <w:pPr>
                    <w:jc w:val="center"/>
                    <w:rPr>
                      <w:color w:val="000000"/>
                      <w:szCs w:val="21"/>
                    </w:rPr>
                  </w:pPr>
                </w:p>
              </w:tc>
              <w:tc>
                <w:tcPr>
                  <w:tcW w:w="7524" w:type="dxa"/>
                  <w:noWrap w:val="0"/>
                  <w:vAlign w:val="center"/>
                </w:tcPr>
                <w:p>
                  <w:pPr>
                    <w:numPr>
                      <w:ilvl w:val="0"/>
                      <w:numId w:val="3"/>
                    </w:numPr>
                    <w:jc w:val="both"/>
                    <w:rPr>
                      <w:rFonts w:hint="default"/>
                      <w:lang w:val="en-US" w:eastAsia="zh-CN"/>
                    </w:rPr>
                  </w:pPr>
                  <w:r>
                    <w:rPr>
                      <w:rFonts w:hint="eastAsia"/>
                      <w:lang w:val="en-US" w:eastAsia="zh-CN"/>
                    </w:rPr>
                    <w:t>、大气污染防治</w:t>
                  </w:r>
                </w:p>
                <w:p>
                  <w:pPr>
                    <w:keepNext w:val="0"/>
                    <w:keepLines w:val="0"/>
                    <w:pageBreakBefore w:val="0"/>
                    <w:widowControl w:val="0"/>
                    <w:kinsoku/>
                    <w:wordWrap/>
                    <w:overflowPunct/>
                    <w:topLinePunct w:val="0"/>
                    <w:autoSpaceDE/>
                    <w:autoSpaceDN/>
                    <w:bidi w:val="0"/>
                    <w:adjustRightInd/>
                    <w:snapToGrid/>
                    <w:jc w:val="both"/>
                    <w:textAlignment w:val="auto"/>
                    <w:rPr>
                      <w:color w:val="000000"/>
                      <w:szCs w:val="21"/>
                      <w:shd w:val="clear" w:color="auto" w:fill="FFFFFF"/>
                    </w:rPr>
                  </w:pPr>
                  <w:r>
                    <w:rPr>
                      <w:rFonts w:hint="eastAsia"/>
                      <w:color w:val="000000"/>
                      <w:szCs w:val="21"/>
                      <w:shd w:val="clear" w:color="auto" w:fill="FFFFFF"/>
                    </w:rPr>
                    <w:t>废 气 排 放 应 符 合 《 大 气 污 染 物 综 合 排 放 标 准 》（ GB16297-1996）。有机废气收集率达到 80%以上，主要污染物治理率达到 90%以上，废气处理达标后通过</w:t>
                  </w:r>
                  <w:r>
                    <w:rPr>
                      <w:rFonts w:hint="eastAsia"/>
                      <w:color w:val="000000"/>
                      <w:szCs w:val="21"/>
                      <w:shd w:val="clear" w:color="auto" w:fill="FFFFFF"/>
                      <w:lang w:val="en-US" w:eastAsia="zh-CN"/>
                    </w:rPr>
                    <w:t>15</w:t>
                  </w:r>
                  <w:r>
                    <w:rPr>
                      <w:rFonts w:hint="eastAsia"/>
                      <w:color w:val="000000"/>
                      <w:szCs w:val="21"/>
                      <w:shd w:val="clear" w:color="auto" w:fill="FFFFFF"/>
                    </w:rPr>
                    <w:t>米以上排气筒高空排放。</w:t>
                  </w:r>
                </w:p>
              </w:tc>
              <w:tc>
                <w:tcPr>
                  <w:tcW w:w="3914" w:type="dxa"/>
                  <w:noWrap w:val="0"/>
                  <w:vAlign w:val="center"/>
                </w:tcPr>
                <w:p>
                  <w:pPr>
                    <w:rPr>
                      <w:rFonts w:hint="default" w:eastAsia="宋体"/>
                      <w:color w:val="000000"/>
                      <w:szCs w:val="21"/>
                      <w:lang w:val="en-US" w:eastAsia="zh-CN"/>
                    </w:rPr>
                  </w:pPr>
                  <w:r>
                    <w:rPr>
                      <w:rFonts w:hint="eastAsia"/>
                      <w:color w:val="000000"/>
                      <w:szCs w:val="21"/>
                      <w:lang w:eastAsia="zh-CN"/>
                    </w:rPr>
                    <w:t>本项目加弹废气排放符合《 大 气 污 染 物 综 合 排 放 标 准 》（ GB16297-1996）；有机废气排放符合《纺织染整工业大气污染物排放标准》（DB33/962-2015）表 1“新建企业排放限值”。有机废气收集率达到 80%以上，主要污染物治理率达到 90%以上，废气处理达标后通过</w:t>
                  </w:r>
                  <w:r>
                    <w:rPr>
                      <w:rFonts w:hint="eastAsia"/>
                      <w:color w:val="000000"/>
                      <w:szCs w:val="21"/>
                      <w:lang w:val="en-US" w:eastAsia="zh-CN"/>
                    </w:rPr>
                    <w:t>20</w:t>
                  </w:r>
                  <w:r>
                    <w:rPr>
                      <w:rFonts w:hint="eastAsia"/>
                      <w:color w:val="000000"/>
                      <w:szCs w:val="21"/>
                      <w:lang w:eastAsia="zh-CN"/>
                    </w:rPr>
                    <w:t>米排气筒高空排放</w:t>
                  </w:r>
                  <w:r>
                    <w:rPr>
                      <w:rFonts w:hint="eastAsia"/>
                      <w:color w:val="000000"/>
                      <w:szCs w:val="21"/>
                      <w:lang w:val="en-US" w:eastAsia="zh-CN"/>
                    </w:rPr>
                    <w:t>.</w:t>
                  </w:r>
                </w:p>
              </w:tc>
              <w:tc>
                <w:tcPr>
                  <w:tcW w:w="1236"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vMerge w:val="continue"/>
                  <w:noWrap w:val="0"/>
                  <w:vAlign w:val="center"/>
                </w:tcPr>
                <w:p>
                  <w:pPr>
                    <w:jc w:val="center"/>
                    <w:rPr>
                      <w:color w:val="000000"/>
                      <w:szCs w:val="21"/>
                    </w:rPr>
                  </w:pPr>
                </w:p>
              </w:tc>
              <w:tc>
                <w:tcPr>
                  <w:tcW w:w="7524" w:type="dxa"/>
                  <w:noWrap w:val="0"/>
                  <w:vAlign w:val="center"/>
                </w:tcPr>
                <w:p>
                  <w:pPr>
                    <w:numPr>
                      <w:ilvl w:val="0"/>
                      <w:numId w:val="3"/>
                    </w:numPr>
                    <w:rPr>
                      <w:rFonts w:hint="default"/>
                      <w:lang w:val="en-US" w:eastAsia="zh-CN"/>
                    </w:rPr>
                  </w:pPr>
                  <w:r>
                    <w:rPr>
                      <w:rFonts w:hint="eastAsia"/>
                      <w:lang w:val="en-US" w:eastAsia="zh-CN"/>
                    </w:rPr>
                    <w:t>、固废、噪声污染防治</w:t>
                  </w:r>
                </w:p>
                <w:p>
                  <w:pPr>
                    <w:rPr>
                      <w:rFonts w:hint="eastAsia" w:eastAsia="宋体"/>
                      <w:color w:val="000000"/>
                      <w:szCs w:val="21"/>
                      <w:shd w:val="clear" w:color="auto" w:fill="FFFFFF"/>
                      <w:lang w:eastAsia="zh-CN"/>
                    </w:rPr>
                  </w:pPr>
                  <w:r>
                    <w:rPr>
                      <w:rFonts w:hint="eastAsia"/>
                      <w:color w:val="000000"/>
                      <w:szCs w:val="21"/>
                      <w:shd w:val="clear" w:color="auto" w:fill="FFFFFF"/>
                    </w:rPr>
                    <w:t>产生高噪声的设备或车间远离居民区，优先选用低噪声设备，并设置隔声、吸声、减振等措施，厂界噪声符合《工业企业厂界噪声标准》（GB 12348-2008）。企业固废集中收集、分类存放并规范处置，生产过程中更换的过滤网板和活性炭，按照危险废物管理要求委托相应资质单位处置</w:t>
                  </w:r>
                  <w:r>
                    <w:rPr>
                      <w:rFonts w:hint="eastAsia"/>
                      <w:color w:val="000000"/>
                      <w:szCs w:val="21"/>
                      <w:shd w:val="clear" w:color="auto" w:fill="FFFFFF"/>
                      <w:lang w:eastAsia="zh-CN"/>
                    </w:rPr>
                    <w:t>。</w:t>
                  </w:r>
                </w:p>
              </w:tc>
              <w:tc>
                <w:tcPr>
                  <w:tcW w:w="3914" w:type="dxa"/>
                  <w:noWrap w:val="0"/>
                  <w:vAlign w:val="center"/>
                </w:tcPr>
                <w:p>
                  <w:pPr>
                    <w:rPr>
                      <w:rFonts w:hint="eastAsia" w:eastAsia="宋体"/>
                      <w:color w:val="000000"/>
                      <w:szCs w:val="21"/>
                      <w:lang w:eastAsia="zh-CN"/>
                    </w:rPr>
                  </w:pPr>
                  <w:r>
                    <w:rPr>
                      <w:rFonts w:hint="eastAsia"/>
                      <w:color w:val="000000"/>
                      <w:szCs w:val="21"/>
                      <w:lang w:eastAsia="zh-CN"/>
                    </w:rPr>
                    <w:t>企业对喷水织机放置于厂区中部，</w:t>
                  </w:r>
                  <w:r>
                    <w:rPr>
                      <w:rFonts w:hint="eastAsia"/>
                      <w:color w:val="000000"/>
                      <w:szCs w:val="21"/>
                    </w:rPr>
                    <w:t>远离居民区，优先选用低噪声设备，并设置隔声、吸声、减振等措施，厂界噪声符合《工业企业厂界噪声标准》（GB 12348-2008）。企业固废集中收集、分类存放并规范处置，生产过程中更换的过滤网板和活性炭，按照危险废物管理要求委托相应资质单位处置</w:t>
                  </w:r>
                  <w:r>
                    <w:rPr>
                      <w:rFonts w:hint="eastAsia"/>
                      <w:color w:val="000000"/>
                      <w:szCs w:val="21"/>
                      <w:lang w:eastAsia="zh-CN"/>
                    </w:rPr>
                    <w:t>。</w:t>
                  </w:r>
                </w:p>
              </w:tc>
              <w:tc>
                <w:tcPr>
                  <w:tcW w:w="1236" w:type="dxa"/>
                  <w:noWrap w:val="0"/>
                  <w:vAlign w:val="center"/>
                </w:tcPr>
                <w:p>
                  <w:pPr>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noWrap w:val="0"/>
                  <w:vAlign w:val="center"/>
                </w:tcPr>
                <w:p>
                  <w:pPr>
                    <w:jc w:val="center"/>
                    <w:rPr>
                      <w:rFonts w:hint="eastAsia" w:eastAsia="宋体"/>
                      <w:color w:val="000000"/>
                      <w:szCs w:val="21"/>
                      <w:lang w:val="en-US" w:eastAsia="zh-CN"/>
                    </w:rPr>
                  </w:pPr>
                  <w:r>
                    <w:rPr>
                      <w:rFonts w:hint="eastAsia"/>
                      <w:color w:val="000000"/>
                      <w:szCs w:val="21"/>
                      <w:lang w:val="en-US" w:eastAsia="zh-CN"/>
                    </w:rPr>
                    <w:t>5</w:t>
                  </w:r>
                </w:p>
              </w:tc>
              <w:tc>
                <w:tcPr>
                  <w:tcW w:w="7524" w:type="dxa"/>
                  <w:noWrap w:val="0"/>
                  <w:vAlign w:val="center"/>
                </w:tcPr>
                <w:p>
                  <w:pPr>
                    <w:numPr>
                      <w:ilvl w:val="0"/>
                      <w:numId w:val="2"/>
                    </w:numPr>
                    <w:rPr>
                      <w:rFonts w:hint="eastAsia"/>
                      <w:lang w:eastAsia="zh-CN"/>
                    </w:rPr>
                  </w:pPr>
                  <w:r>
                    <w:rPr>
                      <w:rFonts w:hint="eastAsia"/>
                      <w:lang w:eastAsia="zh-CN"/>
                    </w:rPr>
                    <w:t>安全生产</w:t>
                  </w:r>
                </w:p>
                <w:p>
                  <w:pPr>
                    <w:rPr>
                      <w:rFonts w:hint="eastAsia" w:eastAsia="宋体"/>
                      <w:color w:val="000000"/>
                      <w:szCs w:val="21"/>
                      <w:shd w:val="clear" w:color="auto" w:fill="FFFFFF"/>
                      <w:lang w:eastAsia="zh-CN"/>
                    </w:rPr>
                  </w:pPr>
                  <w:r>
                    <w:rPr>
                      <w:rFonts w:hint="eastAsia"/>
                      <w:color w:val="000000"/>
                      <w:szCs w:val="21"/>
                      <w:shd w:val="clear" w:color="auto" w:fill="FFFFFF"/>
                    </w:rPr>
                    <w:t>新建、改建、扩建项目按照《建设项目安全设施“三同时”监督管理办法》要求，落实安全“三同时”管理；消防基础设施及配套设施建设符合要求，火灾监测、预警、报警等设施设备规范设置，灭火器材配备符合《建筑灭火器配置设计规范》的规定；机械设备安全防护符合《机械安全 安全防护的实施准则》（GB/T 30574-2014）的规定</w:t>
                  </w:r>
                  <w:r>
                    <w:rPr>
                      <w:rFonts w:hint="eastAsia"/>
                      <w:color w:val="000000"/>
                      <w:szCs w:val="21"/>
                      <w:shd w:val="clear" w:color="auto" w:fill="FFFFFF"/>
                      <w:lang w:eastAsia="zh-CN"/>
                    </w:rPr>
                    <w:t>。</w:t>
                  </w:r>
                </w:p>
              </w:tc>
              <w:tc>
                <w:tcPr>
                  <w:tcW w:w="3914" w:type="dxa"/>
                  <w:noWrap w:val="0"/>
                  <w:vAlign w:val="center"/>
                </w:tcPr>
                <w:p>
                  <w:pPr>
                    <w:rPr>
                      <w:rFonts w:hint="eastAsia"/>
                      <w:color w:val="000000"/>
                      <w:szCs w:val="21"/>
                    </w:rPr>
                  </w:pPr>
                  <w:r>
                    <w:rPr>
                      <w:rFonts w:hint="eastAsia"/>
                      <w:color w:val="000000"/>
                      <w:szCs w:val="21"/>
                      <w:shd w:val="clear" w:color="auto" w:fill="FFFFFF"/>
                      <w:lang w:eastAsia="zh-CN"/>
                    </w:rPr>
                    <w:t>企业将</w:t>
                  </w:r>
                  <w:r>
                    <w:rPr>
                      <w:rFonts w:hint="eastAsia"/>
                      <w:color w:val="000000"/>
                      <w:szCs w:val="21"/>
                      <w:shd w:val="clear" w:color="auto" w:fill="FFFFFF"/>
                    </w:rPr>
                    <w:t>按照《建设项目安全设施“三同时”监督管理办法》要求，落实安全“三同时”管理；消防基础设施及配套设施建设符合要求，火灾监测、预警、报警等设施设备规范设置，灭火器材配备符合《建筑灭火器配置设计规范》的规定；机械设备安全防护符合《机械安全 安全防护的实施准则》（GB/T 30574-2014）的规定</w:t>
                  </w:r>
                  <w:r>
                    <w:rPr>
                      <w:rFonts w:hint="eastAsia"/>
                      <w:color w:val="000000"/>
                      <w:szCs w:val="21"/>
                      <w:shd w:val="clear" w:color="auto" w:fill="FFFFFF"/>
                      <w:lang w:eastAsia="zh-CN"/>
                    </w:rPr>
                    <w:t>。</w:t>
                  </w:r>
                </w:p>
              </w:tc>
              <w:tc>
                <w:tcPr>
                  <w:tcW w:w="1236" w:type="dxa"/>
                  <w:noWrap w:val="0"/>
                  <w:vAlign w:val="center"/>
                </w:tcPr>
                <w:p>
                  <w:pPr>
                    <w:jc w:val="center"/>
                    <w:rPr>
                      <w:rFonts w:hint="eastAsia" w:eastAsia="宋体"/>
                      <w:color w:val="000000"/>
                      <w:szCs w:val="21"/>
                      <w:lang w:eastAsia="zh-CN"/>
                    </w:rPr>
                  </w:pPr>
                  <w:r>
                    <w:rPr>
                      <w:rFonts w:hint="eastAsia"/>
                      <w:color w:val="000000"/>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9" w:type="dxa"/>
                  <w:noWrap w:val="0"/>
                  <w:vAlign w:val="center"/>
                </w:tcPr>
                <w:p>
                  <w:pPr>
                    <w:jc w:val="center"/>
                    <w:rPr>
                      <w:rFonts w:hint="default"/>
                      <w:color w:val="000000"/>
                      <w:szCs w:val="21"/>
                      <w:lang w:val="en-US" w:eastAsia="zh-CN"/>
                    </w:rPr>
                  </w:pPr>
                  <w:r>
                    <w:rPr>
                      <w:rFonts w:hint="eastAsia"/>
                      <w:color w:val="000000"/>
                      <w:szCs w:val="21"/>
                      <w:lang w:val="en-US" w:eastAsia="zh-CN"/>
                    </w:rPr>
                    <w:t>6</w:t>
                  </w:r>
                </w:p>
              </w:tc>
              <w:tc>
                <w:tcPr>
                  <w:tcW w:w="7524" w:type="dxa"/>
                  <w:noWrap w:val="0"/>
                  <w:vAlign w:val="center"/>
                </w:tcPr>
                <w:p>
                  <w:pPr>
                    <w:numPr>
                      <w:ilvl w:val="0"/>
                      <w:numId w:val="2"/>
                    </w:numPr>
                    <w:rPr>
                      <w:rFonts w:hint="eastAsia"/>
                      <w:lang w:eastAsia="zh-CN"/>
                    </w:rPr>
                  </w:pPr>
                  <w:r>
                    <w:rPr>
                      <w:rFonts w:hint="eastAsia"/>
                      <w:lang w:eastAsia="zh-CN"/>
                    </w:rPr>
                    <w:t>现场管理</w:t>
                  </w:r>
                </w:p>
                <w:p>
                  <w:pPr>
                    <w:rPr>
                      <w:rFonts w:hint="eastAsia" w:eastAsia="宋体"/>
                      <w:color w:val="000000"/>
                      <w:szCs w:val="21"/>
                      <w:shd w:val="clear" w:color="auto" w:fill="FFFFFF"/>
                      <w:lang w:eastAsia="zh-CN"/>
                    </w:rPr>
                  </w:pPr>
                  <w:r>
                    <w:rPr>
                      <w:rFonts w:hint="eastAsia"/>
                      <w:color w:val="000000"/>
                      <w:szCs w:val="21"/>
                      <w:shd w:val="clear" w:color="auto" w:fill="FFFFFF"/>
                    </w:rPr>
                    <w:t>按照“整理、整顿、清扫、清洁、素养、安全”要求，实施6S 现场管理，按照生产工序对厂区进行合理划分，对生产现场物品明确标识</w:t>
                  </w:r>
                  <w:r>
                    <w:rPr>
                      <w:rFonts w:hint="eastAsia"/>
                      <w:color w:val="000000"/>
                      <w:szCs w:val="21"/>
                      <w:shd w:val="clear" w:color="auto" w:fill="FFFFFF"/>
                      <w:lang w:eastAsia="zh-CN"/>
                    </w:rPr>
                    <w:t>。</w:t>
                  </w:r>
                </w:p>
              </w:tc>
              <w:tc>
                <w:tcPr>
                  <w:tcW w:w="3914" w:type="dxa"/>
                  <w:noWrap w:val="0"/>
                  <w:vAlign w:val="center"/>
                </w:tcPr>
                <w:p>
                  <w:pPr>
                    <w:rPr>
                      <w:rFonts w:hint="eastAsia" w:eastAsia="宋体"/>
                      <w:color w:val="000000"/>
                      <w:szCs w:val="21"/>
                      <w:lang w:eastAsia="zh-CN"/>
                    </w:rPr>
                  </w:pPr>
                  <w:r>
                    <w:rPr>
                      <w:rFonts w:hint="eastAsia"/>
                      <w:color w:val="000000"/>
                      <w:szCs w:val="21"/>
                      <w:lang w:eastAsia="zh-CN"/>
                    </w:rPr>
                    <w:t>企业将按照“整理、整顿、清扫、清洁、素养、安全”要求，实施6S 现场管理，按照生产工序对厂区进行合理划分，对生产现场物品明确标识。</w:t>
                  </w:r>
                </w:p>
              </w:tc>
              <w:tc>
                <w:tcPr>
                  <w:tcW w:w="1236" w:type="dxa"/>
                  <w:noWrap w:val="0"/>
                  <w:vAlign w:val="center"/>
                </w:tcPr>
                <w:p>
                  <w:pPr>
                    <w:jc w:val="center"/>
                    <w:rPr>
                      <w:rFonts w:hint="eastAsia" w:eastAsia="宋体"/>
                      <w:color w:val="000000"/>
                      <w:szCs w:val="21"/>
                      <w:lang w:eastAsia="zh-CN"/>
                    </w:rPr>
                  </w:pPr>
                  <w:r>
                    <w:rPr>
                      <w:rFonts w:hint="eastAsia"/>
                      <w:color w:val="000000"/>
                      <w:szCs w:val="21"/>
                      <w:lang w:eastAsia="zh-CN"/>
                    </w:rPr>
                    <w:t>符合</w:t>
                  </w:r>
                </w:p>
              </w:tc>
            </w:tr>
          </w:tbl>
          <w:p>
            <w:pPr>
              <w:pStyle w:val="105"/>
              <w:keepNext w:val="0"/>
              <w:keepLines w:val="0"/>
              <w:pageBreakBefore w:val="0"/>
              <w:widowControl/>
              <w:kinsoku/>
              <w:wordWrap/>
              <w:overflowPunct/>
              <w:topLinePunct w:val="0"/>
              <w:autoSpaceDE/>
              <w:autoSpaceDN/>
              <w:bidi w:val="0"/>
              <w:adjustRightInd/>
              <w:snapToGrid/>
              <w:spacing w:before="0" w:line="500" w:lineRule="exact"/>
              <w:ind w:firstLine="480" w:firstLineChars="200"/>
              <w:jc w:val="left"/>
              <w:textAlignment w:val="auto"/>
              <w:rPr>
                <w:rStyle w:val="346"/>
                <w:rFonts w:hint="eastAsia" w:hAnsi="宋体"/>
                <w:color w:val="000000"/>
              </w:rPr>
            </w:pPr>
            <w:r>
              <w:rPr>
                <w:rFonts w:hint="eastAsia"/>
                <w:color w:val="000000"/>
              </w:rPr>
              <w:t>项目符合</w:t>
            </w:r>
            <w:r>
              <w:rPr>
                <w:rFonts w:hint="eastAsia"/>
                <w:color w:val="000000"/>
                <w:lang w:eastAsia="zh-CN"/>
              </w:rPr>
              <w:t>《关于印发长兴县纺织行业改造提升实施方案的通知》</w:t>
            </w:r>
            <w:r>
              <w:rPr>
                <w:rStyle w:val="346"/>
                <w:rFonts w:hint="eastAsia"/>
                <w:color w:val="000000"/>
                <w:lang w:eastAsia="zh-CN"/>
              </w:rPr>
              <w:t>中</w:t>
            </w:r>
            <w:r>
              <w:rPr>
                <w:rStyle w:val="346"/>
                <w:rFonts w:hint="eastAsia" w:hAnsi="宋体"/>
                <w:color w:val="000000"/>
              </w:rPr>
              <w:t>有关要求。</w:t>
            </w:r>
          </w:p>
          <w:p>
            <w:pPr>
              <w:adjustRightInd w:val="0"/>
              <w:snapToGrid w:val="0"/>
              <w:spacing w:line="500" w:lineRule="exact"/>
              <w:ind w:firstLine="482" w:firstLineChars="200"/>
              <w:rPr>
                <w:rFonts w:hint="eastAsia"/>
                <w:b/>
                <w:bCs/>
                <w:snapToGrid w:val="0"/>
                <w:kern w:val="0"/>
                <w:sz w:val="24"/>
                <w:lang w:eastAsia="zh-CN"/>
              </w:rPr>
            </w:pPr>
          </w:p>
          <w:p>
            <w:pPr>
              <w:adjustRightInd w:val="0"/>
              <w:snapToGrid w:val="0"/>
              <w:spacing w:line="500" w:lineRule="exact"/>
              <w:ind w:firstLine="482" w:firstLineChars="200"/>
              <w:rPr>
                <w:rFonts w:hint="eastAsia"/>
                <w:b/>
                <w:bCs/>
                <w:snapToGrid w:val="0"/>
                <w:kern w:val="0"/>
                <w:sz w:val="24"/>
                <w:lang w:eastAsia="zh-CN"/>
              </w:rPr>
            </w:pPr>
          </w:p>
          <w:p>
            <w:pPr>
              <w:adjustRightInd w:val="0"/>
              <w:snapToGrid w:val="0"/>
              <w:spacing w:line="500" w:lineRule="exact"/>
              <w:ind w:firstLine="482" w:firstLineChars="200"/>
              <w:rPr>
                <w:rFonts w:hint="eastAsia"/>
                <w:b/>
                <w:bCs/>
                <w:snapToGrid w:val="0"/>
                <w:kern w:val="0"/>
                <w:sz w:val="24"/>
                <w:lang w:eastAsia="zh-CN"/>
              </w:rPr>
            </w:pPr>
          </w:p>
          <w:p>
            <w:pPr>
              <w:adjustRightInd w:val="0"/>
              <w:snapToGrid w:val="0"/>
              <w:spacing w:line="500" w:lineRule="exact"/>
              <w:ind w:firstLine="482" w:firstLineChars="200"/>
              <w:rPr>
                <w:rFonts w:hint="eastAsia"/>
                <w:b/>
                <w:bCs/>
                <w:snapToGrid w:val="0"/>
                <w:kern w:val="0"/>
                <w:sz w:val="24"/>
                <w:lang w:eastAsia="zh-CN"/>
              </w:rPr>
            </w:pPr>
          </w:p>
          <w:p>
            <w:pPr>
              <w:adjustRightInd w:val="0"/>
              <w:snapToGrid w:val="0"/>
              <w:spacing w:line="500" w:lineRule="exact"/>
              <w:ind w:firstLine="482" w:firstLineChars="200"/>
              <w:rPr>
                <w:rFonts w:hint="eastAsia"/>
                <w:b/>
                <w:bCs/>
                <w:snapToGrid w:val="0"/>
                <w:kern w:val="0"/>
                <w:sz w:val="24"/>
                <w:lang w:eastAsia="zh-CN"/>
              </w:rPr>
            </w:pPr>
          </w:p>
          <w:p>
            <w:pPr>
              <w:adjustRightInd w:val="0"/>
              <w:snapToGrid w:val="0"/>
              <w:spacing w:line="500" w:lineRule="exact"/>
              <w:ind w:firstLine="482" w:firstLineChars="200"/>
              <w:rPr>
                <w:rFonts w:hint="eastAsia"/>
                <w:b/>
                <w:bCs/>
                <w:snapToGrid w:val="0"/>
                <w:kern w:val="0"/>
                <w:sz w:val="24"/>
                <w:lang w:eastAsia="zh-CN"/>
              </w:rPr>
            </w:pPr>
          </w:p>
          <w:p>
            <w:pPr>
              <w:adjustRightInd w:val="0"/>
              <w:snapToGrid w:val="0"/>
              <w:spacing w:line="500" w:lineRule="exact"/>
              <w:ind w:firstLine="482" w:firstLineChars="200"/>
              <w:rPr>
                <w:rFonts w:hint="eastAsia"/>
                <w:b/>
                <w:bCs/>
                <w:snapToGrid w:val="0"/>
                <w:kern w:val="0"/>
                <w:sz w:val="24"/>
                <w:lang w:eastAsia="zh-CN"/>
              </w:rPr>
            </w:pPr>
          </w:p>
          <w:p>
            <w:pPr>
              <w:adjustRightInd w:val="0"/>
              <w:snapToGrid w:val="0"/>
              <w:spacing w:line="500" w:lineRule="exact"/>
              <w:ind w:firstLine="482" w:firstLineChars="200"/>
              <w:rPr>
                <w:rFonts w:hint="eastAsia"/>
                <w:b/>
                <w:bCs/>
                <w:snapToGrid w:val="0"/>
                <w:kern w:val="0"/>
                <w:sz w:val="24"/>
                <w:lang w:eastAsia="zh-CN"/>
              </w:rPr>
            </w:pPr>
          </w:p>
          <w:p>
            <w:pPr>
              <w:adjustRightInd w:val="0"/>
              <w:snapToGrid w:val="0"/>
              <w:spacing w:line="500" w:lineRule="exact"/>
              <w:ind w:firstLine="482" w:firstLineChars="200"/>
              <w:rPr>
                <w:rFonts w:hint="eastAsia"/>
                <w:b/>
                <w:bCs/>
                <w:snapToGrid w:val="0"/>
                <w:kern w:val="0"/>
                <w:sz w:val="24"/>
                <w:lang w:eastAsia="zh-CN"/>
              </w:rPr>
            </w:pPr>
          </w:p>
          <w:p>
            <w:pPr>
              <w:adjustRightInd w:val="0"/>
              <w:snapToGrid w:val="0"/>
              <w:spacing w:line="500" w:lineRule="exact"/>
              <w:ind w:firstLine="482" w:firstLineChars="200"/>
              <w:rPr>
                <w:rFonts w:hint="eastAsia" w:eastAsia="宋体"/>
                <w:b/>
                <w:bCs/>
                <w:snapToGrid w:val="0"/>
                <w:kern w:val="0"/>
                <w:sz w:val="24"/>
                <w:lang w:eastAsia="zh-CN"/>
              </w:rPr>
            </w:pPr>
          </w:p>
        </w:tc>
      </w:tr>
    </w:tbl>
    <w:p>
      <w:pPr>
        <w:rPr>
          <w:rFonts w:hint="eastAsia" w:eastAsia="宋体"/>
          <w:lang w:eastAsia="zh-CN"/>
        </w:rPr>
        <w:sectPr>
          <w:pgSz w:w="16838" w:h="11906" w:orient="landscape"/>
          <w:pgMar w:top="1587" w:right="1587" w:bottom="1587" w:left="1587" w:header="851" w:footer="992" w:gutter="0"/>
          <w:pgBorders>
            <w:top w:val="none" w:sz="0" w:space="0"/>
            <w:left w:val="none" w:sz="0" w:space="0"/>
            <w:bottom w:val="none" w:sz="0" w:space="0"/>
            <w:right w:val="none" w:sz="0" w:space="0"/>
          </w:pgBorders>
          <w:cols w:space="0" w:num="1"/>
          <w:rtlGutter w:val="0"/>
          <w:docGrid w:linePitch="312" w:charSpace="0"/>
        </w:sectPr>
      </w:pPr>
    </w:p>
    <w:p>
      <w:pPr>
        <w:spacing w:line="500" w:lineRule="exact"/>
        <w:jc w:val="center"/>
        <w:outlineLvl w:val="0"/>
        <w:rPr>
          <w:rFonts w:ascii="黑体" w:hAnsi="黑体" w:eastAsia="黑体"/>
          <w:sz w:val="28"/>
          <w:szCs w:val="28"/>
        </w:rPr>
      </w:pPr>
      <w:r>
        <w:rPr>
          <w:rFonts w:ascii="黑体" w:hAnsi="黑体" w:eastAsia="黑体"/>
          <w:sz w:val="28"/>
          <w:szCs w:val="28"/>
        </w:rPr>
        <w:t>二、建设项目工程分析</w:t>
      </w:r>
      <w:bookmarkEnd w:id="1"/>
      <w:bookmarkEnd w:id="2"/>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2"/>
        <w:gridCol w:w="8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8" w:hRule="atLeast"/>
          <w:jc w:val="center"/>
        </w:trPr>
        <w:tc>
          <w:tcPr>
            <w:tcW w:w="412" w:type="dxa"/>
            <w:noWrap/>
            <w:tcMar>
              <w:top w:w="0" w:type="dxa"/>
              <w:left w:w="108" w:type="dxa"/>
              <w:bottom w:w="0" w:type="dxa"/>
              <w:right w:w="108" w:type="dxa"/>
            </w:tcMar>
            <w:vAlign w:val="center"/>
          </w:tcPr>
          <w:p>
            <w:pPr>
              <w:widowControl/>
              <w:wordWrap w:val="0"/>
              <w:jc w:val="center"/>
              <w:rPr>
                <w:b/>
                <w:bCs/>
                <w:kern w:val="0"/>
                <w:sz w:val="24"/>
              </w:rPr>
            </w:pPr>
            <w:r>
              <w:rPr>
                <w:rFonts w:hAnsi="宋体"/>
                <w:b/>
                <w:bCs/>
                <w:kern w:val="0"/>
                <w:sz w:val="24"/>
              </w:rPr>
              <w:t>建设内容</w:t>
            </w:r>
          </w:p>
        </w:tc>
        <w:tc>
          <w:tcPr>
            <w:tcW w:w="8659" w:type="dxa"/>
            <w:noWrap/>
            <w:tcMar>
              <w:top w:w="0" w:type="dxa"/>
              <w:left w:w="108" w:type="dxa"/>
              <w:bottom w:w="0" w:type="dxa"/>
              <w:right w:w="108" w:type="dxa"/>
            </w:tcMar>
            <w:vAlign w:val="center"/>
          </w:tcPr>
          <w:p>
            <w:pPr>
              <w:pStyle w:val="2"/>
              <w:keepNext/>
              <w:pageBreakBefore w:val="0"/>
              <w:spacing w:line="500" w:lineRule="exact"/>
              <w:rPr>
                <w:bCs/>
                <w:color w:val="auto"/>
              </w:rPr>
            </w:pPr>
            <w:bookmarkStart w:id="3" w:name="_Toc16870"/>
            <w:bookmarkStart w:id="4" w:name="_Toc6376"/>
            <w:r>
              <w:rPr>
                <w:bCs/>
                <w:color w:val="auto"/>
              </w:rPr>
              <w:t xml:space="preserve">2.1 </w:t>
            </w:r>
            <w:r>
              <w:rPr>
                <w:rFonts w:hAnsi="宋体"/>
                <w:bCs/>
                <w:color w:val="auto"/>
              </w:rPr>
              <w:t>工程内容及规模</w:t>
            </w:r>
            <w:bookmarkEnd w:id="3"/>
            <w:bookmarkEnd w:id="4"/>
          </w:p>
          <w:p>
            <w:pPr>
              <w:pStyle w:val="5"/>
              <w:spacing w:line="500" w:lineRule="exact"/>
              <w:ind w:firstLine="0" w:firstLineChars="0"/>
              <w:rPr>
                <w:b/>
                <w:bCs/>
              </w:rPr>
            </w:pPr>
            <w:bookmarkStart w:id="5" w:name="_Toc23116"/>
            <w:r>
              <w:rPr>
                <w:b/>
                <w:bCs/>
              </w:rPr>
              <w:t xml:space="preserve">2.1.1 </w:t>
            </w:r>
            <w:r>
              <w:rPr>
                <w:rFonts w:hAnsi="宋体"/>
                <w:b/>
                <w:bCs/>
              </w:rPr>
              <w:t>项目概况</w:t>
            </w:r>
            <w:bookmarkEnd w:id="5"/>
          </w:p>
          <w:p>
            <w:pPr>
              <w:spacing w:line="500" w:lineRule="exact"/>
              <w:ind w:firstLine="472" w:firstLineChars="200"/>
              <w:rPr>
                <w:rFonts w:hint="eastAsia"/>
                <w:sz w:val="24"/>
              </w:rPr>
            </w:pPr>
            <w:r>
              <w:rPr>
                <w:rFonts w:hint="eastAsia" w:hAnsi="宋体"/>
                <w:color w:val="auto"/>
                <w:spacing w:val="-2"/>
                <w:sz w:val="24"/>
              </w:rPr>
              <w:t>长兴钱宇纺织有限公司位于浙江省长兴县虹星桥镇工业集中区，</w:t>
            </w:r>
            <w:r>
              <w:rPr>
                <w:rFonts w:hint="eastAsia" w:hAnsi="宋体"/>
                <w:color w:val="auto"/>
                <w:spacing w:val="-2"/>
                <w:sz w:val="24"/>
                <w:lang w:eastAsia="zh-CN"/>
              </w:rPr>
              <w:t>是一家专业从事化纤纺织生产的企业，</w:t>
            </w:r>
            <w:r>
              <w:rPr>
                <w:rFonts w:hint="eastAsia"/>
                <w:sz w:val="24"/>
              </w:rPr>
              <w:t>企业</w:t>
            </w:r>
            <w:r>
              <w:rPr>
                <w:rFonts w:hint="eastAsia"/>
                <w:sz w:val="24"/>
                <w:lang w:eastAsia="zh-CN"/>
              </w:rPr>
              <w:t>至今为止</w:t>
            </w:r>
            <w:r>
              <w:rPr>
                <w:rFonts w:hint="eastAsia"/>
                <w:sz w:val="24"/>
              </w:rPr>
              <w:t>履行</w:t>
            </w:r>
            <w:r>
              <w:rPr>
                <w:rFonts w:hint="eastAsia"/>
                <w:sz w:val="24"/>
                <w:lang w:eastAsia="zh-CN"/>
              </w:rPr>
              <w:t>的</w:t>
            </w:r>
            <w:r>
              <w:rPr>
                <w:rFonts w:hint="eastAsia"/>
                <w:sz w:val="24"/>
              </w:rPr>
              <w:t>环境影响评价、竣工环境保护验收情况见表</w:t>
            </w:r>
            <w:r>
              <w:rPr>
                <w:rFonts w:hint="eastAsia"/>
                <w:sz w:val="24"/>
                <w:lang w:val="en-US" w:eastAsia="zh-CN"/>
              </w:rPr>
              <w:t>2</w:t>
            </w:r>
            <w:r>
              <w:rPr>
                <w:rFonts w:hint="eastAsia"/>
                <w:sz w:val="24"/>
              </w:rPr>
              <w:t>.2-1。</w:t>
            </w:r>
          </w:p>
          <w:p>
            <w:pPr>
              <w:spacing w:line="460" w:lineRule="exact"/>
              <w:jc w:val="center"/>
              <w:rPr>
                <w:b/>
                <w:szCs w:val="21"/>
              </w:rPr>
            </w:pPr>
            <w:r>
              <w:rPr>
                <w:b/>
                <w:szCs w:val="21"/>
              </w:rPr>
              <w:t>表</w:t>
            </w:r>
            <w:r>
              <w:rPr>
                <w:rFonts w:hint="eastAsia"/>
                <w:b/>
                <w:szCs w:val="21"/>
                <w:lang w:val="en-US" w:eastAsia="zh-CN"/>
              </w:rPr>
              <w:t>2</w:t>
            </w:r>
            <w:r>
              <w:rPr>
                <w:rFonts w:hint="eastAsia"/>
                <w:b/>
                <w:szCs w:val="21"/>
              </w:rPr>
              <w:t>.2-1</w:t>
            </w:r>
            <w:r>
              <w:rPr>
                <w:b/>
                <w:szCs w:val="21"/>
              </w:rPr>
              <w:t xml:space="preserve"> 企业历年申报项目</w:t>
            </w:r>
            <w:r>
              <w:rPr>
                <w:rFonts w:hint="eastAsia"/>
                <w:b/>
                <w:szCs w:val="21"/>
              </w:rPr>
              <w:t>环评、验收情况</w:t>
            </w:r>
            <w:r>
              <w:rPr>
                <w:b/>
                <w:szCs w:val="21"/>
              </w:rPr>
              <w:t>一览表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409"/>
              <w:gridCol w:w="1268"/>
              <w:gridCol w:w="1606"/>
              <w:gridCol w:w="1423"/>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 w:type="dxa"/>
                  <w:noWrap w:val="0"/>
                  <w:vAlign w:val="center"/>
                </w:tcPr>
                <w:p>
                  <w:pPr>
                    <w:jc w:val="center"/>
                    <w:rPr>
                      <w:bCs/>
                      <w:szCs w:val="21"/>
                    </w:rPr>
                  </w:pPr>
                  <w:r>
                    <w:rPr>
                      <w:bCs/>
                      <w:szCs w:val="21"/>
                    </w:rPr>
                    <w:t>序号</w:t>
                  </w:r>
                </w:p>
              </w:tc>
              <w:tc>
                <w:tcPr>
                  <w:tcW w:w="1458" w:type="dxa"/>
                  <w:noWrap w:val="0"/>
                  <w:vAlign w:val="center"/>
                </w:tcPr>
                <w:p>
                  <w:pPr>
                    <w:jc w:val="center"/>
                    <w:rPr>
                      <w:bCs/>
                      <w:szCs w:val="21"/>
                    </w:rPr>
                  </w:pPr>
                  <w:r>
                    <w:rPr>
                      <w:bCs/>
                      <w:szCs w:val="21"/>
                    </w:rPr>
                    <w:t>项目名称</w:t>
                  </w:r>
                </w:p>
              </w:tc>
              <w:tc>
                <w:tcPr>
                  <w:tcW w:w="1311" w:type="dxa"/>
                  <w:noWrap w:val="0"/>
                  <w:vAlign w:val="center"/>
                </w:tcPr>
                <w:p>
                  <w:pPr>
                    <w:jc w:val="center"/>
                    <w:rPr>
                      <w:bCs/>
                      <w:szCs w:val="21"/>
                    </w:rPr>
                  </w:pPr>
                  <w:r>
                    <w:rPr>
                      <w:bCs/>
                      <w:szCs w:val="21"/>
                    </w:rPr>
                    <w:t>审批文号</w:t>
                  </w:r>
                </w:p>
              </w:tc>
              <w:tc>
                <w:tcPr>
                  <w:tcW w:w="1663" w:type="dxa"/>
                  <w:noWrap w:val="0"/>
                  <w:vAlign w:val="center"/>
                </w:tcPr>
                <w:p>
                  <w:pPr>
                    <w:jc w:val="center"/>
                    <w:rPr>
                      <w:bCs/>
                      <w:szCs w:val="21"/>
                    </w:rPr>
                  </w:pPr>
                  <w:r>
                    <w:rPr>
                      <w:bCs/>
                      <w:szCs w:val="21"/>
                    </w:rPr>
                    <w:t>实施地点</w:t>
                  </w:r>
                </w:p>
              </w:tc>
              <w:tc>
                <w:tcPr>
                  <w:tcW w:w="1473" w:type="dxa"/>
                  <w:noWrap w:val="0"/>
                  <w:vAlign w:val="center"/>
                </w:tcPr>
                <w:p>
                  <w:pPr>
                    <w:jc w:val="center"/>
                    <w:rPr>
                      <w:bCs/>
                      <w:szCs w:val="21"/>
                    </w:rPr>
                  </w:pPr>
                  <w:r>
                    <w:rPr>
                      <w:bCs/>
                      <w:szCs w:val="21"/>
                    </w:rPr>
                    <w:t>实际产能</w:t>
                  </w:r>
                </w:p>
              </w:tc>
              <w:tc>
                <w:tcPr>
                  <w:tcW w:w="1818" w:type="dxa"/>
                  <w:noWrap w:val="0"/>
                  <w:vAlign w:val="center"/>
                </w:tcPr>
                <w:p>
                  <w:pPr>
                    <w:jc w:val="center"/>
                    <w:rPr>
                      <w:rFonts w:hint="eastAsia"/>
                      <w:bCs/>
                      <w:szCs w:val="21"/>
                    </w:rPr>
                  </w:pPr>
                  <w:r>
                    <w:rPr>
                      <w:bCs/>
                      <w:szCs w:val="21"/>
                    </w:rPr>
                    <w:t>验收</w:t>
                  </w:r>
                  <w:r>
                    <w:rPr>
                      <w:rFonts w:hint="eastAsia"/>
                      <w:bCs/>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 w:type="dxa"/>
                  <w:noWrap w:val="0"/>
                  <w:vAlign w:val="center"/>
                </w:tcPr>
                <w:p>
                  <w:pPr>
                    <w:jc w:val="center"/>
                    <w:rPr>
                      <w:szCs w:val="21"/>
                    </w:rPr>
                  </w:pPr>
                  <w:r>
                    <w:rPr>
                      <w:szCs w:val="21"/>
                    </w:rPr>
                    <w:t>1</w:t>
                  </w:r>
                </w:p>
              </w:tc>
              <w:tc>
                <w:tcPr>
                  <w:tcW w:w="1458" w:type="dxa"/>
                  <w:noWrap w:val="0"/>
                  <w:vAlign w:val="center"/>
                </w:tcPr>
                <w:p>
                  <w:pPr>
                    <w:rPr>
                      <w:szCs w:val="21"/>
                    </w:rPr>
                  </w:pPr>
                  <w:r>
                    <w:rPr>
                      <w:rFonts w:hint="eastAsia"/>
                      <w:szCs w:val="21"/>
                    </w:rPr>
                    <w:t>年加工经编丝绒3600吨项目</w:t>
                  </w:r>
                </w:p>
              </w:tc>
              <w:tc>
                <w:tcPr>
                  <w:tcW w:w="1311" w:type="dxa"/>
                  <w:noWrap w:val="0"/>
                  <w:vAlign w:val="center"/>
                </w:tcPr>
                <w:p>
                  <w:pPr>
                    <w:jc w:val="center"/>
                    <w:rPr>
                      <w:szCs w:val="21"/>
                    </w:rPr>
                  </w:pPr>
                  <w:r>
                    <w:rPr>
                      <w:rFonts w:hint="eastAsia"/>
                      <w:szCs w:val="21"/>
                    </w:rPr>
                    <w:t>长环管[2011]723号</w:t>
                  </w:r>
                </w:p>
              </w:tc>
              <w:tc>
                <w:tcPr>
                  <w:tcW w:w="1663" w:type="dxa"/>
                  <w:noWrap w:val="0"/>
                  <w:vAlign w:val="center"/>
                </w:tcPr>
                <w:p>
                  <w:pPr>
                    <w:rPr>
                      <w:szCs w:val="21"/>
                    </w:rPr>
                  </w:pPr>
                  <w:r>
                    <w:rPr>
                      <w:rFonts w:hint="eastAsia"/>
                      <w:szCs w:val="21"/>
                    </w:rPr>
                    <w:t>浙江省长兴县虹星桥镇工业集中区</w:t>
                  </w:r>
                </w:p>
              </w:tc>
              <w:tc>
                <w:tcPr>
                  <w:tcW w:w="1473" w:type="dxa"/>
                  <w:noWrap w:val="0"/>
                  <w:vAlign w:val="center"/>
                </w:tcPr>
                <w:p>
                  <w:pPr>
                    <w:jc w:val="center"/>
                    <w:rPr>
                      <w:rFonts w:hint="eastAsia" w:eastAsia="宋体"/>
                      <w:szCs w:val="21"/>
                      <w:lang w:eastAsia="zh-CN"/>
                    </w:rPr>
                  </w:pPr>
                  <w:r>
                    <w:rPr>
                      <w:rFonts w:hint="eastAsia"/>
                      <w:szCs w:val="21"/>
                      <w:lang w:eastAsia="zh-CN"/>
                    </w:rPr>
                    <w:t>目前已放弃生产</w:t>
                  </w:r>
                </w:p>
              </w:tc>
              <w:tc>
                <w:tcPr>
                  <w:tcW w:w="1818" w:type="dxa"/>
                  <w:noWrap w:val="0"/>
                  <w:vAlign w:val="center"/>
                </w:tcPr>
                <w:p>
                  <w:pPr>
                    <w:jc w:val="center"/>
                    <w:rPr>
                      <w:rFonts w:hint="eastAsia" w:eastAsia="宋体"/>
                      <w:szCs w:val="21"/>
                      <w:lang w:eastAsia="zh-CN"/>
                    </w:rPr>
                  </w:pPr>
                  <w:r>
                    <w:rPr>
                      <w:rFonts w:hint="eastAsia"/>
                      <w:szCs w:val="21"/>
                      <w:lang w:eastAsia="zh-CN"/>
                    </w:rPr>
                    <w:t>未验收</w:t>
                  </w:r>
                </w:p>
              </w:tc>
            </w:tr>
          </w:tbl>
          <w:p>
            <w:pPr>
              <w:spacing w:line="500" w:lineRule="exact"/>
              <w:ind w:firstLine="472" w:firstLineChars="200"/>
              <w:rPr>
                <w:color w:val="auto"/>
                <w:spacing w:val="-2"/>
                <w:sz w:val="24"/>
              </w:rPr>
            </w:pPr>
            <w:r>
              <w:rPr>
                <w:rFonts w:hint="eastAsia" w:hAnsi="宋体"/>
                <w:color w:val="auto"/>
                <w:spacing w:val="-2"/>
                <w:sz w:val="24"/>
                <w:lang w:val="en-US" w:eastAsia="zh-CN"/>
              </w:rPr>
              <w:t>2</w:t>
            </w:r>
            <w:r>
              <w:rPr>
                <w:rFonts w:hint="eastAsia" w:hAnsi="宋体"/>
                <w:color w:val="auto"/>
                <w:spacing w:val="-2"/>
                <w:sz w:val="24"/>
              </w:rPr>
              <w:t>015年6月</w:t>
            </w:r>
            <w:r>
              <w:rPr>
                <w:rFonts w:hint="eastAsia" w:hAnsi="宋体"/>
                <w:color w:val="auto"/>
                <w:spacing w:val="-2"/>
                <w:sz w:val="24"/>
                <w:lang w:eastAsia="zh-CN"/>
              </w:rPr>
              <w:t>企业</w:t>
            </w:r>
            <w:r>
              <w:rPr>
                <w:rFonts w:hint="eastAsia" w:hAnsi="宋体"/>
                <w:color w:val="auto"/>
                <w:spacing w:val="-2"/>
                <w:sz w:val="24"/>
              </w:rPr>
              <w:t>委托浙江省环境工程有限公司编制《长兴钱宇纺织有限公司环境影响现状评价报告》并通过原长兴县环境保护局和平环保分局备案，文号为长环备[2015]87号。</w:t>
            </w:r>
            <w:r>
              <w:rPr>
                <w:rFonts w:hint="eastAsia" w:hAnsi="宋体"/>
                <w:color w:val="auto"/>
                <w:spacing w:val="-2"/>
                <w:sz w:val="24"/>
                <w:lang w:eastAsia="zh-CN"/>
              </w:rPr>
              <w:t>报告中</w:t>
            </w:r>
            <w:r>
              <w:rPr>
                <w:rFonts w:hint="eastAsia" w:hAnsi="宋体"/>
                <w:color w:val="auto"/>
                <w:spacing w:val="-2"/>
                <w:sz w:val="24"/>
              </w:rPr>
              <w:t>主要</w:t>
            </w:r>
            <w:r>
              <w:rPr>
                <w:rFonts w:hint="eastAsia" w:hAnsi="宋体"/>
                <w:color w:val="auto"/>
                <w:spacing w:val="-2"/>
                <w:sz w:val="24"/>
                <w:lang w:eastAsia="zh-CN"/>
              </w:rPr>
              <w:t>针对全厂现状生产营运情况、污染源强、污染防治情况进行核查，根据核查报告内容及</w:t>
            </w:r>
            <w:r>
              <w:rPr>
                <w:rFonts w:hint="eastAsia" w:hAnsi="宋体"/>
                <w:color w:val="auto"/>
                <w:spacing w:val="-2"/>
                <w:sz w:val="24"/>
              </w:rPr>
              <w:t>长兴县环境保护局和平环保分局</w:t>
            </w:r>
            <w:r>
              <w:rPr>
                <w:rFonts w:hint="eastAsia" w:hAnsi="宋体"/>
                <w:color w:val="auto"/>
                <w:spacing w:val="-2"/>
                <w:sz w:val="24"/>
                <w:lang w:eastAsia="zh-CN"/>
              </w:rPr>
              <w:t>出具的核查意见，企业现状</w:t>
            </w:r>
            <w:r>
              <w:rPr>
                <w:rFonts w:hint="eastAsia" w:hAnsi="宋体"/>
                <w:color w:val="auto"/>
                <w:spacing w:val="-2"/>
                <w:sz w:val="24"/>
              </w:rPr>
              <w:t>生产规模为年产化纤布1500万米</w:t>
            </w:r>
            <w:r>
              <w:rPr>
                <w:rFonts w:hAnsi="宋体"/>
                <w:color w:val="auto"/>
                <w:spacing w:val="-2"/>
                <w:sz w:val="24"/>
              </w:rPr>
              <w:t>。</w:t>
            </w:r>
          </w:p>
          <w:p>
            <w:pPr>
              <w:spacing w:line="500" w:lineRule="exact"/>
              <w:ind w:firstLine="480" w:firstLineChars="200"/>
              <w:rPr>
                <w:rFonts w:hint="eastAsia" w:hAnsi="宋体" w:eastAsia="宋体"/>
                <w:sz w:val="24"/>
                <w:lang w:eastAsia="zh-CN"/>
              </w:rPr>
            </w:pPr>
            <w:r>
              <w:rPr>
                <w:rFonts w:hint="eastAsia" w:hAnsi="宋体"/>
                <w:sz w:val="24"/>
                <w:lang w:eastAsia="zh-CN"/>
              </w:rPr>
              <w:t>企业拟投资5200万元（固定资产投资4700万元），利用存量用地21</w:t>
            </w:r>
            <w:r>
              <w:rPr>
                <w:rFonts w:hint="eastAsia" w:hAnsi="宋体"/>
                <w:sz w:val="24"/>
                <w:lang w:val="en-US" w:eastAsia="zh-CN"/>
              </w:rPr>
              <w:t>.17</w:t>
            </w:r>
            <w:r>
              <w:rPr>
                <w:rFonts w:hint="eastAsia" w:hAnsi="宋体"/>
                <w:sz w:val="24"/>
                <w:lang w:eastAsia="zh-CN"/>
              </w:rPr>
              <w:t>亩，对厂区实施“低改高”，新建厂房</w:t>
            </w:r>
            <w:r>
              <w:rPr>
                <w:rFonts w:hint="eastAsia" w:hAnsi="宋体"/>
                <w:sz w:val="24"/>
                <w:lang w:val="en-US" w:eastAsia="zh-CN"/>
              </w:rPr>
              <w:t>2.1</w:t>
            </w:r>
            <w:r>
              <w:rPr>
                <w:rFonts w:hint="eastAsia" w:hAnsi="宋体"/>
                <w:sz w:val="24"/>
                <w:lang w:eastAsia="zh-CN"/>
              </w:rPr>
              <w:t>万平方米，新增喷水织机97台、整浆并生产线、缝纫机及配套生产设备。达产后，形成年产高档纺织面料3800万米、家纺四件套10万件的生产能力，新增销售收入8000万元，利税1137万元。本项目已在长兴县经济和信息化局备案，项目代码：</w:t>
            </w:r>
            <w:r>
              <w:rPr>
                <w:rFonts w:hint="eastAsia"/>
                <w:bCs/>
                <w:kern w:val="0"/>
                <w:sz w:val="24"/>
                <w:lang w:eastAsia="zh-CN"/>
              </w:rPr>
              <w:t>2205-330522-07-02-540132。</w:t>
            </w:r>
          </w:p>
          <w:p>
            <w:pPr>
              <w:spacing w:line="500" w:lineRule="exact"/>
              <w:ind w:firstLine="480" w:firstLineChars="200"/>
              <w:rPr>
                <w:sz w:val="24"/>
              </w:rPr>
            </w:pPr>
            <w:r>
              <w:rPr>
                <w:rFonts w:hAnsi="宋体"/>
                <w:sz w:val="24"/>
              </w:rPr>
              <w:t>根据《中华人民共和国环境影响评价法》和《国务院关于修改〈建设项目环境保</w:t>
            </w:r>
            <w:r>
              <w:rPr>
                <w:sz w:val="24"/>
              </w:rPr>
              <w:t xml:space="preserve"> </w:t>
            </w:r>
            <w:r>
              <w:rPr>
                <w:rFonts w:hAnsi="宋体"/>
                <w:sz w:val="24"/>
              </w:rPr>
              <w:t>护管理条例〉的决定》（国务院第</w:t>
            </w:r>
            <w:r>
              <w:rPr>
                <w:sz w:val="24"/>
              </w:rPr>
              <w:t>682</w:t>
            </w:r>
            <w:r>
              <w:rPr>
                <w:rFonts w:hAnsi="宋体"/>
                <w:sz w:val="24"/>
              </w:rPr>
              <w:t>号令）等有关规定，建设项目须履行环境影响评价制度。对照《建设项目环境影响评价分类管理名录（</w:t>
            </w:r>
            <w:r>
              <w:rPr>
                <w:sz w:val="24"/>
              </w:rPr>
              <w:t>2021</w:t>
            </w:r>
            <w:r>
              <w:rPr>
                <w:rFonts w:hAnsi="宋体"/>
                <w:sz w:val="24"/>
              </w:rPr>
              <w:t>年版）》（生态环境部</w:t>
            </w:r>
            <w:r>
              <w:rPr>
                <w:sz w:val="24"/>
              </w:rPr>
              <w:t xml:space="preserve"> </w:t>
            </w:r>
            <w:r>
              <w:rPr>
                <w:rFonts w:hAnsi="宋体"/>
                <w:sz w:val="24"/>
              </w:rPr>
              <w:t>部令第</w:t>
            </w:r>
            <w:r>
              <w:rPr>
                <w:sz w:val="24"/>
              </w:rPr>
              <w:t>16</w:t>
            </w:r>
            <w:r>
              <w:rPr>
                <w:rFonts w:hAnsi="宋体"/>
                <w:sz w:val="24"/>
              </w:rPr>
              <w:t>号），项目工艺涉及喷水织机</w:t>
            </w:r>
            <w:r>
              <w:rPr>
                <w:rFonts w:hint="eastAsia" w:hAnsi="宋体"/>
                <w:sz w:val="24"/>
                <w:lang w:eastAsia="zh-CN"/>
              </w:rPr>
              <w:t>工艺</w:t>
            </w:r>
            <w:r>
              <w:rPr>
                <w:rFonts w:hAnsi="宋体"/>
                <w:sz w:val="24"/>
              </w:rPr>
              <w:t>，应编制环境影响报告表，具体见表</w:t>
            </w:r>
            <w:r>
              <w:rPr>
                <w:sz w:val="24"/>
              </w:rPr>
              <w:t>2.1-</w:t>
            </w:r>
            <w:r>
              <w:rPr>
                <w:rFonts w:hint="eastAsia"/>
                <w:sz w:val="24"/>
                <w:lang w:val="en-US" w:eastAsia="zh-CN"/>
              </w:rPr>
              <w:t>2</w:t>
            </w:r>
            <w:r>
              <w:rPr>
                <w:rFonts w:hAnsi="宋体"/>
                <w:sz w:val="24"/>
              </w:rPr>
              <w:t>。</w:t>
            </w:r>
          </w:p>
          <w:p>
            <w:pPr>
              <w:pStyle w:val="3"/>
              <w:spacing w:line="460" w:lineRule="atLeast"/>
              <w:ind w:firstLine="0"/>
              <w:jc w:val="center"/>
              <w:rPr>
                <w:rFonts w:hAnsi="宋体"/>
                <w:b/>
                <w:bCs/>
                <w:szCs w:val="21"/>
              </w:rPr>
            </w:pPr>
          </w:p>
          <w:p>
            <w:pPr>
              <w:pStyle w:val="3"/>
              <w:spacing w:line="460" w:lineRule="atLeast"/>
              <w:ind w:firstLine="0"/>
              <w:jc w:val="center"/>
              <w:rPr>
                <w:rFonts w:hAnsi="宋体"/>
                <w:b/>
                <w:bCs/>
                <w:szCs w:val="21"/>
              </w:rPr>
            </w:pPr>
          </w:p>
          <w:p>
            <w:pPr>
              <w:pStyle w:val="3"/>
              <w:spacing w:line="460" w:lineRule="atLeast"/>
              <w:ind w:firstLine="0"/>
              <w:jc w:val="center"/>
              <w:rPr>
                <w:rFonts w:hAnsi="宋体"/>
                <w:b/>
                <w:bCs/>
                <w:szCs w:val="21"/>
              </w:rPr>
            </w:pPr>
          </w:p>
          <w:p>
            <w:pPr>
              <w:pStyle w:val="3"/>
              <w:spacing w:line="460" w:lineRule="atLeast"/>
              <w:ind w:firstLine="0"/>
              <w:jc w:val="center"/>
              <w:rPr>
                <w:b/>
                <w:bCs/>
                <w:szCs w:val="21"/>
              </w:rPr>
            </w:pPr>
            <w:r>
              <w:rPr>
                <w:rFonts w:hAnsi="宋体"/>
                <w:b/>
                <w:bCs/>
                <w:szCs w:val="21"/>
              </w:rPr>
              <w:t>表</w:t>
            </w:r>
            <w:r>
              <w:rPr>
                <w:b/>
                <w:bCs/>
                <w:szCs w:val="21"/>
              </w:rPr>
              <w:t>2.1-</w:t>
            </w:r>
            <w:r>
              <w:rPr>
                <w:rFonts w:hint="eastAsia"/>
                <w:b/>
                <w:bCs/>
                <w:szCs w:val="21"/>
                <w:lang w:val="en-US" w:eastAsia="zh-CN"/>
              </w:rPr>
              <w:t>2</w:t>
            </w:r>
            <w:r>
              <w:rPr>
                <w:b/>
                <w:bCs/>
                <w:szCs w:val="21"/>
              </w:rPr>
              <w:t xml:space="preserve">  </w:t>
            </w:r>
            <w:r>
              <w:rPr>
                <w:rFonts w:hAnsi="宋体"/>
                <w:b/>
                <w:bCs/>
                <w:szCs w:val="21"/>
              </w:rPr>
              <w:t>建设项目环境影响评价分类管理名录</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3272"/>
              <w:gridCol w:w="2052"/>
              <w:gridCol w:w="170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794" w:type="dxa"/>
                  <w:gridSpan w:val="2"/>
                  <w:shd w:val="clear" w:color="auto" w:fill="auto"/>
                  <w:noWrap/>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3"/>
                    <w:adjustRightInd w:val="0"/>
                    <w:snapToGrid w:val="0"/>
                    <w:ind w:firstLine="0"/>
                    <w:rPr>
                      <w:rFonts w:eastAsiaTheme="minorEastAsia"/>
                      <w:szCs w:val="21"/>
                    </w:rPr>
                  </w:pPr>
                </w:p>
                <w:p>
                  <w:pPr>
                    <w:pStyle w:val="3"/>
                    <w:adjustRightInd w:val="0"/>
                    <w:snapToGrid w:val="0"/>
                    <w:ind w:firstLine="0"/>
                    <mc:AlternateContent>
                      <mc:Choice Requires="wpsCustomData">
                        <wpsCustomData:diagonalParaType/>
                      </mc:Choice>
                    </mc:AlternateContent>
                    <w:rPr>
                      <w:rFonts w:eastAsiaTheme="minorEastAsia"/>
                      <w:szCs w:val="21"/>
                    </w:rPr>
                  </w:pPr>
                  <w:r>
                    <w:rPr>
                      <w:rFonts w:eastAsiaTheme="minorEastAsia"/>
                      <w:szCs w:val="21"/>
                    </w:rPr>
                    <w:t>项目类别</w:t>
                  </w:r>
                </w:p>
                <w:p>
                  <w:pPr>
                    <w:pStyle w:val="3"/>
                    <w:adjustRightInd w:val="0"/>
                    <w:snapToGrid w:val="0"/>
                    <w:ind w:firstLine="840" w:firstLineChars="400"/>
                    <w:rPr>
                      <w:rFonts w:hint="eastAsia" w:eastAsiaTheme="minorEastAsia"/>
                      <w:szCs w:val="21"/>
                      <w:lang w:eastAsia="zh-CN"/>
                    </w:rPr>
                  </w:pPr>
                  <w:r>
                    <w:rPr>
                      <w:rFonts w:hint="eastAsia" w:eastAsiaTheme="minorEastAsia"/>
                      <w:szCs w:val="21"/>
                      <w:lang w:eastAsia="zh-CN"/>
                    </w:rPr>
                    <w:t>环评类别</w:t>
                  </w:r>
                </w:p>
              </w:tc>
              <w:tc>
                <w:tcPr>
                  <w:tcW w:w="2052" w:type="dxa"/>
                  <w:shd w:val="clear" w:color="auto" w:fill="auto"/>
                  <w:noWrap/>
                  <w:vAlign w:val="center"/>
                </w:tcPr>
                <w:p>
                  <w:pPr>
                    <w:pStyle w:val="3"/>
                    <w:adjustRightInd w:val="0"/>
                    <w:snapToGrid w:val="0"/>
                    <w:ind w:firstLine="0"/>
                    <w:jc w:val="center"/>
                    <w:rPr>
                      <w:rFonts w:eastAsiaTheme="minorEastAsia"/>
                      <w:szCs w:val="21"/>
                    </w:rPr>
                  </w:pPr>
                  <w:r>
                    <w:rPr>
                      <w:rFonts w:eastAsiaTheme="minorEastAsia"/>
                      <w:szCs w:val="21"/>
                    </w:rPr>
                    <w:t>报告书</w:t>
                  </w:r>
                </w:p>
              </w:tc>
              <w:tc>
                <w:tcPr>
                  <w:tcW w:w="1704" w:type="dxa"/>
                  <w:shd w:val="clear" w:color="auto" w:fill="BEBEBE"/>
                  <w:noWrap/>
                  <w:vAlign w:val="center"/>
                </w:tcPr>
                <w:p>
                  <w:pPr>
                    <w:pStyle w:val="3"/>
                    <w:adjustRightInd w:val="0"/>
                    <w:snapToGrid w:val="0"/>
                    <w:ind w:firstLine="0"/>
                    <w:jc w:val="center"/>
                    <w:rPr>
                      <w:rFonts w:eastAsiaTheme="minorEastAsia"/>
                      <w:szCs w:val="21"/>
                    </w:rPr>
                  </w:pPr>
                  <w:r>
                    <w:rPr>
                      <w:rFonts w:eastAsiaTheme="minorEastAsia"/>
                      <w:szCs w:val="21"/>
                    </w:rPr>
                    <w:t>报告表</w:t>
                  </w:r>
                </w:p>
              </w:tc>
              <w:tc>
                <w:tcPr>
                  <w:tcW w:w="883" w:type="dxa"/>
                  <w:noWrap/>
                  <w:vAlign w:val="center"/>
                </w:tcPr>
                <w:p>
                  <w:pPr>
                    <w:pStyle w:val="3"/>
                    <w:adjustRightInd w:val="0"/>
                    <w:snapToGrid w:val="0"/>
                    <w:ind w:firstLine="0"/>
                    <w:jc w:val="center"/>
                    <w:rPr>
                      <w:rFonts w:eastAsiaTheme="minorEastAsia"/>
                      <w:szCs w:val="21"/>
                    </w:rPr>
                  </w:pPr>
                  <w:r>
                    <w:rPr>
                      <w:rFonts w:eastAsiaTheme="minorEastAsia"/>
                      <w:szCs w:val="21"/>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33" w:type="dxa"/>
                  <w:gridSpan w:val="5"/>
                  <w:shd w:val="clear" w:color="auto" w:fill="auto"/>
                  <w:noWrap/>
                  <w:vAlign w:val="center"/>
                </w:tcPr>
                <w:p>
                  <w:pPr>
                    <w:pStyle w:val="3"/>
                    <w:adjustRightInd w:val="0"/>
                    <w:snapToGrid w:val="0"/>
                    <w:ind w:firstLine="0"/>
                    <w:jc w:val="left"/>
                    <w:rPr>
                      <w:rFonts w:eastAsiaTheme="minorEastAsia"/>
                      <w:szCs w:val="21"/>
                    </w:rPr>
                  </w:pPr>
                  <w:r>
                    <w:rPr>
                      <w:rFonts w:eastAsiaTheme="minorEastAsia"/>
                      <w:szCs w:val="21"/>
                    </w:rPr>
                    <w:t>十四、纺织业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dxa"/>
                  <w:shd w:val="clear" w:color="auto" w:fill="auto"/>
                  <w:noWrap/>
                  <w:vAlign w:val="center"/>
                </w:tcPr>
                <w:p>
                  <w:pPr>
                    <w:pStyle w:val="3"/>
                    <w:adjustRightInd w:val="0"/>
                    <w:snapToGrid w:val="0"/>
                    <w:ind w:firstLine="0"/>
                    <w:jc w:val="center"/>
                    <w:rPr>
                      <w:rFonts w:eastAsiaTheme="minorEastAsia"/>
                      <w:szCs w:val="21"/>
                    </w:rPr>
                  </w:pPr>
                  <w:r>
                    <w:rPr>
                      <w:rFonts w:eastAsiaTheme="minorEastAsia"/>
                      <w:szCs w:val="21"/>
                    </w:rPr>
                    <w:t>28</w:t>
                  </w:r>
                </w:p>
              </w:tc>
              <w:tc>
                <w:tcPr>
                  <w:tcW w:w="3272" w:type="dxa"/>
                  <w:shd w:val="clear" w:color="auto" w:fill="auto"/>
                  <w:noWrap/>
                  <w:vAlign w:val="center"/>
                </w:tcPr>
                <w:p>
                  <w:pPr>
                    <w:pStyle w:val="3"/>
                    <w:adjustRightInd w:val="0"/>
                    <w:snapToGrid w:val="0"/>
                    <w:ind w:firstLine="0"/>
                    <w:rPr>
                      <w:rFonts w:eastAsiaTheme="minorEastAsia"/>
                      <w:szCs w:val="21"/>
                    </w:rPr>
                  </w:pPr>
                  <w:r>
                    <w:rPr>
                      <w:rFonts w:eastAsiaTheme="minorEastAsia"/>
                      <w:szCs w:val="21"/>
                    </w:rPr>
                    <w:t>棉纺织及印染精加工171；毛纺织及染整精加工172；麻纺织及染整精加工173；丝绢纺织及印染精加工174；化纤织造及印染精加工175；针织或钩针编织物及其制品制造176；家用纺织制成品制造177；产业用纺织制成品制造178</w:t>
                  </w:r>
                </w:p>
              </w:tc>
              <w:tc>
                <w:tcPr>
                  <w:tcW w:w="2052" w:type="dxa"/>
                  <w:shd w:val="clear" w:color="auto" w:fill="auto"/>
                  <w:noWrap/>
                  <w:vAlign w:val="center"/>
                </w:tcPr>
                <w:p>
                  <w:pPr>
                    <w:adjustRightInd w:val="0"/>
                    <w:snapToGrid w:val="0"/>
                    <w:rPr>
                      <w:rFonts w:eastAsiaTheme="minorEastAsia"/>
                      <w:szCs w:val="21"/>
                    </w:rPr>
                  </w:pPr>
                  <w:r>
                    <w:rPr>
                      <w:rFonts w:eastAsiaTheme="minorEastAsia"/>
                      <w:szCs w:val="21"/>
                    </w:rPr>
                    <w:t>有洗毛、脱胶、缫丝工艺的；染整工艺有前处理、染色、印花（喷墨印花和数码印花的除外）工序的；有使用有机溶剂的涂层工艺的</w:t>
                  </w:r>
                </w:p>
              </w:tc>
              <w:tc>
                <w:tcPr>
                  <w:tcW w:w="1704" w:type="dxa"/>
                  <w:shd w:val="clear" w:color="auto" w:fill="BEBEBE"/>
                  <w:noWrap/>
                  <w:vAlign w:val="center"/>
                </w:tcPr>
                <w:p>
                  <w:pPr>
                    <w:pStyle w:val="3"/>
                    <w:adjustRightInd w:val="0"/>
                    <w:snapToGrid w:val="0"/>
                    <w:ind w:firstLine="0"/>
                    <w:rPr>
                      <w:rFonts w:eastAsiaTheme="minorEastAsia"/>
                      <w:szCs w:val="21"/>
                    </w:rPr>
                  </w:pPr>
                  <w:r>
                    <w:rPr>
                      <w:rFonts w:eastAsiaTheme="minorEastAsia"/>
                      <w:szCs w:val="21"/>
                    </w:rPr>
                    <w:t>有喷墨印花或数码印花工艺的；后整理工序涉及有机溶剂的；有喷水织造工艺的；有水刺无纺布织造工艺的</w:t>
                  </w:r>
                </w:p>
              </w:tc>
              <w:tc>
                <w:tcPr>
                  <w:tcW w:w="883" w:type="dxa"/>
                  <w:noWrap/>
                  <w:vAlign w:val="center"/>
                </w:tcPr>
                <w:p>
                  <w:pPr>
                    <w:pStyle w:val="3"/>
                    <w:adjustRightInd w:val="0"/>
                    <w:snapToGrid w:val="0"/>
                    <w:ind w:firstLine="0"/>
                    <w:jc w:val="center"/>
                    <w:rPr>
                      <w:rFonts w:eastAsiaTheme="minorEastAsia"/>
                      <w:szCs w:val="21"/>
                    </w:rPr>
                  </w:pPr>
                  <w:r>
                    <w:rPr>
                      <w:rFonts w:eastAsiaTheme="minorEastAsia"/>
                      <w:szCs w:val="21"/>
                    </w:rPr>
                    <w:t>/</w:t>
                  </w:r>
                </w:p>
              </w:tc>
            </w:tr>
          </w:tbl>
          <w:p>
            <w:pPr>
              <w:spacing w:line="500" w:lineRule="exact"/>
              <w:ind w:firstLine="480" w:firstLineChars="200"/>
              <w:rPr>
                <w:b/>
                <w:bCs/>
                <w:color w:val="auto"/>
                <w:szCs w:val="21"/>
              </w:rPr>
            </w:pPr>
            <w:r>
              <w:rPr>
                <w:rFonts w:hAnsi="宋体"/>
                <w:sz w:val="24"/>
              </w:rPr>
              <w:t>对照《固定污染源排污许可分类管理名录（</w:t>
            </w:r>
            <w:r>
              <w:rPr>
                <w:sz w:val="24"/>
              </w:rPr>
              <w:t>2019</w:t>
            </w:r>
            <w:r>
              <w:rPr>
                <w:rFonts w:hAnsi="宋体"/>
                <w:sz w:val="24"/>
              </w:rPr>
              <w:t>年版）》，属于重点管理，见表</w:t>
            </w:r>
            <w:r>
              <w:rPr>
                <w:sz w:val="24"/>
              </w:rPr>
              <w:t>2.1-</w:t>
            </w:r>
            <w:r>
              <w:rPr>
                <w:rFonts w:hint="eastAsia"/>
                <w:sz w:val="24"/>
                <w:lang w:val="en-US" w:eastAsia="zh-CN"/>
              </w:rPr>
              <w:t>3</w:t>
            </w:r>
            <w:r>
              <w:rPr>
                <w:rFonts w:hAnsi="宋体"/>
                <w:sz w:val="24"/>
              </w:rPr>
              <w:t>。</w:t>
            </w:r>
            <w:r>
              <w:rPr>
                <w:rFonts w:hAnsi="宋体"/>
                <w:color w:val="auto"/>
                <w:sz w:val="24"/>
              </w:rPr>
              <w:t>本项目报批后，要求企业进行相应修改</w:t>
            </w:r>
            <w:r>
              <w:rPr>
                <w:rFonts w:hint="eastAsia" w:hAnsi="宋体"/>
                <w:color w:val="auto"/>
                <w:sz w:val="24"/>
              </w:rPr>
              <w:t>申报</w:t>
            </w:r>
            <w:r>
              <w:rPr>
                <w:rFonts w:hAnsi="宋体"/>
                <w:color w:val="auto"/>
                <w:sz w:val="24"/>
              </w:rPr>
              <w:t>。</w:t>
            </w:r>
          </w:p>
          <w:p>
            <w:pPr>
              <w:pStyle w:val="3"/>
              <w:snapToGrid w:val="0"/>
              <w:spacing w:line="460" w:lineRule="atLeast"/>
              <w:ind w:firstLine="0"/>
              <w:jc w:val="center"/>
              <w:rPr>
                <w:b/>
                <w:bCs/>
                <w:szCs w:val="21"/>
              </w:rPr>
            </w:pPr>
            <w:r>
              <w:rPr>
                <w:rFonts w:hAnsi="宋体"/>
                <w:b/>
                <w:bCs/>
                <w:szCs w:val="21"/>
              </w:rPr>
              <w:t>表</w:t>
            </w:r>
            <w:r>
              <w:rPr>
                <w:b/>
                <w:bCs/>
                <w:szCs w:val="21"/>
              </w:rPr>
              <w:t xml:space="preserve">2.1-2  </w:t>
            </w:r>
            <w:r>
              <w:rPr>
                <w:rFonts w:hAnsi="宋体"/>
                <w:b/>
                <w:bCs/>
                <w:szCs w:val="21"/>
              </w:rPr>
              <w:t>固定污染源排污许可分类管理名录</w:t>
            </w:r>
          </w:p>
          <w:tbl>
            <w:tblPr>
              <w:tblStyle w:val="4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772"/>
              <w:gridCol w:w="1800"/>
              <w:gridCol w:w="1044"/>
              <w:gridCol w:w="1066"/>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dxa"/>
                  <w:vAlign w:val="center"/>
                </w:tcPr>
                <w:p>
                  <w:pPr>
                    <w:adjustRightInd w:val="0"/>
                    <w:snapToGrid w:val="0"/>
                    <w:jc w:val="center"/>
                    <w:rPr>
                      <w:szCs w:val="21"/>
                    </w:rPr>
                  </w:pPr>
                  <w:r>
                    <w:rPr>
                      <w:rFonts w:hAnsi="宋体"/>
                      <w:kern w:val="0"/>
                      <w:szCs w:val="21"/>
                    </w:rPr>
                    <w:t>序号</w:t>
                  </w:r>
                </w:p>
              </w:tc>
              <w:tc>
                <w:tcPr>
                  <w:tcW w:w="2772" w:type="dxa"/>
                  <w:vAlign w:val="center"/>
                </w:tcPr>
                <w:p>
                  <w:pPr>
                    <w:adjustRightInd w:val="0"/>
                    <w:snapToGrid w:val="0"/>
                    <w:jc w:val="center"/>
                    <w:rPr>
                      <w:szCs w:val="21"/>
                    </w:rPr>
                  </w:pPr>
                  <w:r>
                    <w:rPr>
                      <w:rFonts w:hAnsi="宋体"/>
                      <w:kern w:val="0"/>
                      <w:szCs w:val="21"/>
                    </w:rPr>
                    <w:t>行业类别</w:t>
                  </w:r>
                </w:p>
              </w:tc>
              <w:tc>
                <w:tcPr>
                  <w:tcW w:w="1800" w:type="dxa"/>
                  <w:vAlign w:val="center"/>
                </w:tcPr>
                <w:p>
                  <w:pPr>
                    <w:adjustRightInd w:val="0"/>
                    <w:snapToGrid w:val="0"/>
                    <w:jc w:val="center"/>
                    <w:rPr>
                      <w:szCs w:val="21"/>
                    </w:rPr>
                  </w:pPr>
                  <w:r>
                    <w:rPr>
                      <w:rFonts w:hAnsi="宋体"/>
                      <w:kern w:val="0"/>
                      <w:szCs w:val="21"/>
                    </w:rPr>
                    <w:t>重点管理</w:t>
                  </w:r>
                </w:p>
              </w:tc>
              <w:tc>
                <w:tcPr>
                  <w:tcW w:w="1044" w:type="dxa"/>
                  <w:vAlign w:val="center"/>
                </w:tcPr>
                <w:p>
                  <w:pPr>
                    <w:adjustRightInd w:val="0"/>
                    <w:snapToGrid w:val="0"/>
                    <w:jc w:val="center"/>
                    <w:rPr>
                      <w:szCs w:val="21"/>
                    </w:rPr>
                  </w:pPr>
                  <w:r>
                    <w:rPr>
                      <w:rFonts w:hAnsi="宋体"/>
                      <w:spacing w:val="-6"/>
                      <w:kern w:val="0"/>
                      <w:sz w:val="21"/>
                      <w:szCs w:val="21"/>
                    </w:rPr>
                    <w:t>简化管理</w:t>
                  </w:r>
                </w:p>
              </w:tc>
              <w:tc>
                <w:tcPr>
                  <w:tcW w:w="1066" w:type="dxa"/>
                  <w:vAlign w:val="center"/>
                </w:tcPr>
                <w:p>
                  <w:pPr>
                    <w:adjustRightInd w:val="0"/>
                    <w:snapToGrid w:val="0"/>
                    <w:jc w:val="center"/>
                    <w:rPr>
                      <w:szCs w:val="21"/>
                    </w:rPr>
                  </w:pPr>
                  <w:r>
                    <w:rPr>
                      <w:rFonts w:hAnsi="宋体"/>
                      <w:kern w:val="0"/>
                      <w:szCs w:val="21"/>
                    </w:rPr>
                    <w:t>登记管理</w:t>
                  </w:r>
                </w:p>
              </w:tc>
              <w:tc>
                <w:tcPr>
                  <w:tcW w:w="1078" w:type="dxa"/>
                  <w:vAlign w:val="center"/>
                </w:tcPr>
                <w:p>
                  <w:pPr>
                    <w:adjustRightInd w:val="0"/>
                    <w:snapToGrid w:val="0"/>
                    <w:jc w:val="center"/>
                    <w:rPr>
                      <w:szCs w:val="21"/>
                    </w:rPr>
                  </w:pPr>
                  <w:r>
                    <w:rPr>
                      <w:rFonts w:hAnsi="宋体"/>
                      <w:kern w:val="0"/>
                      <w:szCs w:val="21"/>
                    </w:rPr>
                    <w:t>适用技术规范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dxa"/>
                  <w:vAlign w:val="center"/>
                </w:tcPr>
                <w:p>
                  <w:pPr>
                    <w:adjustRightInd w:val="0"/>
                    <w:snapToGrid w:val="0"/>
                    <w:jc w:val="center"/>
                    <w:rPr>
                      <w:kern w:val="0"/>
                      <w:szCs w:val="21"/>
                    </w:rPr>
                  </w:pPr>
                  <w:r>
                    <w:rPr>
                      <w:kern w:val="0"/>
                      <w:szCs w:val="21"/>
                    </w:rPr>
                    <w:t>18</w:t>
                  </w:r>
                </w:p>
              </w:tc>
              <w:tc>
                <w:tcPr>
                  <w:tcW w:w="2772" w:type="dxa"/>
                  <w:vAlign w:val="center"/>
                </w:tcPr>
                <w:p>
                  <w:pPr>
                    <w:adjustRightInd w:val="0"/>
                    <w:snapToGrid w:val="0"/>
                    <w:rPr>
                      <w:kern w:val="0"/>
                      <w:szCs w:val="21"/>
                    </w:rPr>
                  </w:pPr>
                  <w:r>
                    <w:rPr>
                      <w:rFonts w:hAnsi="宋体"/>
                      <w:kern w:val="0"/>
                      <w:szCs w:val="21"/>
                    </w:rPr>
                    <w:t>棉纺织及印染精加工</w:t>
                  </w:r>
                  <w:r>
                    <w:rPr>
                      <w:kern w:val="0"/>
                      <w:szCs w:val="21"/>
                    </w:rPr>
                    <w:t>171</w:t>
                  </w:r>
                  <w:r>
                    <w:rPr>
                      <w:rFonts w:hAnsi="宋体"/>
                      <w:kern w:val="0"/>
                      <w:szCs w:val="21"/>
                    </w:rPr>
                    <w:t>，毛纺织及染整精加工</w:t>
                  </w:r>
                  <w:r>
                    <w:rPr>
                      <w:kern w:val="0"/>
                      <w:szCs w:val="21"/>
                    </w:rPr>
                    <w:t>172</w:t>
                  </w:r>
                  <w:r>
                    <w:rPr>
                      <w:rFonts w:hAnsi="宋体"/>
                      <w:kern w:val="0"/>
                      <w:szCs w:val="21"/>
                    </w:rPr>
                    <w:t>，麻纺织及染整精加工</w:t>
                  </w:r>
                  <w:r>
                    <w:rPr>
                      <w:kern w:val="0"/>
                      <w:szCs w:val="21"/>
                    </w:rPr>
                    <w:t>173</w:t>
                  </w:r>
                  <w:r>
                    <w:rPr>
                      <w:rFonts w:hAnsi="宋体"/>
                      <w:kern w:val="0"/>
                      <w:szCs w:val="21"/>
                    </w:rPr>
                    <w:t>，丝绢纺织及印染精加工</w:t>
                  </w:r>
                  <w:r>
                    <w:rPr>
                      <w:kern w:val="0"/>
                      <w:szCs w:val="21"/>
                    </w:rPr>
                    <w:t>174</w:t>
                  </w:r>
                  <w:r>
                    <w:rPr>
                      <w:rFonts w:hAnsi="宋体"/>
                      <w:kern w:val="0"/>
                      <w:szCs w:val="21"/>
                    </w:rPr>
                    <w:t>，化纤织造及印染精加工</w:t>
                  </w:r>
                  <w:r>
                    <w:rPr>
                      <w:kern w:val="0"/>
                      <w:szCs w:val="21"/>
                    </w:rPr>
                    <w:t>175</w:t>
                  </w:r>
                </w:p>
              </w:tc>
              <w:tc>
                <w:tcPr>
                  <w:tcW w:w="1800" w:type="dxa"/>
                  <w:shd w:val="clear" w:color="auto" w:fill="BEBEBE" w:themeFill="background1" w:themeFillShade="BF"/>
                  <w:vAlign w:val="center"/>
                </w:tcPr>
                <w:p>
                  <w:pPr>
                    <w:adjustRightInd w:val="0"/>
                    <w:snapToGrid w:val="0"/>
                    <w:rPr>
                      <w:kern w:val="0"/>
                      <w:szCs w:val="21"/>
                    </w:rPr>
                  </w:pPr>
                  <w:r>
                    <w:rPr>
                      <w:rFonts w:hAnsi="宋体"/>
                      <w:kern w:val="0"/>
                      <w:szCs w:val="21"/>
                    </w:rPr>
                    <w:t>有前处理、染色、印花、洗毛、麻脱胶、缫丝或者喷水织造工序的</w:t>
                  </w:r>
                </w:p>
              </w:tc>
              <w:tc>
                <w:tcPr>
                  <w:tcW w:w="1044" w:type="dxa"/>
                  <w:shd w:val="clear" w:color="auto" w:fill="auto"/>
                  <w:vAlign w:val="center"/>
                </w:tcPr>
                <w:p>
                  <w:pPr>
                    <w:adjustRightInd w:val="0"/>
                    <w:snapToGrid w:val="0"/>
                    <w:jc w:val="center"/>
                    <w:rPr>
                      <w:kern w:val="0"/>
                      <w:szCs w:val="21"/>
                    </w:rPr>
                  </w:pPr>
                  <w:r>
                    <w:rPr>
                      <w:rFonts w:hAnsi="宋体"/>
                      <w:kern w:val="0"/>
                      <w:szCs w:val="21"/>
                    </w:rPr>
                    <w:t>仅含整理工序的</w:t>
                  </w:r>
                </w:p>
              </w:tc>
              <w:tc>
                <w:tcPr>
                  <w:tcW w:w="1066" w:type="dxa"/>
                  <w:shd w:val="clear" w:color="auto" w:fill="auto"/>
                  <w:vAlign w:val="center"/>
                </w:tcPr>
                <w:p>
                  <w:pPr>
                    <w:adjustRightInd w:val="0"/>
                    <w:snapToGrid w:val="0"/>
                    <w:jc w:val="center"/>
                    <w:rPr>
                      <w:kern w:val="0"/>
                      <w:szCs w:val="21"/>
                    </w:rPr>
                  </w:pPr>
                  <w:r>
                    <w:rPr>
                      <w:rFonts w:hAnsi="宋体"/>
                      <w:kern w:val="0"/>
                      <w:szCs w:val="21"/>
                    </w:rPr>
                    <w:t>其他﹡</w:t>
                  </w:r>
                </w:p>
              </w:tc>
              <w:tc>
                <w:tcPr>
                  <w:tcW w:w="1078" w:type="dxa"/>
                  <w:vAlign w:val="center"/>
                </w:tcPr>
                <w:p>
                  <w:pPr>
                    <w:adjustRightInd w:val="0"/>
                    <w:snapToGrid w:val="0"/>
                    <w:jc w:val="center"/>
                    <w:rPr>
                      <w:rFonts w:hAnsi="宋体"/>
                      <w:kern w:val="0"/>
                      <w:szCs w:val="21"/>
                    </w:rPr>
                  </w:pPr>
                  <w:r>
                    <w:rPr>
                      <w:rFonts w:hAnsi="宋体"/>
                      <w:kern w:val="0"/>
                      <w:szCs w:val="21"/>
                    </w:rPr>
                    <w:t>纺织</w:t>
                  </w:r>
                </w:p>
                <w:p>
                  <w:pPr>
                    <w:adjustRightInd w:val="0"/>
                    <w:snapToGrid w:val="0"/>
                    <w:jc w:val="center"/>
                    <w:rPr>
                      <w:rFonts w:hAnsi="宋体"/>
                      <w:kern w:val="0"/>
                      <w:szCs w:val="21"/>
                    </w:rPr>
                  </w:pPr>
                  <w:r>
                    <w:rPr>
                      <w:rFonts w:hAnsi="宋体"/>
                      <w:kern w:val="0"/>
                      <w:szCs w:val="21"/>
                    </w:rPr>
                    <w:t>印染</w:t>
                  </w:r>
                </w:p>
                <w:p>
                  <w:pPr>
                    <w:adjustRightInd w:val="0"/>
                    <w:snapToGrid w:val="0"/>
                    <w:jc w:val="center"/>
                    <w:rPr>
                      <w:kern w:val="0"/>
                      <w:szCs w:val="21"/>
                    </w:rPr>
                  </w:pPr>
                  <w:r>
                    <w:rPr>
                      <w:rFonts w:hAnsi="宋体"/>
                      <w:kern w:val="0"/>
                      <w:szCs w:val="21"/>
                    </w:rPr>
                    <w:t>工业</w:t>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sz w:val="21"/>
                <w:szCs w:val="21"/>
              </w:rPr>
            </w:pPr>
            <w:r>
              <w:rPr>
                <w:sz w:val="21"/>
                <w:szCs w:val="21"/>
              </w:rPr>
              <w:t>注：表格中标“*”号者，是指在工业建筑中生产的排污单位。工业建筑的定义参见《工程结构设计基本术语标准》（GB/T 50083-2014），是指提供生产用的各种建筑物，如车间、厂前区建筑、生活间、动力站、库房和运输设施等。</w:t>
            </w:r>
          </w:p>
          <w:p>
            <w:pPr>
              <w:pStyle w:val="39"/>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Ansi="宋体"/>
                <w:b/>
                <w:bCs/>
                <w:color w:val="auto"/>
                <w:sz w:val="24"/>
                <w:szCs w:val="24"/>
              </w:rPr>
            </w:pPr>
            <w:r>
              <w:rPr>
                <w:b/>
                <w:bCs/>
                <w:color w:val="auto"/>
                <w:sz w:val="24"/>
                <w:szCs w:val="24"/>
              </w:rPr>
              <w:t>2.1.2</w:t>
            </w:r>
            <w:r>
              <w:rPr>
                <w:rFonts w:hAnsi="宋体"/>
                <w:b/>
                <w:bCs/>
                <w:color w:val="auto"/>
                <w:sz w:val="24"/>
                <w:szCs w:val="24"/>
              </w:rPr>
              <w:t>项目组成</w:t>
            </w:r>
          </w:p>
          <w:p>
            <w:pPr>
              <w:pStyle w:val="3"/>
              <w:spacing w:line="460" w:lineRule="atLeast"/>
              <w:ind w:firstLine="0"/>
              <w:jc w:val="center"/>
              <w:rPr>
                <w:rFonts w:ascii="Times New Roman" w:hAnsi="宋体" w:eastAsia="宋体" w:cs="Times New Roman"/>
                <w:b/>
                <w:bCs/>
                <w:color w:val="auto"/>
                <w:szCs w:val="21"/>
              </w:rPr>
            </w:pPr>
            <w:r>
              <w:rPr>
                <w:rFonts w:ascii="Times New Roman" w:hAnsi="宋体" w:eastAsia="宋体" w:cs="Times New Roman"/>
                <w:b/>
                <w:bCs/>
                <w:color w:val="auto"/>
                <w:szCs w:val="21"/>
              </w:rPr>
              <w:t>表</w:t>
            </w:r>
            <w:r>
              <w:rPr>
                <w:rFonts w:hint="eastAsia" w:ascii="Times New Roman" w:hAnsi="宋体" w:eastAsia="宋体" w:cs="Times New Roman"/>
                <w:b/>
                <w:bCs/>
                <w:color w:val="auto"/>
                <w:szCs w:val="21"/>
              </w:rPr>
              <w:t>2.1-</w:t>
            </w:r>
            <w:r>
              <w:rPr>
                <w:rFonts w:hint="eastAsia" w:hAnsi="宋体" w:cs="Times New Roman"/>
                <w:b/>
                <w:bCs/>
                <w:color w:val="auto"/>
                <w:szCs w:val="21"/>
                <w:lang w:val="en-US" w:eastAsia="zh-CN"/>
              </w:rPr>
              <w:t>4</w:t>
            </w:r>
            <w:r>
              <w:rPr>
                <w:rFonts w:hint="eastAsia" w:ascii="Times New Roman" w:hAnsi="宋体" w:eastAsia="宋体" w:cs="Times New Roman"/>
                <w:b/>
                <w:bCs/>
                <w:color w:val="auto"/>
                <w:szCs w:val="21"/>
              </w:rPr>
              <w:t xml:space="preserve">  </w:t>
            </w:r>
            <w:r>
              <w:rPr>
                <w:rFonts w:ascii="Times New Roman" w:hAnsi="宋体" w:eastAsia="宋体" w:cs="Times New Roman"/>
                <w:b/>
                <w:bCs/>
                <w:color w:val="auto"/>
                <w:szCs w:val="21"/>
              </w:rPr>
              <w:t>工程组成一览表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118"/>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pPr>
                    <w:jc w:val="center"/>
                    <w:rPr>
                      <w:rFonts w:ascii="Times New Roman" w:hAnsi="Times New Roman"/>
                      <w:b/>
                      <w:bCs/>
                      <w:color w:val="auto"/>
                      <w:szCs w:val="21"/>
                    </w:rPr>
                  </w:pPr>
                  <w:bookmarkStart w:id="6" w:name="_Toc23560"/>
                  <w:r>
                    <w:rPr>
                      <w:rFonts w:ascii="Times New Roman" w:hAnsi="宋体"/>
                      <w:b/>
                      <w:bCs/>
                      <w:color w:val="auto"/>
                      <w:szCs w:val="21"/>
                    </w:rPr>
                    <w:t>类别</w:t>
                  </w:r>
                </w:p>
              </w:tc>
              <w:tc>
                <w:tcPr>
                  <w:tcW w:w="1118" w:type="dxa"/>
                  <w:vAlign w:val="center"/>
                </w:tcPr>
                <w:p>
                  <w:pPr>
                    <w:jc w:val="center"/>
                    <w:rPr>
                      <w:rFonts w:ascii="Times New Roman" w:hAnsi="Times New Roman"/>
                      <w:b/>
                      <w:bCs/>
                      <w:color w:val="auto"/>
                      <w:szCs w:val="21"/>
                    </w:rPr>
                  </w:pPr>
                  <w:r>
                    <w:rPr>
                      <w:rFonts w:ascii="Times New Roman" w:hAnsi="宋体"/>
                      <w:b/>
                      <w:bCs/>
                      <w:color w:val="auto"/>
                      <w:szCs w:val="21"/>
                    </w:rPr>
                    <w:t>名称</w:t>
                  </w:r>
                </w:p>
              </w:tc>
              <w:tc>
                <w:tcPr>
                  <w:tcW w:w="6403" w:type="dxa"/>
                  <w:vAlign w:val="center"/>
                </w:tcPr>
                <w:p>
                  <w:pPr>
                    <w:jc w:val="center"/>
                    <w:rPr>
                      <w:rFonts w:hint="default" w:ascii="Times New Roman" w:hAnsi="Times New Roman" w:eastAsiaTheme="minorEastAsia"/>
                      <w:b/>
                      <w:bCs/>
                      <w:color w:val="auto"/>
                      <w:szCs w:val="21"/>
                      <w:lang w:val="en-US" w:eastAsia="zh-CN"/>
                    </w:rPr>
                  </w:pPr>
                  <w:r>
                    <w:rPr>
                      <w:rFonts w:hint="eastAsia" w:ascii="Times New Roman" w:hAnsi="Times New Roman"/>
                      <w:b/>
                      <w:color w:val="auto"/>
                      <w:szCs w:val="21"/>
                    </w:rPr>
                    <w:t>具体</w:t>
                  </w:r>
                  <w:r>
                    <w:rPr>
                      <w:rFonts w:hint="eastAsia" w:ascii="Times New Roman" w:hAnsi="Times New Roman"/>
                      <w:b/>
                      <w:color w:val="auto"/>
                      <w:szCs w:val="21"/>
                      <w:lang w:val="en-US" w:eastAsia="zh-CN"/>
                    </w:rPr>
                    <w:t>内容、规模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rFonts w:ascii="Times New Roman" w:hAnsi="Times New Roman"/>
                      <w:color w:val="auto"/>
                      <w:szCs w:val="21"/>
                    </w:rPr>
                  </w:pPr>
                  <w:r>
                    <w:rPr>
                      <w:rFonts w:ascii="Times New Roman" w:hAnsi="宋体"/>
                      <w:color w:val="auto"/>
                      <w:szCs w:val="21"/>
                    </w:rPr>
                    <w:t>主体工程</w:t>
                  </w:r>
                </w:p>
              </w:tc>
              <w:tc>
                <w:tcPr>
                  <w:tcW w:w="1118" w:type="dxa"/>
                  <w:vAlign w:val="center"/>
                </w:tcPr>
                <w:p>
                  <w:pPr>
                    <w:jc w:val="center"/>
                    <w:rPr>
                      <w:rFonts w:ascii="Times New Roman" w:hAnsi="Times New Roman"/>
                      <w:color w:val="auto"/>
                      <w:szCs w:val="21"/>
                    </w:rPr>
                  </w:pPr>
                  <w:r>
                    <w:rPr>
                      <w:rFonts w:hint="eastAsia" w:ascii="Times New Roman" w:hAnsi="宋体"/>
                      <w:color w:val="auto"/>
                      <w:szCs w:val="21"/>
                    </w:rPr>
                    <w:t>生产车间</w:t>
                  </w:r>
                </w:p>
              </w:tc>
              <w:tc>
                <w:tcPr>
                  <w:tcW w:w="6403" w:type="dxa"/>
                  <w:vAlign w:val="center"/>
                </w:tcPr>
                <w:p>
                  <w:pPr>
                    <w:rPr>
                      <w:rFonts w:hint="eastAsia" w:ascii="Times New Roman" w:hAnsi="Times New Roman" w:eastAsia="宋体"/>
                      <w:color w:val="auto"/>
                      <w:szCs w:val="21"/>
                      <w:lang w:eastAsia="zh-CN"/>
                    </w:rPr>
                  </w:pPr>
                  <w:r>
                    <w:rPr>
                      <w:rFonts w:hint="eastAsia" w:ascii="Times New Roman" w:hAnsi="Times New Roman"/>
                      <w:color w:val="auto"/>
                      <w:szCs w:val="21"/>
                      <w:lang w:eastAsia="zh-CN"/>
                    </w:rPr>
                    <w:t>企业</w:t>
                  </w:r>
                  <w:r>
                    <w:rPr>
                      <w:rFonts w:hint="eastAsia" w:ascii="Times New Roman" w:hAnsi="Times New Roman"/>
                      <w:color w:val="auto"/>
                      <w:szCs w:val="21"/>
                    </w:rPr>
                    <w:t>总建筑面积</w:t>
                  </w:r>
                  <w:r>
                    <w:rPr>
                      <w:rFonts w:hint="eastAsia" w:ascii="Times New Roman" w:hAnsi="Times New Roman"/>
                      <w:color w:val="auto"/>
                      <w:szCs w:val="21"/>
                      <w:lang w:val="en-US" w:eastAsia="zh-CN"/>
                    </w:rPr>
                    <w:t>2.1万</w:t>
                  </w:r>
                  <w:r>
                    <w:rPr>
                      <w:rFonts w:hint="eastAsia" w:ascii="Times New Roman" w:hAnsi="Times New Roman"/>
                      <w:color w:val="auto"/>
                      <w:szCs w:val="21"/>
                    </w:rPr>
                    <w:t>m</w:t>
                  </w:r>
                  <w:r>
                    <w:rPr>
                      <w:rFonts w:hint="eastAsia" w:ascii="Times New Roman" w:hAnsi="Times New Roman"/>
                      <w:color w:val="auto"/>
                      <w:szCs w:val="21"/>
                      <w:vertAlign w:val="superscript"/>
                    </w:rPr>
                    <w:t>2</w:t>
                  </w:r>
                  <w:r>
                    <w:rPr>
                      <w:rFonts w:hint="eastAsia" w:ascii="Times New Roman" w:hAnsi="Times New Roman"/>
                      <w:color w:val="auto"/>
                      <w:szCs w:val="21"/>
                    </w:rPr>
                    <w:t>。主要包括织造车间</w:t>
                  </w:r>
                  <w:r>
                    <w:rPr>
                      <w:rFonts w:hint="eastAsia" w:ascii="Times New Roman" w:hAnsi="Times New Roman"/>
                      <w:color w:val="auto"/>
                      <w:szCs w:val="21"/>
                      <w:lang w:eastAsia="zh-CN"/>
                    </w:rPr>
                    <w:t>、</w:t>
                  </w:r>
                  <w:r>
                    <w:rPr>
                      <w:rFonts w:hint="eastAsia" w:ascii="Times New Roman" w:hAnsi="Times New Roman"/>
                      <w:color w:val="auto"/>
                      <w:szCs w:val="21"/>
                    </w:rPr>
                    <w:t>加弹车间</w:t>
                  </w:r>
                  <w:r>
                    <w:rPr>
                      <w:rFonts w:hint="eastAsia" w:ascii="Times New Roman" w:hAnsi="Times New Roman"/>
                      <w:color w:val="auto"/>
                      <w:szCs w:val="21"/>
                      <w:lang w:eastAsia="zh-CN"/>
                    </w:rPr>
                    <w:t>、整浆并车间</w:t>
                  </w:r>
                  <w:r>
                    <w:rPr>
                      <w:rFonts w:hint="eastAsia" w:ascii="Times New Roman" w:hAnsi="Times New Roman"/>
                      <w:color w:val="auto"/>
                      <w:szCs w:val="21"/>
                    </w:rPr>
                    <w:t>，</w:t>
                  </w:r>
                  <w:r>
                    <w:rPr>
                      <w:rFonts w:hint="eastAsia" w:ascii="Times New Roman" w:hAnsi="Times New Roman"/>
                      <w:color w:val="auto"/>
                      <w:szCs w:val="21"/>
                      <w:lang w:eastAsia="zh-CN"/>
                    </w:rPr>
                    <w:t>织造车间和加弹车间位置位于厂区中部，共布置</w:t>
                  </w:r>
                  <w:r>
                    <w:rPr>
                      <w:rFonts w:hint="eastAsia" w:ascii="Times New Roman" w:hAnsi="Times New Roman"/>
                      <w:color w:val="auto"/>
                      <w:szCs w:val="21"/>
                      <w:lang w:val="en-US" w:eastAsia="zh-CN"/>
                    </w:rPr>
                    <w:t>345台喷水织机和2台加弹机；整浆并车间位于厂区东南角，布置2条整浆并生产线</w:t>
                  </w:r>
                  <w:r>
                    <w:rPr>
                      <w:rFonts w:hint="eastAsia"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ascii="Times New Roman" w:hAnsi="宋体"/>
                      <w:color w:val="auto"/>
                      <w:szCs w:val="21"/>
                    </w:rPr>
                  </w:pPr>
                </w:p>
              </w:tc>
              <w:tc>
                <w:tcPr>
                  <w:tcW w:w="1118" w:type="dxa"/>
                  <w:vAlign w:val="center"/>
                </w:tcPr>
                <w:p>
                  <w:pPr>
                    <w:jc w:val="center"/>
                    <w:rPr>
                      <w:rFonts w:hint="eastAsia" w:ascii="Times New Roman" w:hAnsi="宋体" w:eastAsia="宋体"/>
                      <w:color w:val="auto"/>
                      <w:szCs w:val="21"/>
                      <w:lang w:eastAsia="zh-CN"/>
                    </w:rPr>
                  </w:pPr>
                  <w:r>
                    <w:rPr>
                      <w:rFonts w:hint="eastAsia" w:hAnsi="宋体"/>
                      <w:color w:val="auto"/>
                      <w:szCs w:val="21"/>
                      <w:lang w:eastAsia="zh-CN"/>
                    </w:rPr>
                    <w:t>产品产能</w:t>
                  </w:r>
                </w:p>
              </w:tc>
              <w:tc>
                <w:tcPr>
                  <w:tcW w:w="6403" w:type="dxa"/>
                  <w:vAlign w:val="center"/>
                </w:tcPr>
                <w:p>
                  <w:pPr>
                    <w:rPr>
                      <w:rFonts w:hint="eastAsia" w:ascii="Times New Roman" w:hAnsi="Times New Roman"/>
                      <w:color w:val="auto"/>
                      <w:szCs w:val="21"/>
                      <w:lang w:eastAsia="zh-CN"/>
                    </w:rPr>
                  </w:pPr>
                  <w:r>
                    <w:rPr>
                      <w:rFonts w:hint="eastAsia" w:ascii="Times New Roman" w:hAnsi="Times New Roman"/>
                      <w:color w:val="auto"/>
                      <w:szCs w:val="21"/>
                      <w:lang w:eastAsia="zh-CN"/>
                    </w:rPr>
                    <w:t>年产高档纺织面料3800万米、家纺四件套10万套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ascii="Times New Roman" w:hAnsi="宋体"/>
                      <w:color w:val="auto"/>
                      <w:szCs w:val="21"/>
                    </w:rPr>
                  </w:pPr>
                </w:p>
              </w:tc>
              <w:tc>
                <w:tcPr>
                  <w:tcW w:w="1118" w:type="dxa"/>
                  <w:vAlign w:val="center"/>
                </w:tcPr>
                <w:p>
                  <w:pPr>
                    <w:jc w:val="center"/>
                    <w:rPr>
                      <w:rFonts w:hint="eastAsia" w:ascii="Times New Roman" w:hAnsi="宋体" w:eastAsia="宋体"/>
                      <w:color w:val="auto"/>
                      <w:szCs w:val="21"/>
                      <w:lang w:eastAsia="zh-CN"/>
                    </w:rPr>
                  </w:pPr>
                  <w:r>
                    <w:rPr>
                      <w:rFonts w:hint="eastAsia" w:hAnsi="宋体"/>
                      <w:color w:val="auto"/>
                      <w:szCs w:val="21"/>
                      <w:lang w:eastAsia="zh-CN"/>
                    </w:rPr>
                    <w:t>主要生产工艺</w:t>
                  </w:r>
                </w:p>
              </w:tc>
              <w:tc>
                <w:tcPr>
                  <w:tcW w:w="6403" w:type="dxa"/>
                  <w:vAlign w:val="center"/>
                </w:tcPr>
                <w:p>
                  <w:pPr>
                    <w:rPr>
                      <w:rFonts w:hint="default" w:ascii="Times New Roman" w:hAnsi="Times New Roman"/>
                      <w:color w:val="auto"/>
                      <w:szCs w:val="21"/>
                      <w:lang w:val="en-US" w:eastAsia="zh-CN"/>
                    </w:rPr>
                  </w:pPr>
                  <w:r>
                    <w:rPr>
                      <w:rFonts w:hint="eastAsia"/>
                      <w:color w:val="auto"/>
                      <w:szCs w:val="21"/>
                      <w:lang w:eastAsia="zh-CN"/>
                    </w:rPr>
                    <w:t>化纤丝</w:t>
                  </w:r>
                  <w:r>
                    <w:rPr>
                      <w:rFonts w:hint="eastAsia"/>
                      <w:color w:val="auto"/>
                      <w:szCs w:val="21"/>
                      <w:lang w:val="en-US" w:eastAsia="zh-CN"/>
                    </w:rPr>
                    <w:t>+加弹+织造、化纤丝+上浆+烘干+织造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辅助工程</w:t>
                  </w:r>
                </w:p>
              </w:tc>
              <w:tc>
                <w:tcPr>
                  <w:tcW w:w="1118" w:type="dxa"/>
                  <w:vAlign w:val="center"/>
                </w:tcPr>
                <w:p>
                  <w:pPr>
                    <w:widowControl/>
                    <w:ind w:right="57"/>
                    <w:jc w:val="center"/>
                    <w:rPr>
                      <w:rFonts w:ascii="Times New Roman" w:hAnsi="Times New Roman" w:cs="Times New Roman"/>
                      <w:bCs/>
                      <w:color w:val="auto"/>
                      <w:kern w:val="0"/>
                      <w:szCs w:val="21"/>
                    </w:rPr>
                  </w:pPr>
                  <w:r>
                    <w:rPr>
                      <w:rFonts w:hint="eastAsia" w:ascii="Times New Roman" w:hAnsi="Times New Roman" w:cs="Times New Roman"/>
                      <w:bCs/>
                      <w:color w:val="auto"/>
                      <w:kern w:val="0"/>
                      <w:szCs w:val="21"/>
                    </w:rPr>
                    <w:t>办公区域</w:t>
                  </w:r>
                </w:p>
              </w:tc>
              <w:tc>
                <w:tcPr>
                  <w:tcW w:w="6403" w:type="dxa"/>
                  <w:vAlign w:val="center"/>
                </w:tcPr>
                <w:p>
                  <w:pPr>
                    <w:pStyle w:val="3"/>
                    <w:ind w:firstLine="0"/>
                    <w:rPr>
                      <w:rFonts w:ascii="Times New Roman" w:hAnsi="Times New Roman" w:cs="Times New Roman"/>
                      <w:color w:val="auto"/>
                      <w:szCs w:val="21"/>
                    </w:rPr>
                  </w:pPr>
                  <w:r>
                    <w:rPr>
                      <w:rFonts w:hint="eastAsia" w:ascii="Times New Roman" w:hAnsi="Times New Roman" w:cs="Times New Roman"/>
                      <w:color w:val="auto"/>
                      <w:szCs w:val="21"/>
                      <w:lang w:eastAsia="zh-CN"/>
                    </w:rPr>
                    <w:t>位于厂区西南侧</w:t>
                  </w:r>
                  <w:r>
                    <w:rPr>
                      <w:rFonts w:hint="eastAsia"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rFonts w:ascii="Times New Roman" w:hAnsi="Times New Roman"/>
                      <w:color w:val="auto"/>
                      <w:szCs w:val="21"/>
                    </w:rPr>
                  </w:pPr>
                  <w:r>
                    <w:rPr>
                      <w:rFonts w:ascii="Times New Roman" w:hAnsi="Times New Roman" w:cs="Times New Roman"/>
                      <w:bCs/>
                      <w:color w:val="auto"/>
                      <w:szCs w:val="21"/>
                    </w:rPr>
                    <w:t>储运工程</w:t>
                  </w:r>
                </w:p>
              </w:tc>
              <w:tc>
                <w:tcPr>
                  <w:tcW w:w="1118" w:type="dxa"/>
                  <w:vAlign w:val="center"/>
                </w:tcPr>
                <w:p>
                  <w:pPr>
                    <w:jc w:val="center"/>
                    <w:rPr>
                      <w:rFonts w:ascii="Times New Roman" w:hAnsi="Times New Roman"/>
                      <w:color w:val="auto"/>
                      <w:szCs w:val="21"/>
                    </w:rPr>
                  </w:pPr>
                  <w:r>
                    <w:rPr>
                      <w:rFonts w:hint="eastAsia" w:ascii="Times New Roman" w:hAnsi="宋体"/>
                      <w:color w:val="auto"/>
                      <w:szCs w:val="21"/>
                    </w:rPr>
                    <w:t>运输</w:t>
                  </w:r>
                </w:p>
              </w:tc>
              <w:tc>
                <w:tcPr>
                  <w:tcW w:w="6403" w:type="dxa"/>
                  <w:vAlign w:val="center"/>
                </w:tcPr>
                <w:p>
                  <w:pPr>
                    <w:rPr>
                      <w:rFonts w:ascii="Times New Roman" w:hAnsi="Times New Roman"/>
                      <w:color w:val="auto"/>
                      <w:szCs w:val="21"/>
                    </w:rPr>
                  </w:pPr>
                  <w:r>
                    <w:rPr>
                      <w:rFonts w:hint="eastAsia" w:ascii="Times New Roman" w:hAnsi="Times New Roman"/>
                      <w:bCs/>
                      <w:color w:val="auto"/>
                      <w:kern w:val="0"/>
                      <w:szCs w:val="21"/>
                    </w:rPr>
                    <w:t>社会物流汽车从厂区</w:t>
                  </w:r>
                  <w:r>
                    <w:rPr>
                      <w:rFonts w:hint="eastAsia" w:ascii="Times New Roman" w:hAnsi="Times New Roman"/>
                      <w:bCs/>
                      <w:color w:val="auto"/>
                      <w:kern w:val="0"/>
                      <w:szCs w:val="21"/>
                      <w:lang w:eastAsia="zh-CN"/>
                    </w:rPr>
                    <w:t>北侧</w:t>
                  </w:r>
                  <w:r>
                    <w:rPr>
                      <w:rFonts w:hint="eastAsia" w:ascii="Times New Roman" w:hAnsi="Times New Roman"/>
                      <w:bCs/>
                      <w:color w:val="auto"/>
                      <w:kern w:val="0"/>
                      <w:szCs w:val="21"/>
                    </w:rPr>
                    <w:t>主入口进入，厂区内预留了运输通道和回车区域。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ascii="Times New Roman" w:hAnsi="Times New Roman"/>
                      <w:color w:val="auto"/>
                      <w:szCs w:val="21"/>
                    </w:rPr>
                  </w:pPr>
                </w:p>
              </w:tc>
              <w:tc>
                <w:tcPr>
                  <w:tcW w:w="1118" w:type="dxa"/>
                  <w:vAlign w:val="center"/>
                </w:tcPr>
                <w:p>
                  <w:pPr>
                    <w:jc w:val="center"/>
                    <w:rPr>
                      <w:rFonts w:ascii="Times New Roman" w:hAnsi="Times New Roman"/>
                      <w:color w:val="auto"/>
                      <w:szCs w:val="21"/>
                    </w:rPr>
                  </w:pPr>
                  <w:r>
                    <w:rPr>
                      <w:rFonts w:hint="eastAsia" w:ascii="Times New Roman" w:hAnsi="宋体"/>
                      <w:color w:val="auto"/>
                      <w:szCs w:val="21"/>
                    </w:rPr>
                    <w:t>仓储</w:t>
                  </w:r>
                </w:p>
              </w:tc>
              <w:tc>
                <w:tcPr>
                  <w:tcW w:w="6403" w:type="dxa"/>
                  <w:vAlign w:val="center"/>
                </w:tcPr>
                <w:p>
                  <w:pPr>
                    <w:rPr>
                      <w:rFonts w:hint="default" w:ascii="Times New Roman" w:hAnsi="Times New Roman" w:eastAsia="宋体"/>
                      <w:color w:val="auto"/>
                      <w:szCs w:val="21"/>
                      <w:lang w:val="en-US" w:eastAsia="zh-CN"/>
                    </w:rPr>
                  </w:pPr>
                  <w:r>
                    <w:rPr>
                      <w:rFonts w:hint="eastAsia" w:ascii="Times New Roman" w:hAnsi="Times New Roman"/>
                      <w:color w:val="auto"/>
                      <w:szCs w:val="21"/>
                      <w:lang w:eastAsia="zh-CN"/>
                    </w:rPr>
                    <w:t>办公室后方</w:t>
                  </w:r>
                  <w:r>
                    <w:rPr>
                      <w:rFonts w:hint="eastAsia"/>
                      <w:color w:val="auto"/>
                      <w:szCs w:val="21"/>
                      <w:lang w:eastAsia="zh-CN"/>
                    </w:rPr>
                    <w:t>建筑</w:t>
                  </w:r>
                  <w:r>
                    <w:rPr>
                      <w:rFonts w:hint="eastAsia" w:ascii="Times New Roman" w:hAnsi="Times New Roman"/>
                      <w:color w:val="auto"/>
                      <w:szCs w:val="21"/>
                      <w:lang w:eastAsia="zh-CN"/>
                    </w:rPr>
                    <w:t>为仓库，</w:t>
                  </w:r>
                  <w:r>
                    <w:rPr>
                      <w:rFonts w:hint="eastAsia" w:ascii="Times New Roman" w:hAnsi="Times New Roman"/>
                      <w:color w:val="auto"/>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9" w:type="dxa"/>
                  <w:vMerge w:val="restart"/>
                  <w:vAlign w:val="center"/>
                </w:tcPr>
                <w:p>
                  <w:pPr>
                    <w:jc w:val="center"/>
                    <w:rPr>
                      <w:rFonts w:ascii="Times New Roman" w:hAnsi="Times New Roman"/>
                      <w:color w:val="auto"/>
                      <w:szCs w:val="21"/>
                    </w:rPr>
                  </w:pPr>
                  <w:r>
                    <w:rPr>
                      <w:rFonts w:hint="eastAsia" w:ascii="Times New Roman" w:hAnsi="Times New Roman"/>
                      <w:color w:val="auto"/>
                      <w:szCs w:val="21"/>
                    </w:rPr>
                    <w:t>依托工程</w:t>
                  </w:r>
                </w:p>
              </w:tc>
              <w:tc>
                <w:tcPr>
                  <w:tcW w:w="1118" w:type="dxa"/>
                  <w:vAlign w:val="center"/>
                </w:tcPr>
                <w:p>
                  <w:pPr>
                    <w:jc w:val="center"/>
                    <w:rPr>
                      <w:rFonts w:hint="eastAsia" w:ascii="Times New Roman" w:hAnsi="宋体"/>
                      <w:color w:val="auto"/>
                      <w:szCs w:val="21"/>
                      <w:lang w:eastAsia="zh-CN"/>
                    </w:rPr>
                  </w:pPr>
                  <w:r>
                    <w:rPr>
                      <w:rFonts w:hint="eastAsia" w:ascii="Times New Roman" w:hAnsi="宋体"/>
                      <w:color w:val="auto"/>
                      <w:szCs w:val="21"/>
                      <w:lang w:eastAsia="zh-CN"/>
                    </w:rPr>
                    <w:t>中水</w:t>
                  </w:r>
                </w:p>
                <w:p>
                  <w:pPr>
                    <w:jc w:val="center"/>
                    <w:rPr>
                      <w:rFonts w:hint="eastAsia" w:ascii="Times New Roman" w:hAnsi="宋体" w:eastAsia="宋体"/>
                      <w:color w:val="auto"/>
                      <w:szCs w:val="21"/>
                      <w:lang w:eastAsia="zh-CN"/>
                    </w:rPr>
                  </w:pPr>
                  <w:r>
                    <w:rPr>
                      <w:rFonts w:hint="eastAsia" w:ascii="Times New Roman" w:hAnsi="宋体"/>
                      <w:color w:val="auto"/>
                      <w:szCs w:val="21"/>
                      <w:lang w:eastAsia="zh-CN"/>
                    </w:rPr>
                    <w:t>回用站</w:t>
                  </w:r>
                </w:p>
              </w:tc>
              <w:tc>
                <w:tcPr>
                  <w:tcW w:w="6403" w:type="dxa"/>
                  <w:vAlign w:val="center"/>
                </w:tcPr>
                <w:p>
                  <w:pPr>
                    <w:rPr>
                      <w:rFonts w:hint="eastAsia" w:ascii="Times New Roman" w:hAnsi="Times New Roman" w:eastAsia="宋体"/>
                      <w:bCs/>
                      <w:color w:val="auto"/>
                      <w:kern w:val="0"/>
                      <w:szCs w:val="21"/>
                      <w:lang w:eastAsia="zh-CN"/>
                    </w:rPr>
                  </w:pPr>
                  <w:r>
                    <w:rPr>
                      <w:rFonts w:hint="eastAsia" w:ascii="Times New Roman" w:hAnsi="Times New Roman"/>
                      <w:bCs/>
                      <w:color w:val="auto"/>
                      <w:kern w:val="0"/>
                      <w:szCs w:val="21"/>
                      <w:lang w:eastAsia="zh-CN"/>
                    </w:rPr>
                    <w:t>本项目织造废水通过长兴虹溪污水处理有限公司建设在虹星桥镇</w:t>
                  </w:r>
                  <w:r>
                    <w:rPr>
                      <w:rFonts w:hint="eastAsia"/>
                      <w:bCs/>
                      <w:color w:val="auto"/>
                      <w:kern w:val="0"/>
                      <w:szCs w:val="21"/>
                      <w:lang w:eastAsia="zh-CN"/>
                    </w:rPr>
                    <w:t>北</w:t>
                  </w:r>
                  <w:r>
                    <w:rPr>
                      <w:rFonts w:hint="eastAsia" w:ascii="Times New Roman" w:hAnsi="Times New Roman"/>
                      <w:bCs/>
                      <w:color w:val="auto"/>
                      <w:kern w:val="0"/>
                      <w:szCs w:val="21"/>
                      <w:lang w:eastAsia="zh-CN"/>
                    </w:rPr>
                    <w:t>片工业园区的中水回用站处理后回用于织造。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hint="eastAsia" w:ascii="Times New Roman" w:hAnsi="Times New Roman"/>
                      <w:color w:val="auto"/>
                      <w:szCs w:val="21"/>
                    </w:rPr>
                  </w:pPr>
                </w:p>
              </w:tc>
              <w:tc>
                <w:tcPr>
                  <w:tcW w:w="1118" w:type="dxa"/>
                  <w:vAlign w:val="center"/>
                </w:tcPr>
                <w:p>
                  <w:pPr>
                    <w:jc w:val="center"/>
                    <w:rPr>
                      <w:rFonts w:hint="eastAsia" w:ascii="Times New Roman" w:hAnsi="宋体"/>
                      <w:color w:val="auto"/>
                      <w:szCs w:val="21"/>
                      <w:lang w:eastAsia="zh-CN"/>
                    </w:rPr>
                  </w:pPr>
                  <w:r>
                    <w:rPr>
                      <w:rFonts w:hint="eastAsia" w:ascii="Times New Roman" w:hAnsi="宋体"/>
                      <w:color w:val="auto"/>
                      <w:szCs w:val="21"/>
                      <w:lang w:eastAsia="zh-CN"/>
                    </w:rPr>
                    <w:t>化粪池</w:t>
                  </w:r>
                </w:p>
              </w:tc>
              <w:tc>
                <w:tcPr>
                  <w:tcW w:w="6403" w:type="dxa"/>
                  <w:vAlign w:val="center"/>
                </w:tcPr>
                <w:p>
                  <w:pPr>
                    <w:rPr>
                      <w:rFonts w:hint="eastAsia" w:ascii="Times New Roman" w:hAnsi="Times New Roman" w:eastAsia="宋体"/>
                      <w:bCs/>
                      <w:color w:val="auto"/>
                      <w:kern w:val="0"/>
                      <w:szCs w:val="21"/>
                      <w:lang w:eastAsia="zh-CN"/>
                    </w:rPr>
                  </w:pPr>
                  <w:r>
                    <w:rPr>
                      <w:rFonts w:hint="eastAsia" w:ascii="Times New Roman" w:hAnsi="Times New Roman"/>
                      <w:bCs/>
                      <w:color w:val="auto"/>
                      <w:kern w:val="0"/>
                      <w:szCs w:val="21"/>
                      <w:lang w:eastAsia="zh-CN"/>
                    </w:rPr>
                    <w:t>生活污水经化粪池预处理后由当地农村生活污水终端系统处理达标后排放。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rFonts w:ascii="Times New Roman" w:hAnsi="宋体"/>
                      <w:color w:val="auto"/>
                      <w:szCs w:val="21"/>
                    </w:rPr>
                  </w:pPr>
                  <w:r>
                    <w:rPr>
                      <w:rFonts w:ascii="Times New Roman" w:hAnsi="宋体"/>
                      <w:color w:val="auto"/>
                      <w:szCs w:val="21"/>
                    </w:rPr>
                    <w:t>公</w:t>
                  </w:r>
                </w:p>
                <w:p>
                  <w:pPr>
                    <w:jc w:val="center"/>
                    <w:rPr>
                      <w:rFonts w:ascii="Times New Roman" w:hAnsi="宋体"/>
                      <w:color w:val="auto"/>
                      <w:szCs w:val="21"/>
                    </w:rPr>
                  </w:pPr>
                  <w:r>
                    <w:rPr>
                      <w:rFonts w:ascii="Times New Roman" w:hAnsi="宋体"/>
                      <w:color w:val="auto"/>
                      <w:szCs w:val="21"/>
                    </w:rPr>
                    <w:t>用</w:t>
                  </w:r>
                </w:p>
                <w:p>
                  <w:pPr>
                    <w:jc w:val="center"/>
                    <w:rPr>
                      <w:rFonts w:ascii="Times New Roman" w:hAnsi="宋体"/>
                      <w:color w:val="auto"/>
                      <w:szCs w:val="21"/>
                    </w:rPr>
                  </w:pPr>
                  <w:r>
                    <w:rPr>
                      <w:rFonts w:ascii="Times New Roman" w:hAnsi="宋体"/>
                      <w:color w:val="auto"/>
                      <w:szCs w:val="21"/>
                    </w:rPr>
                    <w:t>工</w:t>
                  </w:r>
                </w:p>
                <w:p>
                  <w:pPr>
                    <w:jc w:val="center"/>
                    <w:rPr>
                      <w:rFonts w:ascii="Times New Roman" w:hAnsi="Times New Roman"/>
                      <w:color w:val="auto"/>
                      <w:szCs w:val="21"/>
                    </w:rPr>
                  </w:pPr>
                  <w:r>
                    <w:rPr>
                      <w:rFonts w:ascii="Times New Roman" w:hAnsi="宋体"/>
                      <w:color w:val="auto"/>
                      <w:szCs w:val="21"/>
                    </w:rPr>
                    <w:t>程</w:t>
                  </w:r>
                </w:p>
              </w:tc>
              <w:tc>
                <w:tcPr>
                  <w:tcW w:w="1118" w:type="dxa"/>
                  <w:vAlign w:val="center"/>
                </w:tcPr>
                <w:p>
                  <w:pPr>
                    <w:jc w:val="center"/>
                    <w:rPr>
                      <w:rFonts w:ascii="Times New Roman" w:hAnsi="Times New Roman"/>
                      <w:color w:val="auto"/>
                      <w:szCs w:val="21"/>
                    </w:rPr>
                  </w:pPr>
                  <w:r>
                    <w:rPr>
                      <w:rFonts w:ascii="Times New Roman" w:hAnsi="Times New Roman"/>
                      <w:color w:val="auto"/>
                      <w:szCs w:val="21"/>
                    </w:rPr>
                    <w:t>给水</w:t>
                  </w:r>
                </w:p>
              </w:tc>
              <w:tc>
                <w:tcPr>
                  <w:tcW w:w="6403" w:type="dxa"/>
                  <w:vAlign w:val="center"/>
                </w:tcPr>
                <w:p>
                  <w:pPr>
                    <w:rPr>
                      <w:rFonts w:ascii="Times New Roman" w:hAnsi="Times New Roman"/>
                      <w:color w:val="auto"/>
                      <w:szCs w:val="21"/>
                    </w:rPr>
                  </w:pPr>
                  <w:r>
                    <w:rPr>
                      <w:rFonts w:hint="eastAsia" w:ascii="Times New Roman" w:hAnsi="Times New Roman"/>
                      <w:color w:val="auto"/>
                      <w:szCs w:val="21"/>
                    </w:rPr>
                    <w:t>生活用水</w:t>
                  </w:r>
                  <w:r>
                    <w:rPr>
                      <w:rFonts w:ascii="Times New Roman" w:hAnsi="Times New Roman"/>
                      <w:color w:val="auto"/>
                      <w:szCs w:val="21"/>
                    </w:rPr>
                    <w:t>由</w:t>
                  </w:r>
                  <w:r>
                    <w:rPr>
                      <w:rFonts w:hint="eastAsia" w:ascii="Times New Roman" w:hAnsi="Times New Roman"/>
                      <w:color w:val="auto"/>
                      <w:szCs w:val="21"/>
                    </w:rPr>
                    <w:t>市政管网供水，全厂年用</w:t>
                  </w:r>
                  <w:r>
                    <w:rPr>
                      <w:rFonts w:hint="eastAsia"/>
                      <w:color w:val="auto"/>
                      <w:szCs w:val="21"/>
                      <w:lang w:eastAsia="zh-CN"/>
                    </w:rPr>
                    <w:t>自来</w:t>
                  </w:r>
                  <w:r>
                    <w:rPr>
                      <w:rFonts w:hint="eastAsia" w:ascii="Times New Roman" w:hAnsi="Times New Roman"/>
                      <w:color w:val="auto"/>
                      <w:szCs w:val="21"/>
                    </w:rPr>
                    <w:t>水量</w:t>
                  </w:r>
                  <w:r>
                    <w:rPr>
                      <w:rFonts w:hint="eastAsia"/>
                      <w:color w:val="auto"/>
                      <w:szCs w:val="21"/>
                      <w:lang w:val="en-US" w:eastAsia="zh-CN"/>
                    </w:rPr>
                    <w:t>13350</w:t>
                  </w:r>
                  <w:r>
                    <w:rPr>
                      <w:rFonts w:hint="eastAsia" w:ascii="Times New Roman" w:hAnsi="Times New Roman"/>
                      <w:color w:val="auto"/>
                      <w:szCs w:val="21"/>
                    </w:rPr>
                    <w:t>t</w:t>
                  </w:r>
                  <w:r>
                    <w:rPr>
                      <w:rFonts w:ascii="Times New Roman" w:hAnsi="Times New Roman"/>
                      <w:color w:val="auto"/>
                      <w:szCs w:val="21"/>
                    </w:rPr>
                    <w:t>。</w:t>
                  </w:r>
                  <w:r>
                    <w:rPr>
                      <w:rFonts w:hint="eastAsia" w:ascii="Times New Roman" w:hAnsi="Times New Roman"/>
                      <w:color w:val="auto"/>
                      <w:szCs w:val="21"/>
                      <w:lang w:val="en-US" w:eastAsia="zh-CN"/>
                    </w:rPr>
                    <w:t>织造用水</w:t>
                  </w:r>
                  <w:r>
                    <w:rPr>
                      <w:rFonts w:hint="eastAsia" w:ascii="Times New Roman" w:hAnsi="Times New Roman"/>
                      <w:color w:val="auto"/>
                      <w:szCs w:val="21"/>
                    </w:rPr>
                    <w:t>来自于长兴虹溪污水处理有限公司建设在虹星桥镇北片工业园区的中水回用站</w:t>
                  </w:r>
                  <w:r>
                    <w:rPr>
                      <w:rFonts w:hint="eastAsia"/>
                      <w:color w:val="auto"/>
                      <w:szCs w:val="21"/>
                      <w:lang w:eastAsia="zh-CN"/>
                    </w:rPr>
                    <w:t>的再生水</w:t>
                  </w:r>
                  <w:r>
                    <w:rPr>
                      <w:rFonts w:hint="eastAsia"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ascii="Times New Roman" w:hAnsi="Times New Roman"/>
                      <w:color w:val="auto"/>
                      <w:szCs w:val="21"/>
                    </w:rPr>
                  </w:pPr>
                </w:p>
              </w:tc>
              <w:tc>
                <w:tcPr>
                  <w:tcW w:w="1118" w:type="dxa"/>
                  <w:vAlign w:val="center"/>
                </w:tcPr>
                <w:p>
                  <w:pPr>
                    <w:jc w:val="center"/>
                    <w:rPr>
                      <w:rFonts w:ascii="Times New Roman" w:hAnsi="Times New Roman"/>
                      <w:color w:val="auto"/>
                      <w:szCs w:val="21"/>
                    </w:rPr>
                  </w:pPr>
                  <w:r>
                    <w:rPr>
                      <w:rFonts w:ascii="Times New Roman" w:hAnsi="Times New Roman"/>
                      <w:color w:val="auto"/>
                      <w:szCs w:val="21"/>
                    </w:rPr>
                    <w:t>排水</w:t>
                  </w:r>
                </w:p>
              </w:tc>
              <w:tc>
                <w:tcPr>
                  <w:tcW w:w="6403" w:type="dxa"/>
                  <w:vAlign w:val="center"/>
                </w:tcPr>
                <w:p>
                  <w:pPr>
                    <w:rPr>
                      <w:rFonts w:ascii="Times New Roman" w:hAnsi="Times New Roman"/>
                      <w:color w:val="auto"/>
                      <w:szCs w:val="21"/>
                    </w:rPr>
                  </w:pPr>
                  <w:r>
                    <w:rPr>
                      <w:rFonts w:ascii="Times New Roman"/>
                      <w:color w:val="auto"/>
                      <w:szCs w:val="21"/>
                    </w:rPr>
                    <w:t>厂区内实行雨污分流；</w:t>
                  </w:r>
                  <w:r>
                    <w:rPr>
                      <w:rFonts w:hint="eastAsia" w:ascii="Times New Roman"/>
                      <w:color w:val="auto"/>
                      <w:szCs w:val="21"/>
                    </w:rPr>
                    <w:t>生活污水经化粪池预处理后由当地农村生活污水终端系统处理达标后排放</w:t>
                  </w:r>
                  <w:r>
                    <w:rPr>
                      <w:rFonts w:hint="eastAsia" w:ascii="Times New Roman"/>
                      <w:bCs/>
                      <w:color w:val="auto"/>
                      <w:szCs w:val="21"/>
                    </w:rPr>
                    <w:t>；</w:t>
                  </w:r>
                  <w:r>
                    <w:rPr>
                      <w:rFonts w:hint="eastAsia" w:ascii="Times New Roman" w:hAnsi="Times New Roman"/>
                      <w:bCs/>
                      <w:color w:val="auto"/>
                      <w:kern w:val="0"/>
                      <w:szCs w:val="21"/>
                      <w:lang w:eastAsia="zh-CN"/>
                    </w:rPr>
                    <w:t>织造废水通过长兴虹溪污水处理有限公司建设在虹星桥镇</w:t>
                  </w:r>
                  <w:r>
                    <w:rPr>
                      <w:rFonts w:hint="eastAsia"/>
                      <w:bCs/>
                      <w:color w:val="auto"/>
                      <w:kern w:val="0"/>
                      <w:szCs w:val="21"/>
                      <w:lang w:eastAsia="zh-CN"/>
                    </w:rPr>
                    <w:t>北</w:t>
                  </w:r>
                  <w:r>
                    <w:rPr>
                      <w:rFonts w:hint="eastAsia" w:ascii="Times New Roman" w:hAnsi="Times New Roman"/>
                      <w:bCs/>
                      <w:color w:val="auto"/>
                      <w:kern w:val="0"/>
                      <w:szCs w:val="21"/>
                      <w:lang w:eastAsia="zh-CN"/>
                    </w:rPr>
                    <w:t>片工业园区的中水回用站处理后回用于织造</w:t>
                  </w:r>
                  <w:r>
                    <w:rPr>
                      <w:rFonts w:hint="eastAsia" w:ascii="Times New Roman"/>
                      <w:bCs/>
                      <w:color w:val="auto"/>
                      <w:szCs w:val="21"/>
                    </w:rPr>
                    <w:t>；雨水经厂区内雨水管网排入当地河道。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ascii="Times New Roman" w:hAnsi="Times New Roman"/>
                      <w:color w:val="auto"/>
                      <w:szCs w:val="21"/>
                    </w:rPr>
                  </w:pPr>
                </w:p>
              </w:tc>
              <w:tc>
                <w:tcPr>
                  <w:tcW w:w="1118" w:type="dxa"/>
                  <w:vAlign w:val="center"/>
                </w:tcPr>
                <w:p>
                  <w:pPr>
                    <w:jc w:val="center"/>
                    <w:rPr>
                      <w:rFonts w:ascii="Times New Roman" w:hAnsi="Times New Roman"/>
                      <w:color w:val="auto"/>
                      <w:szCs w:val="21"/>
                    </w:rPr>
                  </w:pPr>
                  <w:r>
                    <w:rPr>
                      <w:rFonts w:ascii="Times New Roman" w:hAnsi="Times New Roman"/>
                      <w:color w:val="auto"/>
                      <w:szCs w:val="21"/>
                    </w:rPr>
                    <w:t>供电</w:t>
                  </w:r>
                </w:p>
              </w:tc>
              <w:tc>
                <w:tcPr>
                  <w:tcW w:w="6403" w:type="dxa"/>
                  <w:vAlign w:val="center"/>
                </w:tcPr>
                <w:p>
                  <w:pPr>
                    <w:rPr>
                      <w:rFonts w:ascii="Times New Roman" w:hAnsi="Times New Roman"/>
                      <w:color w:val="auto"/>
                      <w:szCs w:val="21"/>
                    </w:rPr>
                  </w:pPr>
                  <w:r>
                    <w:rPr>
                      <w:rFonts w:ascii="Times New Roman" w:hAnsi="Times New Roman"/>
                      <w:color w:val="auto"/>
                      <w:szCs w:val="21"/>
                    </w:rPr>
                    <w:t>由</w:t>
                  </w:r>
                  <w:r>
                    <w:rPr>
                      <w:rFonts w:hint="eastAsia" w:ascii="Times New Roman" w:hAnsi="Times New Roman"/>
                      <w:color w:val="auto"/>
                      <w:szCs w:val="21"/>
                    </w:rPr>
                    <w:t>当地供电局供给</w:t>
                  </w:r>
                  <w:r>
                    <w:rPr>
                      <w:rFonts w:ascii="Times New Roman" w:hAnsi="Times New Roman"/>
                      <w:color w:val="auto"/>
                      <w:szCs w:val="21"/>
                    </w:rPr>
                    <w:t>。</w:t>
                  </w:r>
                  <w:r>
                    <w:rPr>
                      <w:rFonts w:hint="eastAsia" w:ascii="Times New Roman" w:hAnsi="Times New Roman"/>
                      <w:color w:val="auto"/>
                      <w:szCs w:val="21"/>
                    </w:rPr>
                    <w:t>变压器</w:t>
                  </w:r>
                  <w:r>
                    <w:rPr>
                      <w:rFonts w:hint="eastAsia" w:ascii="Times New Roman" w:hAnsi="Times New Roman"/>
                      <w:color w:val="auto"/>
                      <w:szCs w:val="21"/>
                      <w:lang w:val="en-US" w:eastAsia="zh-CN"/>
                    </w:rPr>
                    <w:t>容量</w:t>
                  </w:r>
                  <w:r>
                    <w:rPr>
                      <w:rFonts w:hint="eastAsia" w:ascii="Times New Roman" w:hAnsi="Times New Roman"/>
                      <w:color w:val="auto"/>
                      <w:szCs w:val="21"/>
                    </w:rPr>
                    <w:t>1630kVA，年用电量约</w:t>
                  </w:r>
                  <w:r>
                    <w:rPr>
                      <w:rFonts w:hint="eastAsia" w:ascii="Times New Roman" w:hAnsi="Times New Roman" w:cs="Times New Roman"/>
                      <w:color w:val="auto"/>
                      <w:szCs w:val="21"/>
                    </w:rPr>
                    <w:t>850万</w:t>
                  </w:r>
                  <w:r>
                    <w:rPr>
                      <w:rFonts w:ascii="Times New Roman" w:hAnsi="Times New Roman" w:cs="Times New Roman"/>
                      <w:color w:val="auto"/>
                      <w:szCs w:val="21"/>
                    </w:rPr>
                    <w:t>kW·h</w:t>
                  </w:r>
                  <w:r>
                    <w:rPr>
                      <w:rFonts w:hint="eastAsia"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rFonts w:ascii="Times New Roman" w:hAnsi="宋体"/>
                      <w:color w:val="auto"/>
                      <w:szCs w:val="21"/>
                    </w:rPr>
                  </w:pPr>
                  <w:r>
                    <w:rPr>
                      <w:rFonts w:ascii="Times New Roman" w:hAnsi="宋体"/>
                      <w:color w:val="auto"/>
                      <w:szCs w:val="21"/>
                    </w:rPr>
                    <w:t>环</w:t>
                  </w:r>
                </w:p>
                <w:p>
                  <w:pPr>
                    <w:jc w:val="center"/>
                    <w:rPr>
                      <w:rFonts w:ascii="Times New Roman" w:hAnsi="宋体"/>
                      <w:color w:val="auto"/>
                      <w:szCs w:val="21"/>
                    </w:rPr>
                  </w:pPr>
                  <w:r>
                    <w:rPr>
                      <w:rFonts w:ascii="Times New Roman" w:hAnsi="宋体"/>
                      <w:color w:val="auto"/>
                      <w:szCs w:val="21"/>
                    </w:rPr>
                    <w:t>保</w:t>
                  </w:r>
                </w:p>
                <w:p>
                  <w:pPr>
                    <w:jc w:val="center"/>
                    <w:rPr>
                      <w:rFonts w:ascii="Times New Roman" w:hAnsi="宋体"/>
                      <w:color w:val="auto"/>
                      <w:szCs w:val="21"/>
                    </w:rPr>
                  </w:pPr>
                  <w:r>
                    <w:rPr>
                      <w:rFonts w:ascii="Times New Roman" w:hAnsi="宋体"/>
                      <w:color w:val="auto"/>
                      <w:szCs w:val="21"/>
                    </w:rPr>
                    <w:t>工</w:t>
                  </w:r>
                </w:p>
                <w:p>
                  <w:pPr>
                    <w:jc w:val="center"/>
                    <w:rPr>
                      <w:rFonts w:ascii="Times New Roman" w:hAnsi="Times New Roman"/>
                      <w:color w:val="auto"/>
                      <w:szCs w:val="21"/>
                    </w:rPr>
                  </w:pPr>
                  <w:r>
                    <w:rPr>
                      <w:rFonts w:ascii="Times New Roman" w:hAnsi="宋体"/>
                      <w:color w:val="auto"/>
                      <w:szCs w:val="21"/>
                    </w:rPr>
                    <w:t>程</w:t>
                  </w:r>
                </w:p>
              </w:tc>
              <w:tc>
                <w:tcPr>
                  <w:tcW w:w="1118" w:type="dxa"/>
                  <w:vAlign w:val="center"/>
                </w:tcPr>
                <w:p>
                  <w:pPr>
                    <w:jc w:val="center"/>
                    <w:rPr>
                      <w:rFonts w:ascii="Times New Roman" w:hAnsi="Times New Roman"/>
                      <w:color w:val="auto"/>
                      <w:szCs w:val="21"/>
                    </w:rPr>
                  </w:pPr>
                  <w:r>
                    <w:rPr>
                      <w:rFonts w:ascii="Times New Roman" w:hAnsi="宋体"/>
                      <w:color w:val="auto"/>
                      <w:szCs w:val="21"/>
                    </w:rPr>
                    <w:t>废气</w:t>
                  </w:r>
                </w:p>
              </w:tc>
              <w:tc>
                <w:tcPr>
                  <w:tcW w:w="6403" w:type="dxa"/>
                  <w:vAlign w:val="center"/>
                </w:tcPr>
                <w:p>
                  <w:pPr>
                    <w:pStyle w:val="50"/>
                    <w:jc w:val="both"/>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加弹废气经相对密闭收集后通过冷却+水喷淋+静电油烟净化装置（TA001）处理后，尾气经20m高排气筒排放（DA001）；</w:t>
                  </w:r>
                </w:p>
                <w:p>
                  <w:pPr>
                    <w:pStyle w:val="50"/>
                    <w:jc w:val="both"/>
                    <w:rPr>
                      <w:rFonts w:hint="eastAsia"/>
                      <w:lang w:eastAsia="zh-CN"/>
                    </w:rPr>
                  </w:pPr>
                  <w:r>
                    <w:rPr>
                      <w:rFonts w:hint="eastAsia" w:ascii="Times New Roman" w:hAnsi="Times New Roman" w:eastAsia="宋体" w:cs="Times New Roman"/>
                      <w:b w:val="0"/>
                      <w:bCs/>
                      <w:color w:val="auto"/>
                      <w:kern w:val="0"/>
                      <w:sz w:val="21"/>
                      <w:szCs w:val="21"/>
                      <w:lang w:val="en-US" w:eastAsia="zh-CN" w:bidi="ar-SA"/>
                    </w:rPr>
                    <w:t>加弹废气经相对密闭收集后通过冷却+水喷淋+静电油烟净化装置（TA00</w:t>
                  </w:r>
                  <w:r>
                    <w:rPr>
                      <w:rFonts w:hint="eastAsia" w:ascii="Times New Roman" w:hAnsi="Times New Roman" w:cs="Times New Roman"/>
                      <w:b w:val="0"/>
                      <w:bCs/>
                      <w:color w:val="auto"/>
                      <w:kern w:val="0"/>
                      <w:sz w:val="21"/>
                      <w:szCs w:val="21"/>
                      <w:lang w:val="en-US" w:eastAsia="zh-CN" w:bidi="ar-SA"/>
                    </w:rPr>
                    <w:t>2</w:t>
                  </w:r>
                  <w:r>
                    <w:rPr>
                      <w:rFonts w:hint="eastAsia" w:ascii="Times New Roman" w:hAnsi="Times New Roman" w:eastAsia="宋体" w:cs="Times New Roman"/>
                      <w:b w:val="0"/>
                      <w:bCs/>
                      <w:color w:val="auto"/>
                      <w:kern w:val="0"/>
                      <w:sz w:val="21"/>
                      <w:szCs w:val="21"/>
                      <w:lang w:val="en-US" w:eastAsia="zh-CN" w:bidi="ar-SA"/>
                    </w:rPr>
                    <w:t>）处理后，尾气经20m高排气筒排放（DA00</w:t>
                  </w:r>
                  <w:r>
                    <w:rPr>
                      <w:rFonts w:hint="eastAsia" w:ascii="Times New Roman" w:hAnsi="Times New Roman" w:cs="Times New Roman"/>
                      <w:b w:val="0"/>
                      <w:bCs/>
                      <w:color w:val="auto"/>
                      <w:kern w:val="0"/>
                      <w:sz w:val="21"/>
                      <w:szCs w:val="21"/>
                      <w:lang w:val="en-US" w:eastAsia="zh-CN" w:bidi="ar-SA"/>
                    </w:rPr>
                    <w:t>2</w:t>
                  </w:r>
                  <w:r>
                    <w:rPr>
                      <w:rFonts w:hint="eastAsia" w:ascii="Times New Roman" w:hAnsi="Times New Roman" w:eastAsia="宋体" w:cs="Times New Roman"/>
                      <w:b w:val="0"/>
                      <w:bCs/>
                      <w:color w:val="auto"/>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ascii="Times New Roman" w:hAnsi="Times New Roman"/>
                      <w:color w:val="auto"/>
                      <w:szCs w:val="21"/>
                    </w:rPr>
                  </w:pPr>
                </w:p>
              </w:tc>
              <w:tc>
                <w:tcPr>
                  <w:tcW w:w="1118" w:type="dxa"/>
                  <w:vAlign w:val="center"/>
                </w:tcPr>
                <w:p>
                  <w:pPr>
                    <w:jc w:val="center"/>
                    <w:rPr>
                      <w:rFonts w:ascii="Times New Roman" w:hAnsi="Times New Roman"/>
                      <w:color w:val="auto"/>
                      <w:szCs w:val="21"/>
                    </w:rPr>
                  </w:pPr>
                  <w:r>
                    <w:rPr>
                      <w:rFonts w:ascii="Times New Roman" w:hAnsi="宋体"/>
                      <w:color w:val="auto"/>
                      <w:szCs w:val="21"/>
                    </w:rPr>
                    <w:t>废水</w:t>
                  </w:r>
                </w:p>
              </w:tc>
              <w:tc>
                <w:tcPr>
                  <w:tcW w:w="6403" w:type="dxa"/>
                  <w:vAlign w:val="center"/>
                </w:tcPr>
                <w:p>
                  <w:pPr>
                    <w:rPr>
                      <w:rFonts w:ascii="Times New Roman" w:hAnsi="Times New Roman"/>
                      <w:color w:val="auto"/>
                    </w:rPr>
                  </w:pPr>
                  <w:r>
                    <w:rPr>
                      <w:rFonts w:hint="eastAsia" w:ascii="Times New Roman" w:hAnsi="Times New Roman"/>
                      <w:color w:val="auto"/>
                    </w:rPr>
                    <w:t>生活污水经化粪池预处理后由当地农村生活污水终端系统处理达标后排放；织造废水通过长兴虹溪污水处理有限公司建设在虹星桥镇北片工业园区的中水回用站处理后回用于织造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ascii="Times New Roman" w:hAnsi="Times New Roman"/>
                      <w:color w:val="auto"/>
                      <w:szCs w:val="21"/>
                      <w:highlight w:val="yellow"/>
                    </w:rPr>
                  </w:pPr>
                </w:p>
              </w:tc>
              <w:tc>
                <w:tcPr>
                  <w:tcW w:w="1118" w:type="dxa"/>
                  <w:vAlign w:val="center"/>
                </w:tcPr>
                <w:p>
                  <w:pPr>
                    <w:jc w:val="center"/>
                    <w:rPr>
                      <w:rFonts w:ascii="Times New Roman" w:hAnsi="Times New Roman"/>
                      <w:color w:val="auto"/>
                      <w:szCs w:val="21"/>
                    </w:rPr>
                  </w:pPr>
                  <w:r>
                    <w:rPr>
                      <w:rFonts w:ascii="Times New Roman" w:hAnsi="宋体"/>
                      <w:color w:val="auto"/>
                      <w:szCs w:val="21"/>
                    </w:rPr>
                    <w:t>固废</w:t>
                  </w:r>
                </w:p>
              </w:tc>
              <w:tc>
                <w:tcPr>
                  <w:tcW w:w="6403" w:type="dxa"/>
                  <w:vAlign w:val="center"/>
                </w:tcPr>
                <w:p>
                  <w:pPr>
                    <w:rPr>
                      <w:rFonts w:ascii="Times New Roman" w:hAnsi="宋体"/>
                      <w:color w:val="auto"/>
                      <w:szCs w:val="21"/>
                    </w:rPr>
                  </w:pPr>
                  <w:r>
                    <w:rPr>
                      <w:rFonts w:hint="eastAsia" w:ascii="Times New Roman" w:hAnsi="宋体"/>
                      <w:color w:val="auto"/>
                      <w:szCs w:val="21"/>
                    </w:rPr>
                    <w:t>生活垃圾：</w:t>
                  </w:r>
                  <w:r>
                    <w:rPr>
                      <w:rFonts w:hint="eastAsia" w:ascii="Times New Roman" w:hAnsi="宋体"/>
                      <w:color w:val="auto"/>
                      <w:szCs w:val="21"/>
                      <w:lang w:val="en-US" w:eastAsia="zh-CN"/>
                    </w:rPr>
                    <w:t>委托</w:t>
                  </w:r>
                  <w:r>
                    <w:rPr>
                      <w:rFonts w:hint="eastAsia" w:ascii="Times New Roman" w:hAnsi="宋体"/>
                      <w:color w:val="auto"/>
                      <w:szCs w:val="21"/>
                    </w:rPr>
                    <w:t>环卫部门清运。</w:t>
                  </w:r>
                </w:p>
                <w:p>
                  <w:pPr>
                    <w:rPr>
                      <w:rFonts w:ascii="Times New Roman" w:hAnsi="宋体"/>
                      <w:color w:val="auto"/>
                      <w:szCs w:val="21"/>
                    </w:rPr>
                  </w:pPr>
                  <w:r>
                    <w:rPr>
                      <w:rFonts w:hint="eastAsia" w:ascii="Times New Roman" w:hAnsi="宋体"/>
                      <w:color w:val="auto"/>
                      <w:szCs w:val="21"/>
                    </w:rPr>
                    <w:t>设置一间一般工业固废仓库，位于厂房西</w:t>
                  </w:r>
                  <w:r>
                    <w:rPr>
                      <w:rFonts w:hint="eastAsia" w:hAnsi="宋体"/>
                      <w:color w:val="auto"/>
                      <w:szCs w:val="21"/>
                      <w:lang w:eastAsia="zh-CN"/>
                    </w:rPr>
                    <w:t>南</w:t>
                  </w:r>
                  <w:r>
                    <w:rPr>
                      <w:rFonts w:hint="eastAsia" w:ascii="Times New Roman" w:hAnsi="宋体"/>
                      <w:color w:val="auto"/>
                      <w:szCs w:val="21"/>
                    </w:rPr>
                    <w:t>侧，面积约20m</w:t>
                  </w:r>
                  <w:r>
                    <w:rPr>
                      <w:rFonts w:hint="eastAsia" w:ascii="Times New Roman" w:hAnsi="宋体"/>
                      <w:color w:val="auto"/>
                      <w:szCs w:val="21"/>
                      <w:vertAlign w:val="superscript"/>
                    </w:rPr>
                    <w:t>2</w:t>
                  </w:r>
                  <w:r>
                    <w:rPr>
                      <w:rFonts w:hint="eastAsia" w:ascii="Times New Roman" w:hAnsi="宋体"/>
                      <w:color w:val="auto"/>
                      <w:szCs w:val="21"/>
                    </w:rPr>
                    <w:t>，</w:t>
                  </w:r>
                  <w:r>
                    <w:rPr>
                      <w:rFonts w:hint="eastAsia" w:ascii="Times New Roman" w:hAnsi="宋体"/>
                      <w:color w:val="auto"/>
                      <w:szCs w:val="21"/>
                      <w:lang w:val="en-US" w:eastAsia="zh-CN"/>
                    </w:rPr>
                    <w:t>一般固废</w:t>
                  </w:r>
                  <w:r>
                    <w:rPr>
                      <w:rFonts w:hint="eastAsia" w:ascii="Times New Roman" w:hAnsi="宋体"/>
                      <w:color w:val="auto"/>
                      <w:szCs w:val="21"/>
                    </w:rPr>
                    <w:t>集中收集后出售给物资回收公司。</w:t>
                  </w:r>
                </w:p>
                <w:p>
                  <w:pPr>
                    <w:rPr>
                      <w:rFonts w:ascii="Times New Roman" w:hAnsi="Times New Roman"/>
                      <w:color w:val="auto"/>
                      <w:szCs w:val="21"/>
                    </w:rPr>
                  </w:pPr>
                  <w:r>
                    <w:rPr>
                      <w:rFonts w:hint="eastAsia" w:ascii="Times New Roman" w:hAnsi="宋体"/>
                      <w:color w:val="auto"/>
                      <w:szCs w:val="21"/>
                    </w:rPr>
                    <w:t>设置一间危废仓库，位于厂房西</w:t>
                  </w:r>
                  <w:r>
                    <w:rPr>
                      <w:rFonts w:hint="eastAsia" w:hAnsi="宋体"/>
                      <w:color w:val="auto"/>
                      <w:szCs w:val="21"/>
                      <w:lang w:eastAsia="zh-CN"/>
                    </w:rPr>
                    <w:t>南</w:t>
                  </w:r>
                  <w:r>
                    <w:rPr>
                      <w:rFonts w:hint="eastAsia" w:ascii="Times New Roman" w:hAnsi="宋体"/>
                      <w:color w:val="auto"/>
                      <w:szCs w:val="21"/>
                    </w:rPr>
                    <w:t>侧，面积约10m</w:t>
                  </w:r>
                  <w:r>
                    <w:rPr>
                      <w:rFonts w:hint="eastAsia" w:ascii="Times New Roman" w:hAnsi="宋体"/>
                      <w:color w:val="auto"/>
                      <w:szCs w:val="21"/>
                      <w:vertAlign w:val="superscript"/>
                    </w:rPr>
                    <w:t>2</w:t>
                  </w:r>
                  <w:r>
                    <w:rPr>
                      <w:rFonts w:hint="eastAsia" w:ascii="Times New Roman" w:hAnsi="宋体"/>
                      <w:color w:val="auto"/>
                      <w:szCs w:val="21"/>
                    </w:rPr>
                    <w:t>，</w:t>
                  </w:r>
                  <w:r>
                    <w:rPr>
                      <w:rFonts w:hint="eastAsia" w:ascii="Times New Roman" w:hAnsi="宋体"/>
                      <w:color w:val="auto"/>
                      <w:szCs w:val="21"/>
                      <w:lang w:val="en-US" w:eastAsia="zh-CN"/>
                    </w:rPr>
                    <w:t>危险废物</w:t>
                  </w:r>
                  <w:r>
                    <w:rPr>
                      <w:rFonts w:hint="eastAsia" w:ascii="Times New Roman" w:hAnsi="宋体"/>
                      <w:color w:val="auto"/>
                      <w:szCs w:val="21"/>
                    </w:rPr>
                    <w:t>收集后在危废仓库暂存，委托资质单位</w:t>
                  </w:r>
                  <w:r>
                    <w:rPr>
                      <w:rFonts w:hint="eastAsia" w:ascii="Times New Roman" w:hAnsi="宋体"/>
                      <w:color w:val="auto"/>
                      <w:szCs w:val="21"/>
                      <w:lang w:val="en-US" w:eastAsia="zh-CN"/>
                    </w:rPr>
                    <w:t>定期</w:t>
                  </w:r>
                  <w:r>
                    <w:rPr>
                      <w:rFonts w:hint="eastAsia" w:ascii="Times New Roman" w:hAnsi="宋体"/>
                      <w:color w:val="auto"/>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ascii="Times New Roman" w:hAnsi="Times New Roman"/>
                      <w:color w:val="auto"/>
                      <w:szCs w:val="21"/>
                      <w:highlight w:val="yellow"/>
                    </w:rPr>
                  </w:pPr>
                </w:p>
              </w:tc>
              <w:tc>
                <w:tcPr>
                  <w:tcW w:w="1118" w:type="dxa"/>
                  <w:vAlign w:val="center"/>
                </w:tcPr>
                <w:p>
                  <w:pPr>
                    <w:jc w:val="center"/>
                    <w:rPr>
                      <w:rFonts w:ascii="Times New Roman" w:hAnsi="Times New Roman"/>
                      <w:color w:val="auto"/>
                      <w:szCs w:val="21"/>
                    </w:rPr>
                  </w:pPr>
                  <w:r>
                    <w:rPr>
                      <w:rFonts w:ascii="Times New Roman" w:hAnsi="宋体"/>
                      <w:color w:val="auto"/>
                      <w:szCs w:val="21"/>
                    </w:rPr>
                    <w:t>噪声</w:t>
                  </w:r>
                </w:p>
              </w:tc>
              <w:tc>
                <w:tcPr>
                  <w:tcW w:w="6403" w:type="dxa"/>
                  <w:vAlign w:val="center"/>
                </w:tcPr>
                <w:p>
                  <w:pPr>
                    <w:rPr>
                      <w:rFonts w:ascii="Times New Roman" w:hAnsi="Times New Roman"/>
                      <w:color w:val="auto"/>
                      <w:szCs w:val="21"/>
                    </w:rPr>
                  </w:pPr>
                  <w:r>
                    <w:rPr>
                      <w:rFonts w:ascii="Times New Roman" w:hAnsi="宋体"/>
                      <w:color w:val="auto"/>
                      <w:szCs w:val="21"/>
                    </w:rPr>
                    <w:t>合理布置设备位置</w:t>
                  </w:r>
                  <w:r>
                    <w:rPr>
                      <w:rFonts w:hint="eastAsia" w:ascii="Times New Roman" w:hAnsi="宋体"/>
                      <w:color w:val="auto"/>
                      <w:szCs w:val="21"/>
                      <w:lang w:eastAsia="zh-CN"/>
                    </w:rPr>
                    <w:t>；</w:t>
                  </w:r>
                  <w:r>
                    <w:rPr>
                      <w:rFonts w:ascii="Times New Roman" w:hAnsi="宋体"/>
                      <w:color w:val="auto"/>
                      <w:szCs w:val="21"/>
                    </w:rPr>
                    <w:t>选用噪声低、振动小的设备；对高噪声设备加设减振垫；安装隔声门窗。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rFonts w:ascii="Times New Roman" w:hAnsi="Times New Roman"/>
                      <w:color w:val="auto"/>
                      <w:szCs w:val="21"/>
                      <w:highlight w:val="yellow"/>
                    </w:rPr>
                  </w:pPr>
                </w:p>
              </w:tc>
              <w:tc>
                <w:tcPr>
                  <w:tcW w:w="1118" w:type="dxa"/>
                  <w:vAlign w:val="center"/>
                </w:tcPr>
                <w:p>
                  <w:pPr>
                    <w:jc w:val="center"/>
                    <w:rPr>
                      <w:rFonts w:ascii="Times New Roman" w:hAnsi="宋体"/>
                      <w:color w:val="auto"/>
                      <w:szCs w:val="21"/>
                    </w:rPr>
                  </w:pPr>
                  <w:r>
                    <w:rPr>
                      <w:rFonts w:hint="eastAsia" w:ascii="Times New Roman" w:hAnsi="宋体"/>
                      <w:color w:val="auto"/>
                      <w:szCs w:val="21"/>
                    </w:rPr>
                    <w:t>环境风险</w:t>
                  </w:r>
                </w:p>
              </w:tc>
              <w:tc>
                <w:tcPr>
                  <w:tcW w:w="6403" w:type="dxa"/>
                  <w:vAlign w:val="center"/>
                </w:tcPr>
                <w:p>
                  <w:pPr>
                    <w:rPr>
                      <w:rFonts w:hint="eastAsia" w:ascii="Times New Roman" w:hAnsi="宋体" w:eastAsiaTheme="minorEastAsia"/>
                      <w:color w:val="auto"/>
                      <w:szCs w:val="21"/>
                      <w:lang w:eastAsia="zh-CN"/>
                    </w:rPr>
                  </w:pPr>
                  <w:r>
                    <w:rPr>
                      <w:rFonts w:hint="eastAsia" w:ascii="Times New Roman" w:hAnsi="宋体"/>
                      <w:color w:val="auto"/>
                      <w:szCs w:val="21"/>
                    </w:rPr>
                    <w:t>生产车间、危废仓库等地面采取防渗</w:t>
                  </w:r>
                  <w:r>
                    <w:rPr>
                      <w:rFonts w:hint="eastAsia" w:ascii="Times New Roman" w:hAnsi="宋体"/>
                      <w:color w:val="auto"/>
                      <w:szCs w:val="21"/>
                      <w:lang w:val="en-US" w:eastAsia="zh-CN"/>
                    </w:rPr>
                    <w:t>漏</w:t>
                  </w:r>
                  <w:r>
                    <w:rPr>
                      <w:rFonts w:hint="eastAsia" w:ascii="Times New Roman" w:hAnsi="宋体"/>
                      <w:color w:val="auto"/>
                      <w:szCs w:val="21"/>
                    </w:rPr>
                    <w:t>措施</w:t>
                  </w:r>
                  <w:r>
                    <w:rPr>
                      <w:rFonts w:hint="eastAsia" w:ascii="Times New Roman" w:hAnsi="宋体"/>
                      <w:color w:val="auto"/>
                      <w:szCs w:val="21"/>
                      <w:lang w:eastAsia="zh-CN"/>
                    </w:rPr>
                    <w:t>。</w:t>
                  </w:r>
                </w:p>
              </w:tc>
            </w:tr>
          </w:tbl>
          <w:p>
            <w:pPr>
              <w:pStyle w:val="5"/>
              <w:spacing w:line="500" w:lineRule="exact"/>
              <w:ind w:firstLine="0" w:firstLineChars="0"/>
              <w:rPr>
                <w:b/>
                <w:bCs/>
              </w:rPr>
            </w:pPr>
            <w:r>
              <w:rPr>
                <w:b/>
                <w:bCs/>
              </w:rPr>
              <w:t>2.1.3</w:t>
            </w:r>
            <w:r>
              <w:rPr>
                <w:rFonts w:hAnsi="宋体"/>
                <w:b/>
                <w:bCs/>
              </w:rPr>
              <w:t>产品方案</w:t>
            </w:r>
            <w:bookmarkEnd w:id="6"/>
          </w:p>
          <w:p>
            <w:pPr>
              <w:pStyle w:val="3"/>
              <w:spacing w:line="460" w:lineRule="atLeast"/>
              <w:ind w:firstLine="0"/>
              <w:jc w:val="center"/>
              <w:rPr>
                <w:b/>
                <w:bCs/>
                <w:color w:val="auto"/>
                <w:szCs w:val="21"/>
              </w:rPr>
            </w:pPr>
            <w:r>
              <w:rPr>
                <w:rFonts w:hAnsi="宋体"/>
                <w:b/>
                <w:bCs/>
                <w:color w:val="auto"/>
                <w:szCs w:val="21"/>
              </w:rPr>
              <w:t>表</w:t>
            </w:r>
            <w:r>
              <w:rPr>
                <w:b/>
                <w:bCs/>
                <w:color w:val="auto"/>
                <w:szCs w:val="21"/>
              </w:rPr>
              <w:t>2.1-</w:t>
            </w:r>
            <w:r>
              <w:rPr>
                <w:rFonts w:hint="eastAsia"/>
                <w:b/>
                <w:bCs/>
                <w:color w:val="auto"/>
                <w:szCs w:val="21"/>
                <w:lang w:val="en-US" w:eastAsia="zh-CN"/>
              </w:rPr>
              <w:t>5</w:t>
            </w:r>
            <w:r>
              <w:rPr>
                <w:b/>
                <w:bCs/>
                <w:color w:val="auto"/>
                <w:szCs w:val="21"/>
              </w:rPr>
              <w:t xml:space="preserve"> </w:t>
            </w:r>
            <w:r>
              <w:rPr>
                <w:rFonts w:hAnsi="宋体"/>
                <w:b/>
                <w:bCs/>
                <w:color w:val="auto"/>
                <w:szCs w:val="21"/>
              </w:rPr>
              <w:t>建设项目产品方案一览表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402"/>
              <w:gridCol w:w="1225"/>
              <w:gridCol w:w="1290"/>
              <w:gridCol w:w="765"/>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 w:type="dxa"/>
                  <w:vAlign w:val="center"/>
                </w:tcPr>
                <w:p>
                  <w:pPr>
                    <w:adjustRightInd w:val="0"/>
                    <w:snapToGrid w:val="0"/>
                    <w:jc w:val="center"/>
                    <w:rPr>
                      <w:color w:val="auto"/>
                      <w:szCs w:val="21"/>
                    </w:rPr>
                  </w:pPr>
                  <w:bookmarkStart w:id="7" w:name="_Toc510512462"/>
                  <w:r>
                    <w:rPr>
                      <w:rFonts w:hAnsi="宋体"/>
                      <w:color w:val="auto"/>
                      <w:szCs w:val="21"/>
                    </w:rPr>
                    <w:t>序号</w:t>
                  </w:r>
                </w:p>
              </w:tc>
              <w:tc>
                <w:tcPr>
                  <w:tcW w:w="2492" w:type="dxa"/>
                  <w:vAlign w:val="center"/>
                </w:tcPr>
                <w:p>
                  <w:pPr>
                    <w:adjustRightInd w:val="0"/>
                    <w:snapToGrid w:val="0"/>
                    <w:jc w:val="center"/>
                    <w:rPr>
                      <w:color w:val="auto"/>
                      <w:szCs w:val="21"/>
                    </w:rPr>
                  </w:pPr>
                  <w:r>
                    <w:rPr>
                      <w:rFonts w:hAnsi="宋体"/>
                      <w:color w:val="auto"/>
                      <w:szCs w:val="21"/>
                    </w:rPr>
                    <w:t>产品种类及名称</w:t>
                  </w:r>
                </w:p>
              </w:tc>
              <w:tc>
                <w:tcPr>
                  <w:tcW w:w="1266" w:type="dxa"/>
                  <w:vAlign w:val="center"/>
                </w:tcPr>
                <w:p>
                  <w:pPr>
                    <w:adjustRightInd w:val="0"/>
                    <w:snapToGrid w:val="0"/>
                    <w:jc w:val="center"/>
                    <w:rPr>
                      <w:color w:val="auto"/>
                      <w:szCs w:val="21"/>
                    </w:rPr>
                  </w:pPr>
                  <w:r>
                    <w:rPr>
                      <w:rFonts w:hAnsi="宋体"/>
                      <w:color w:val="auto"/>
                      <w:szCs w:val="21"/>
                    </w:rPr>
                    <w:t>幅宽</w:t>
                  </w:r>
                </w:p>
              </w:tc>
              <w:tc>
                <w:tcPr>
                  <w:tcW w:w="1334" w:type="dxa"/>
                  <w:vAlign w:val="center"/>
                </w:tcPr>
                <w:p>
                  <w:pPr>
                    <w:adjustRightInd w:val="0"/>
                    <w:snapToGrid w:val="0"/>
                    <w:jc w:val="center"/>
                    <w:rPr>
                      <w:color w:val="auto"/>
                      <w:szCs w:val="21"/>
                    </w:rPr>
                  </w:pPr>
                  <w:r>
                    <w:rPr>
                      <w:rFonts w:hint="eastAsia" w:hAnsi="宋体"/>
                      <w:color w:val="auto"/>
                      <w:szCs w:val="21"/>
                      <w:lang w:val="en-US" w:eastAsia="zh-CN"/>
                    </w:rPr>
                    <w:t>平均</w:t>
                  </w:r>
                  <w:r>
                    <w:rPr>
                      <w:rFonts w:hAnsi="宋体"/>
                      <w:color w:val="auto"/>
                      <w:szCs w:val="21"/>
                    </w:rPr>
                    <w:t>克重</w:t>
                  </w:r>
                </w:p>
              </w:tc>
              <w:tc>
                <w:tcPr>
                  <w:tcW w:w="787" w:type="dxa"/>
                  <w:vAlign w:val="center"/>
                </w:tcPr>
                <w:p>
                  <w:pPr>
                    <w:adjustRightInd w:val="0"/>
                    <w:snapToGrid w:val="0"/>
                    <w:jc w:val="center"/>
                    <w:rPr>
                      <w:color w:val="auto"/>
                      <w:szCs w:val="21"/>
                    </w:rPr>
                  </w:pPr>
                  <w:r>
                    <w:rPr>
                      <w:rFonts w:hAnsi="宋体"/>
                      <w:color w:val="auto"/>
                      <w:szCs w:val="21"/>
                    </w:rPr>
                    <w:t>包装</w:t>
                  </w:r>
                </w:p>
              </w:tc>
              <w:tc>
                <w:tcPr>
                  <w:tcW w:w="1812" w:type="dxa"/>
                  <w:vAlign w:val="center"/>
                </w:tcPr>
                <w:p>
                  <w:pPr>
                    <w:adjustRightInd w:val="0"/>
                    <w:snapToGrid w:val="0"/>
                    <w:jc w:val="center"/>
                    <w:rPr>
                      <w:color w:val="auto"/>
                      <w:szCs w:val="21"/>
                    </w:rPr>
                  </w:pPr>
                  <w:r>
                    <w:rPr>
                      <w:rFonts w:hAnsi="宋体"/>
                      <w:color w:val="auto"/>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 w:type="dxa"/>
                  <w:vAlign w:val="center"/>
                </w:tcPr>
                <w:p>
                  <w:pPr>
                    <w:adjustRightInd w:val="0"/>
                    <w:snapToGrid w:val="0"/>
                    <w:jc w:val="center"/>
                    <w:rPr>
                      <w:color w:val="auto"/>
                      <w:szCs w:val="21"/>
                    </w:rPr>
                  </w:pPr>
                  <w:r>
                    <w:rPr>
                      <w:color w:val="auto"/>
                      <w:szCs w:val="21"/>
                    </w:rPr>
                    <w:t>1</w:t>
                  </w:r>
                </w:p>
              </w:tc>
              <w:tc>
                <w:tcPr>
                  <w:tcW w:w="2492" w:type="dxa"/>
                  <w:vAlign w:val="center"/>
                </w:tcPr>
                <w:p>
                  <w:pPr>
                    <w:adjustRightInd w:val="0"/>
                    <w:snapToGrid w:val="0"/>
                    <w:jc w:val="center"/>
                    <w:rPr>
                      <w:bCs/>
                      <w:color w:val="auto"/>
                      <w:szCs w:val="21"/>
                    </w:rPr>
                  </w:pPr>
                  <w:r>
                    <w:rPr>
                      <w:rFonts w:hint="eastAsia" w:hAnsi="宋体"/>
                      <w:bCs/>
                      <w:color w:val="auto"/>
                      <w:szCs w:val="21"/>
                      <w:lang w:val="en-US" w:eastAsia="zh-CN"/>
                    </w:rPr>
                    <w:t>高端纺织面料</w:t>
                  </w:r>
                </w:p>
              </w:tc>
              <w:tc>
                <w:tcPr>
                  <w:tcW w:w="1266" w:type="dxa"/>
                  <w:vAlign w:val="center"/>
                </w:tcPr>
                <w:p>
                  <w:pPr>
                    <w:adjustRightInd w:val="0"/>
                    <w:snapToGrid w:val="0"/>
                    <w:jc w:val="center"/>
                    <w:rPr>
                      <w:bCs/>
                      <w:color w:val="auto"/>
                      <w:szCs w:val="21"/>
                    </w:rPr>
                  </w:pPr>
                  <w:r>
                    <w:rPr>
                      <w:color w:val="auto"/>
                      <w:szCs w:val="21"/>
                    </w:rPr>
                    <w:t>1.6~2.1m</w:t>
                  </w:r>
                </w:p>
              </w:tc>
              <w:tc>
                <w:tcPr>
                  <w:tcW w:w="1334" w:type="dxa"/>
                  <w:vAlign w:val="center"/>
                </w:tcPr>
                <w:p>
                  <w:pPr>
                    <w:adjustRightInd w:val="0"/>
                    <w:snapToGrid w:val="0"/>
                    <w:jc w:val="center"/>
                    <w:rPr>
                      <w:color w:val="auto"/>
                      <w:szCs w:val="21"/>
                    </w:rPr>
                  </w:pPr>
                  <w:r>
                    <w:rPr>
                      <w:color w:val="auto"/>
                      <w:szCs w:val="21"/>
                    </w:rPr>
                    <w:t>135g/m</w:t>
                  </w:r>
                  <w:r>
                    <w:rPr>
                      <w:color w:val="auto"/>
                      <w:szCs w:val="21"/>
                      <w:vertAlign w:val="superscript"/>
                    </w:rPr>
                    <w:t>2</w:t>
                  </w:r>
                </w:p>
              </w:tc>
              <w:tc>
                <w:tcPr>
                  <w:tcW w:w="787" w:type="dxa"/>
                  <w:vAlign w:val="center"/>
                </w:tcPr>
                <w:p>
                  <w:pPr>
                    <w:adjustRightInd w:val="0"/>
                    <w:snapToGrid w:val="0"/>
                    <w:jc w:val="center"/>
                    <w:rPr>
                      <w:bCs/>
                      <w:color w:val="auto"/>
                      <w:szCs w:val="21"/>
                    </w:rPr>
                  </w:pPr>
                  <w:r>
                    <w:rPr>
                      <w:rFonts w:hAnsi="宋体"/>
                      <w:bCs/>
                      <w:color w:val="auto"/>
                      <w:szCs w:val="21"/>
                    </w:rPr>
                    <w:t>卷装</w:t>
                  </w:r>
                </w:p>
              </w:tc>
              <w:tc>
                <w:tcPr>
                  <w:tcW w:w="1812" w:type="dxa"/>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3800</w:t>
                  </w:r>
                  <w:r>
                    <w:rPr>
                      <w:rFonts w:hAnsi="宋体"/>
                      <w:color w:val="auto"/>
                      <w:szCs w:val="21"/>
                    </w:rPr>
                    <w:t>万米</w:t>
                  </w:r>
                  <w:r>
                    <w:rPr>
                      <w:color w:val="auto"/>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 w:type="dxa"/>
                  <w:vAlign w:val="center"/>
                </w:tcPr>
                <w:p>
                  <w:pPr>
                    <w:adjustRightInd w:val="0"/>
                    <w:snapToGrid w:val="0"/>
                    <w:jc w:val="center"/>
                    <w:rPr>
                      <w:rFonts w:hint="eastAsia" w:eastAsia="宋体"/>
                      <w:color w:val="auto"/>
                      <w:szCs w:val="21"/>
                      <w:lang w:val="en-US" w:eastAsia="zh-CN"/>
                    </w:rPr>
                  </w:pPr>
                  <w:bookmarkStart w:id="8" w:name="_Toc12471"/>
                  <w:r>
                    <w:rPr>
                      <w:rFonts w:hint="eastAsia"/>
                      <w:color w:val="auto"/>
                      <w:szCs w:val="21"/>
                      <w:lang w:val="en-US" w:eastAsia="zh-CN"/>
                    </w:rPr>
                    <w:t>2</w:t>
                  </w:r>
                </w:p>
              </w:tc>
              <w:tc>
                <w:tcPr>
                  <w:tcW w:w="2492" w:type="dxa"/>
                  <w:vAlign w:val="center"/>
                </w:tcPr>
                <w:p>
                  <w:pPr>
                    <w:adjustRightInd w:val="0"/>
                    <w:snapToGrid w:val="0"/>
                    <w:jc w:val="center"/>
                    <w:rPr>
                      <w:rFonts w:hint="eastAsia" w:hAnsi="宋体"/>
                      <w:bCs/>
                      <w:color w:val="auto"/>
                      <w:szCs w:val="21"/>
                      <w:lang w:val="en-US" w:eastAsia="zh-CN"/>
                    </w:rPr>
                  </w:pPr>
                  <w:r>
                    <w:rPr>
                      <w:rFonts w:hint="eastAsia" w:hAnsi="宋体"/>
                      <w:bCs/>
                      <w:color w:val="auto"/>
                      <w:szCs w:val="21"/>
                      <w:lang w:val="en-US" w:eastAsia="zh-CN"/>
                    </w:rPr>
                    <w:t>家纺四件套</w:t>
                  </w:r>
                </w:p>
              </w:tc>
              <w:tc>
                <w:tcPr>
                  <w:tcW w:w="1266" w:type="dxa"/>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1334" w:type="dxa"/>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787" w:type="dxa"/>
                  <w:vAlign w:val="center"/>
                </w:tcPr>
                <w:p>
                  <w:pPr>
                    <w:adjustRightInd w:val="0"/>
                    <w:snapToGrid w:val="0"/>
                    <w:jc w:val="center"/>
                    <w:rPr>
                      <w:rFonts w:hint="eastAsia" w:hAnsi="宋体" w:eastAsia="宋体"/>
                      <w:bCs/>
                      <w:color w:val="auto"/>
                      <w:szCs w:val="21"/>
                      <w:lang w:val="en-US" w:eastAsia="zh-CN"/>
                    </w:rPr>
                  </w:pPr>
                  <w:r>
                    <w:rPr>
                      <w:rFonts w:hint="eastAsia" w:hAnsi="宋体"/>
                      <w:bCs/>
                      <w:color w:val="auto"/>
                      <w:szCs w:val="21"/>
                      <w:lang w:val="en-US" w:eastAsia="zh-CN"/>
                    </w:rPr>
                    <w:t>/</w:t>
                  </w:r>
                </w:p>
              </w:tc>
              <w:tc>
                <w:tcPr>
                  <w:tcW w:w="1812" w:type="dxa"/>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10万套/a</w:t>
                  </w:r>
                </w:p>
              </w:tc>
            </w:tr>
            <w:bookmarkEnd w:id="7"/>
          </w:tbl>
          <w:p>
            <w:pPr>
              <w:spacing w:line="500" w:lineRule="exact"/>
              <w:ind w:firstLine="480" w:firstLineChars="200"/>
              <w:rPr>
                <w:rFonts w:hAnsi="宋体"/>
                <w:b/>
                <w:bCs/>
                <w:szCs w:val="21"/>
              </w:rPr>
            </w:pPr>
            <w:r>
              <w:rPr>
                <w:rFonts w:hAnsi="宋体"/>
                <w:sz w:val="24"/>
              </w:rPr>
              <w:t>产品标准执行《</w:t>
            </w:r>
            <w:r>
              <w:rPr>
                <w:rFonts w:hAnsi="宋体"/>
                <w:sz w:val="24"/>
                <w:lang w:val="zh-CN"/>
              </w:rPr>
              <w:t>国家纺织产品基本安全技术规范</w:t>
            </w:r>
            <w:r>
              <w:rPr>
                <w:rFonts w:hAnsi="宋体"/>
                <w:sz w:val="24"/>
              </w:rPr>
              <w:t>》（</w:t>
            </w:r>
            <w:r>
              <w:rPr>
                <w:sz w:val="24"/>
              </w:rPr>
              <w:t>GB18401-2010</w:t>
            </w:r>
            <w:r>
              <w:rPr>
                <w:rFonts w:hAnsi="宋体"/>
                <w:sz w:val="24"/>
              </w:rPr>
              <w:t>），见表</w:t>
            </w:r>
            <w:r>
              <w:rPr>
                <w:sz w:val="24"/>
                <w:szCs w:val="20"/>
              </w:rPr>
              <w:t>2.1-</w:t>
            </w:r>
            <w:r>
              <w:rPr>
                <w:rFonts w:hint="eastAsia"/>
                <w:sz w:val="24"/>
                <w:szCs w:val="20"/>
                <w:lang w:val="en-US" w:eastAsia="zh-CN"/>
              </w:rPr>
              <w:t>6</w:t>
            </w:r>
            <w:r>
              <w:rPr>
                <w:rFonts w:hAnsi="宋体"/>
                <w:sz w:val="24"/>
              </w:rPr>
              <w:t>。</w:t>
            </w:r>
          </w:p>
          <w:p>
            <w:pPr>
              <w:spacing w:line="460" w:lineRule="exact"/>
              <w:jc w:val="center"/>
              <w:rPr>
                <w:b/>
                <w:bCs/>
                <w:szCs w:val="21"/>
              </w:rPr>
            </w:pPr>
            <w:r>
              <w:rPr>
                <w:rFonts w:hAnsi="宋体"/>
                <w:b/>
                <w:bCs/>
                <w:szCs w:val="21"/>
              </w:rPr>
              <w:t>表</w:t>
            </w:r>
            <w:r>
              <w:rPr>
                <w:b/>
                <w:bCs/>
                <w:szCs w:val="21"/>
              </w:rPr>
              <w:t>2.1-</w:t>
            </w:r>
            <w:r>
              <w:rPr>
                <w:rFonts w:hint="eastAsia"/>
                <w:b/>
                <w:bCs/>
                <w:szCs w:val="21"/>
                <w:lang w:val="en-US" w:eastAsia="zh-CN"/>
              </w:rPr>
              <w:t>6</w:t>
            </w:r>
            <w:r>
              <w:rPr>
                <w:b/>
                <w:bCs/>
                <w:szCs w:val="21"/>
              </w:rPr>
              <w:t xml:space="preserve">  </w:t>
            </w:r>
            <w:r>
              <w:rPr>
                <w:rFonts w:hAnsi="宋体"/>
                <w:b/>
                <w:bCs/>
                <w:szCs w:val="21"/>
              </w:rPr>
              <w:t>《国家纺织产品基本安全技术规范》（</w:t>
            </w:r>
            <w:r>
              <w:rPr>
                <w:b/>
                <w:bCs/>
                <w:szCs w:val="21"/>
              </w:rPr>
              <w:t>GB18401-2010</w:t>
            </w:r>
            <w:r>
              <w:rPr>
                <w:rFonts w:hAnsi="宋体"/>
                <w:b/>
                <w:bCs/>
                <w:szCs w:val="21"/>
              </w:rPr>
              <w:t>）</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2574"/>
              <w:gridCol w:w="1460"/>
              <w:gridCol w:w="1202"/>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072" w:type="dxa"/>
                  <w:gridSpan w:val="2"/>
                  <w:vAlign w:val="center"/>
                </w:tcPr>
                <w:p>
                  <w:pPr>
                    <w:adjustRightInd w:val="0"/>
                    <w:snapToGrid w:val="0"/>
                    <w:jc w:val="center"/>
                    <w:rPr>
                      <w:szCs w:val="21"/>
                    </w:rPr>
                  </w:pPr>
                  <w:r>
                    <w:rPr>
                      <w:rFonts w:hAnsi="宋体"/>
                      <w:szCs w:val="21"/>
                    </w:rPr>
                    <w:t>项目</w:t>
                  </w:r>
                </w:p>
              </w:tc>
              <w:tc>
                <w:tcPr>
                  <w:tcW w:w="1410" w:type="dxa"/>
                  <w:vAlign w:val="center"/>
                </w:tcPr>
                <w:p>
                  <w:pPr>
                    <w:adjustRightInd w:val="0"/>
                    <w:snapToGrid w:val="0"/>
                    <w:jc w:val="center"/>
                    <w:rPr>
                      <w:szCs w:val="21"/>
                    </w:rPr>
                  </w:pPr>
                  <w:r>
                    <w:rPr>
                      <w:szCs w:val="21"/>
                    </w:rPr>
                    <w:t>A</w:t>
                  </w:r>
                  <w:r>
                    <w:rPr>
                      <w:rFonts w:hAnsi="宋体"/>
                      <w:szCs w:val="21"/>
                    </w:rPr>
                    <w:t>类</w:t>
                  </w:r>
                </w:p>
              </w:tc>
              <w:tc>
                <w:tcPr>
                  <w:tcW w:w="1161" w:type="dxa"/>
                  <w:vAlign w:val="center"/>
                </w:tcPr>
                <w:p>
                  <w:pPr>
                    <w:adjustRightInd w:val="0"/>
                    <w:snapToGrid w:val="0"/>
                    <w:jc w:val="center"/>
                    <w:rPr>
                      <w:szCs w:val="21"/>
                    </w:rPr>
                  </w:pPr>
                  <w:r>
                    <w:rPr>
                      <w:szCs w:val="21"/>
                    </w:rPr>
                    <w:t>B</w:t>
                  </w:r>
                  <w:r>
                    <w:rPr>
                      <w:rFonts w:hAnsi="宋体"/>
                      <w:szCs w:val="21"/>
                    </w:rPr>
                    <w:t>类</w:t>
                  </w:r>
                </w:p>
              </w:tc>
              <w:tc>
                <w:tcPr>
                  <w:tcW w:w="1294" w:type="dxa"/>
                  <w:vAlign w:val="center"/>
                </w:tcPr>
                <w:p>
                  <w:pPr>
                    <w:adjustRightInd w:val="0"/>
                    <w:snapToGrid w:val="0"/>
                    <w:jc w:val="center"/>
                    <w:rPr>
                      <w:szCs w:val="21"/>
                    </w:rPr>
                  </w:pPr>
                  <w:r>
                    <w:rPr>
                      <w:szCs w:val="21"/>
                    </w:rPr>
                    <w:t>C</w:t>
                  </w:r>
                  <w:r>
                    <w:rPr>
                      <w:rFonts w:hAnsi="宋体"/>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2" w:type="dxa"/>
                  <w:gridSpan w:val="2"/>
                  <w:vAlign w:val="center"/>
                </w:tcPr>
                <w:p>
                  <w:pPr>
                    <w:adjustRightInd w:val="0"/>
                    <w:snapToGrid w:val="0"/>
                    <w:jc w:val="left"/>
                    <w:rPr>
                      <w:szCs w:val="21"/>
                    </w:rPr>
                  </w:pPr>
                  <w:r>
                    <w:rPr>
                      <w:rFonts w:hAnsi="宋体"/>
                      <w:szCs w:val="21"/>
                    </w:rPr>
                    <w:t>甲醛含量</w:t>
                  </w:r>
                  <w:r>
                    <w:rPr>
                      <w:szCs w:val="21"/>
                    </w:rPr>
                    <w:t>/</w:t>
                  </w:r>
                  <w:r>
                    <w:rPr>
                      <w:rFonts w:hAnsi="宋体"/>
                      <w:szCs w:val="21"/>
                    </w:rPr>
                    <w:t>（</w:t>
                  </w:r>
                  <w:r>
                    <w:rPr>
                      <w:szCs w:val="21"/>
                    </w:rPr>
                    <w:t>mg/kg</w:t>
                  </w:r>
                  <w:r>
                    <w:rPr>
                      <w:rFonts w:hAnsi="宋体"/>
                      <w:szCs w:val="21"/>
                    </w:rPr>
                    <w:t>）</w:t>
                  </w:r>
                  <w:r>
                    <w:rPr>
                      <w:szCs w:val="21"/>
                    </w:rPr>
                    <w:t xml:space="preserve">                  </w:t>
                  </w:r>
                  <w:r>
                    <w:rPr>
                      <w:bCs/>
                      <w:szCs w:val="21"/>
                    </w:rPr>
                    <w:t>≤</w:t>
                  </w:r>
                </w:p>
              </w:tc>
              <w:tc>
                <w:tcPr>
                  <w:tcW w:w="1410" w:type="dxa"/>
                  <w:vAlign w:val="center"/>
                </w:tcPr>
                <w:p>
                  <w:pPr>
                    <w:adjustRightInd w:val="0"/>
                    <w:snapToGrid w:val="0"/>
                    <w:jc w:val="center"/>
                    <w:rPr>
                      <w:szCs w:val="21"/>
                    </w:rPr>
                  </w:pPr>
                  <w:r>
                    <w:rPr>
                      <w:szCs w:val="21"/>
                    </w:rPr>
                    <w:t>20</w:t>
                  </w:r>
                </w:p>
              </w:tc>
              <w:tc>
                <w:tcPr>
                  <w:tcW w:w="1161" w:type="dxa"/>
                  <w:vAlign w:val="center"/>
                </w:tcPr>
                <w:p>
                  <w:pPr>
                    <w:adjustRightInd w:val="0"/>
                    <w:snapToGrid w:val="0"/>
                    <w:jc w:val="center"/>
                    <w:rPr>
                      <w:szCs w:val="21"/>
                    </w:rPr>
                  </w:pPr>
                  <w:r>
                    <w:rPr>
                      <w:szCs w:val="21"/>
                    </w:rPr>
                    <w:t>75</w:t>
                  </w:r>
                </w:p>
              </w:tc>
              <w:tc>
                <w:tcPr>
                  <w:tcW w:w="1294" w:type="dxa"/>
                  <w:vAlign w:val="center"/>
                </w:tcPr>
                <w:p>
                  <w:pPr>
                    <w:adjustRightInd w:val="0"/>
                    <w:snapToGrid w:val="0"/>
                    <w:jc w:val="center"/>
                    <w:rPr>
                      <w:szCs w:val="21"/>
                    </w:rPr>
                  </w:pPr>
                  <w:r>
                    <w:rPr>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2" w:type="dxa"/>
                  <w:gridSpan w:val="2"/>
                  <w:vAlign w:val="center"/>
                </w:tcPr>
                <w:p>
                  <w:pPr>
                    <w:adjustRightInd w:val="0"/>
                    <w:snapToGrid w:val="0"/>
                    <w:jc w:val="left"/>
                    <w:rPr>
                      <w:szCs w:val="21"/>
                    </w:rPr>
                  </w:pPr>
                  <w:r>
                    <w:rPr>
                      <w:szCs w:val="21"/>
                    </w:rPr>
                    <w:t>pH</w:t>
                  </w:r>
                  <w:r>
                    <w:rPr>
                      <w:rFonts w:hAnsi="宋体"/>
                      <w:szCs w:val="21"/>
                    </w:rPr>
                    <w:t>值</w:t>
                  </w:r>
                  <w:r>
                    <w:rPr>
                      <w:szCs w:val="21"/>
                      <w:vertAlign w:val="superscript"/>
                    </w:rPr>
                    <w:t>a</w:t>
                  </w:r>
                </w:p>
              </w:tc>
              <w:tc>
                <w:tcPr>
                  <w:tcW w:w="1410" w:type="dxa"/>
                  <w:vAlign w:val="center"/>
                </w:tcPr>
                <w:p>
                  <w:pPr>
                    <w:adjustRightInd w:val="0"/>
                    <w:snapToGrid w:val="0"/>
                    <w:jc w:val="center"/>
                    <w:rPr>
                      <w:szCs w:val="21"/>
                    </w:rPr>
                  </w:pPr>
                  <w:r>
                    <w:rPr>
                      <w:szCs w:val="21"/>
                    </w:rPr>
                    <w:t>4.0~7.5</w:t>
                  </w:r>
                </w:p>
              </w:tc>
              <w:tc>
                <w:tcPr>
                  <w:tcW w:w="1161" w:type="dxa"/>
                  <w:vAlign w:val="center"/>
                </w:tcPr>
                <w:p>
                  <w:pPr>
                    <w:adjustRightInd w:val="0"/>
                    <w:snapToGrid w:val="0"/>
                    <w:jc w:val="center"/>
                    <w:rPr>
                      <w:szCs w:val="21"/>
                    </w:rPr>
                  </w:pPr>
                  <w:r>
                    <w:rPr>
                      <w:szCs w:val="21"/>
                    </w:rPr>
                    <w:t>4.0~8.5</w:t>
                  </w:r>
                </w:p>
              </w:tc>
              <w:tc>
                <w:tcPr>
                  <w:tcW w:w="1294" w:type="dxa"/>
                  <w:vAlign w:val="center"/>
                </w:tcPr>
                <w:p>
                  <w:pPr>
                    <w:adjustRightInd w:val="0"/>
                    <w:snapToGrid w:val="0"/>
                    <w:jc w:val="center"/>
                    <w:rPr>
                      <w:szCs w:val="21"/>
                    </w:rPr>
                  </w:pPr>
                  <w:r>
                    <w:rPr>
                      <w:szCs w:val="21"/>
                    </w:rPr>
                    <w:t>4.0~9.0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7" w:type="dxa"/>
                  <w:vMerge w:val="restart"/>
                  <w:vAlign w:val="center"/>
                </w:tcPr>
                <w:p>
                  <w:pPr>
                    <w:adjustRightInd w:val="0"/>
                    <w:snapToGrid w:val="0"/>
                    <w:jc w:val="center"/>
                    <w:rPr>
                      <w:szCs w:val="21"/>
                    </w:rPr>
                  </w:pPr>
                  <w:r>
                    <w:rPr>
                      <w:rFonts w:hAnsi="宋体"/>
                      <w:szCs w:val="21"/>
                    </w:rPr>
                    <w:t>染色牢度</w:t>
                  </w:r>
                  <w:r>
                    <w:rPr>
                      <w:szCs w:val="21"/>
                      <w:vertAlign w:val="superscript"/>
                    </w:rPr>
                    <w:t>b</w:t>
                  </w:r>
                  <w:r>
                    <w:rPr>
                      <w:szCs w:val="21"/>
                    </w:rPr>
                    <w:t>/</w:t>
                  </w:r>
                  <w:r>
                    <w:rPr>
                      <w:rFonts w:hAnsi="宋体"/>
                      <w:szCs w:val="21"/>
                    </w:rPr>
                    <w:t>级</w:t>
                  </w:r>
                  <w:r>
                    <w:rPr>
                      <w:szCs w:val="21"/>
                    </w:rPr>
                    <w:t xml:space="preserve"> </w:t>
                  </w:r>
                  <w:r>
                    <w:rPr>
                      <w:bCs/>
                      <w:szCs w:val="21"/>
                    </w:rPr>
                    <w:t>≥</w:t>
                  </w:r>
                </w:p>
              </w:tc>
              <w:tc>
                <w:tcPr>
                  <w:tcW w:w="2485" w:type="dxa"/>
                  <w:vAlign w:val="center"/>
                </w:tcPr>
                <w:p>
                  <w:pPr>
                    <w:adjustRightInd w:val="0"/>
                    <w:snapToGrid w:val="0"/>
                    <w:jc w:val="left"/>
                    <w:rPr>
                      <w:szCs w:val="21"/>
                    </w:rPr>
                  </w:pPr>
                  <w:r>
                    <w:rPr>
                      <w:rFonts w:hAnsi="宋体"/>
                      <w:szCs w:val="21"/>
                    </w:rPr>
                    <w:t>耐水（变色、沾色）</w:t>
                  </w:r>
                </w:p>
              </w:tc>
              <w:tc>
                <w:tcPr>
                  <w:tcW w:w="1410" w:type="dxa"/>
                  <w:vAlign w:val="center"/>
                </w:tcPr>
                <w:p>
                  <w:pPr>
                    <w:adjustRightInd w:val="0"/>
                    <w:snapToGrid w:val="0"/>
                    <w:jc w:val="center"/>
                    <w:rPr>
                      <w:szCs w:val="21"/>
                    </w:rPr>
                  </w:pPr>
                  <w:r>
                    <w:rPr>
                      <w:szCs w:val="21"/>
                    </w:rPr>
                    <w:t>3-4</w:t>
                  </w:r>
                </w:p>
              </w:tc>
              <w:tc>
                <w:tcPr>
                  <w:tcW w:w="1161" w:type="dxa"/>
                  <w:vAlign w:val="center"/>
                </w:tcPr>
                <w:p>
                  <w:pPr>
                    <w:adjustRightInd w:val="0"/>
                    <w:snapToGrid w:val="0"/>
                    <w:jc w:val="center"/>
                    <w:rPr>
                      <w:szCs w:val="21"/>
                    </w:rPr>
                  </w:pPr>
                  <w:r>
                    <w:rPr>
                      <w:szCs w:val="21"/>
                    </w:rPr>
                    <w:t>3</w:t>
                  </w:r>
                </w:p>
              </w:tc>
              <w:tc>
                <w:tcPr>
                  <w:tcW w:w="1294" w:type="dxa"/>
                  <w:vAlign w:val="center"/>
                </w:tcPr>
                <w:p>
                  <w:pPr>
                    <w:adjustRightInd w:val="0"/>
                    <w:snapToGrid w:val="0"/>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7" w:type="dxa"/>
                  <w:vMerge w:val="continue"/>
                  <w:vAlign w:val="center"/>
                </w:tcPr>
                <w:p>
                  <w:pPr>
                    <w:adjustRightInd w:val="0"/>
                    <w:snapToGrid w:val="0"/>
                    <w:jc w:val="center"/>
                    <w:rPr>
                      <w:szCs w:val="21"/>
                    </w:rPr>
                  </w:pPr>
                </w:p>
              </w:tc>
              <w:tc>
                <w:tcPr>
                  <w:tcW w:w="2485" w:type="dxa"/>
                  <w:vAlign w:val="center"/>
                </w:tcPr>
                <w:p>
                  <w:pPr>
                    <w:adjustRightInd w:val="0"/>
                    <w:snapToGrid w:val="0"/>
                    <w:jc w:val="left"/>
                    <w:rPr>
                      <w:szCs w:val="21"/>
                    </w:rPr>
                  </w:pPr>
                  <w:r>
                    <w:rPr>
                      <w:rFonts w:hAnsi="宋体"/>
                      <w:szCs w:val="21"/>
                    </w:rPr>
                    <w:t>耐酸汗渍（变色、沾色）</w:t>
                  </w:r>
                </w:p>
              </w:tc>
              <w:tc>
                <w:tcPr>
                  <w:tcW w:w="1410" w:type="dxa"/>
                  <w:vAlign w:val="center"/>
                </w:tcPr>
                <w:p>
                  <w:pPr>
                    <w:adjustRightInd w:val="0"/>
                    <w:snapToGrid w:val="0"/>
                    <w:jc w:val="center"/>
                    <w:rPr>
                      <w:szCs w:val="21"/>
                    </w:rPr>
                  </w:pPr>
                  <w:r>
                    <w:rPr>
                      <w:szCs w:val="21"/>
                    </w:rPr>
                    <w:t>3-4</w:t>
                  </w:r>
                </w:p>
              </w:tc>
              <w:tc>
                <w:tcPr>
                  <w:tcW w:w="1161" w:type="dxa"/>
                  <w:vAlign w:val="center"/>
                </w:tcPr>
                <w:p>
                  <w:pPr>
                    <w:adjustRightInd w:val="0"/>
                    <w:snapToGrid w:val="0"/>
                    <w:jc w:val="center"/>
                    <w:rPr>
                      <w:szCs w:val="21"/>
                    </w:rPr>
                  </w:pPr>
                  <w:r>
                    <w:rPr>
                      <w:szCs w:val="21"/>
                    </w:rPr>
                    <w:t>3</w:t>
                  </w:r>
                </w:p>
              </w:tc>
              <w:tc>
                <w:tcPr>
                  <w:tcW w:w="1294" w:type="dxa"/>
                  <w:vAlign w:val="center"/>
                </w:tcPr>
                <w:p>
                  <w:pPr>
                    <w:adjustRightInd w:val="0"/>
                    <w:snapToGrid w:val="0"/>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7" w:type="dxa"/>
                  <w:vMerge w:val="continue"/>
                  <w:vAlign w:val="center"/>
                </w:tcPr>
                <w:p>
                  <w:pPr>
                    <w:adjustRightInd w:val="0"/>
                    <w:snapToGrid w:val="0"/>
                    <w:jc w:val="center"/>
                    <w:rPr>
                      <w:szCs w:val="21"/>
                    </w:rPr>
                  </w:pPr>
                </w:p>
              </w:tc>
              <w:tc>
                <w:tcPr>
                  <w:tcW w:w="2485" w:type="dxa"/>
                  <w:vAlign w:val="center"/>
                </w:tcPr>
                <w:p>
                  <w:pPr>
                    <w:adjustRightInd w:val="0"/>
                    <w:snapToGrid w:val="0"/>
                    <w:jc w:val="left"/>
                    <w:rPr>
                      <w:szCs w:val="21"/>
                    </w:rPr>
                  </w:pPr>
                  <w:r>
                    <w:rPr>
                      <w:rFonts w:hAnsi="宋体"/>
                      <w:szCs w:val="21"/>
                    </w:rPr>
                    <w:t>耐碱汗渍（变色、沾色）</w:t>
                  </w:r>
                </w:p>
              </w:tc>
              <w:tc>
                <w:tcPr>
                  <w:tcW w:w="1410" w:type="dxa"/>
                  <w:vAlign w:val="center"/>
                </w:tcPr>
                <w:p>
                  <w:pPr>
                    <w:adjustRightInd w:val="0"/>
                    <w:snapToGrid w:val="0"/>
                    <w:jc w:val="center"/>
                    <w:rPr>
                      <w:szCs w:val="21"/>
                    </w:rPr>
                  </w:pPr>
                  <w:r>
                    <w:rPr>
                      <w:szCs w:val="21"/>
                    </w:rPr>
                    <w:t>3-4</w:t>
                  </w:r>
                </w:p>
              </w:tc>
              <w:tc>
                <w:tcPr>
                  <w:tcW w:w="1161" w:type="dxa"/>
                  <w:vAlign w:val="center"/>
                </w:tcPr>
                <w:p>
                  <w:pPr>
                    <w:adjustRightInd w:val="0"/>
                    <w:snapToGrid w:val="0"/>
                    <w:jc w:val="center"/>
                    <w:rPr>
                      <w:szCs w:val="21"/>
                    </w:rPr>
                  </w:pPr>
                  <w:r>
                    <w:rPr>
                      <w:szCs w:val="21"/>
                    </w:rPr>
                    <w:t>3</w:t>
                  </w:r>
                </w:p>
              </w:tc>
              <w:tc>
                <w:tcPr>
                  <w:tcW w:w="1294" w:type="dxa"/>
                  <w:vAlign w:val="center"/>
                </w:tcPr>
                <w:p>
                  <w:pPr>
                    <w:adjustRightInd w:val="0"/>
                    <w:snapToGrid w:val="0"/>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7" w:type="dxa"/>
                  <w:vMerge w:val="continue"/>
                  <w:vAlign w:val="center"/>
                </w:tcPr>
                <w:p>
                  <w:pPr>
                    <w:adjustRightInd w:val="0"/>
                    <w:snapToGrid w:val="0"/>
                    <w:jc w:val="center"/>
                    <w:rPr>
                      <w:szCs w:val="21"/>
                    </w:rPr>
                  </w:pPr>
                </w:p>
              </w:tc>
              <w:tc>
                <w:tcPr>
                  <w:tcW w:w="2485" w:type="dxa"/>
                  <w:vAlign w:val="center"/>
                </w:tcPr>
                <w:p>
                  <w:pPr>
                    <w:adjustRightInd w:val="0"/>
                    <w:snapToGrid w:val="0"/>
                    <w:jc w:val="left"/>
                    <w:rPr>
                      <w:szCs w:val="21"/>
                    </w:rPr>
                  </w:pPr>
                  <w:r>
                    <w:rPr>
                      <w:rFonts w:hAnsi="宋体"/>
                      <w:szCs w:val="21"/>
                    </w:rPr>
                    <w:t>耐干摩擦</w:t>
                  </w:r>
                </w:p>
              </w:tc>
              <w:tc>
                <w:tcPr>
                  <w:tcW w:w="1410" w:type="dxa"/>
                  <w:vAlign w:val="center"/>
                </w:tcPr>
                <w:p>
                  <w:pPr>
                    <w:adjustRightInd w:val="0"/>
                    <w:snapToGrid w:val="0"/>
                    <w:jc w:val="center"/>
                    <w:rPr>
                      <w:szCs w:val="21"/>
                    </w:rPr>
                  </w:pPr>
                  <w:r>
                    <w:rPr>
                      <w:szCs w:val="21"/>
                    </w:rPr>
                    <w:t>4</w:t>
                  </w:r>
                </w:p>
              </w:tc>
              <w:tc>
                <w:tcPr>
                  <w:tcW w:w="1161" w:type="dxa"/>
                  <w:vAlign w:val="center"/>
                </w:tcPr>
                <w:p>
                  <w:pPr>
                    <w:adjustRightInd w:val="0"/>
                    <w:snapToGrid w:val="0"/>
                    <w:jc w:val="center"/>
                    <w:rPr>
                      <w:szCs w:val="21"/>
                    </w:rPr>
                  </w:pPr>
                  <w:r>
                    <w:rPr>
                      <w:szCs w:val="21"/>
                    </w:rPr>
                    <w:t>3</w:t>
                  </w:r>
                </w:p>
              </w:tc>
              <w:tc>
                <w:tcPr>
                  <w:tcW w:w="1294" w:type="dxa"/>
                  <w:vAlign w:val="center"/>
                </w:tcPr>
                <w:p>
                  <w:pPr>
                    <w:adjustRightInd w:val="0"/>
                    <w:snapToGrid w:val="0"/>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7" w:type="dxa"/>
                  <w:vMerge w:val="continue"/>
                  <w:vAlign w:val="center"/>
                </w:tcPr>
                <w:p>
                  <w:pPr>
                    <w:adjustRightInd w:val="0"/>
                    <w:snapToGrid w:val="0"/>
                    <w:jc w:val="center"/>
                    <w:rPr>
                      <w:szCs w:val="21"/>
                    </w:rPr>
                  </w:pPr>
                </w:p>
              </w:tc>
              <w:tc>
                <w:tcPr>
                  <w:tcW w:w="2485" w:type="dxa"/>
                  <w:vAlign w:val="center"/>
                </w:tcPr>
                <w:p>
                  <w:pPr>
                    <w:adjustRightInd w:val="0"/>
                    <w:snapToGrid w:val="0"/>
                    <w:jc w:val="left"/>
                    <w:rPr>
                      <w:szCs w:val="21"/>
                    </w:rPr>
                  </w:pPr>
                  <w:r>
                    <w:rPr>
                      <w:rFonts w:hAnsi="宋体"/>
                      <w:szCs w:val="21"/>
                    </w:rPr>
                    <w:t>耐唾液（变色、沾色）</w:t>
                  </w:r>
                </w:p>
              </w:tc>
              <w:tc>
                <w:tcPr>
                  <w:tcW w:w="1410" w:type="dxa"/>
                  <w:vAlign w:val="center"/>
                </w:tcPr>
                <w:p>
                  <w:pPr>
                    <w:adjustRightInd w:val="0"/>
                    <w:snapToGrid w:val="0"/>
                    <w:jc w:val="center"/>
                    <w:rPr>
                      <w:szCs w:val="21"/>
                    </w:rPr>
                  </w:pPr>
                  <w:r>
                    <w:rPr>
                      <w:szCs w:val="21"/>
                    </w:rPr>
                    <w:t>4</w:t>
                  </w:r>
                </w:p>
              </w:tc>
              <w:tc>
                <w:tcPr>
                  <w:tcW w:w="1161" w:type="dxa"/>
                  <w:vAlign w:val="center"/>
                </w:tcPr>
                <w:p>
                  <w:pPr>
                    <w:adjustRightInd w:val="0"/>
                    <w:snapToGrid w:val="0"/>
                    <w:jc w:val="center"/>
                    <w:rPr>
                      <w:szCs w:val="21"/>
                    </w:rPr>
                  </w:pPr>
                  <w:r>
                    <w:rPr>
                      <w:szCs w:val="21"/>
                    </w:rPr>
                    <w:t>-</w:t>
                  </w:r>
                </w:p>
              </w:tc>
              <w:tc>
                <w:tcPr>
                  <w:tcW w:w="1294" w:type="dxa"/>
                  <w:vAlign w:val="center"/>
                </w:tcPr>
                <w:p>
                  <w:pPr>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2" w:type="dxa"/>
                  <w:gridSpan w:val="2"/>
                  <w:vAlign w:val="center"/>
                </w:tcPr>
                <w:p>
                  <w:pPr>
                    <w:adjustRightInd w:val="0"/>
                    <w:snapToGrid w:val="0"/>
                    <w:jc w:val="left"/>
                    <w:rPr>
                      <w:szCs w:val="21"/>
                    </w:rPr>
                  </w:pPr>
                  <w:r>
                    <w:rPr>
                      <w:rFonts w:hAnsi="宋体"/>
                      <w:szCs w:val="21"/>
                    </w:rPr>
                    <w:t>异味</w:t>
                  </w:r>
                </w:p>
              </w:tc>
              <w:tc>
                <w:tcPr>
                  <w:tcW w:w="3865" w:type="dxa"/>
                  <w:gridSpan w:val="3"/>
                  <w:vAlign w:val="center"/>
                </w:tcPr>
                <w:p>
                  <w:pPr>
                    <w:adjustRightInd w:val="0"/>
                    <w:snapToGrid w:val="0"/>
                    <w:jc w:val="center"/>
                    <w:rPr>
                      <w:szCs w:val="21"/>
                    </w:rPr>
                  </w:pPr>
                  <w:r>
                    <w:rPr>
                      <w:rFonts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2" w:type="dxa"/>
                  <w:gridSpan w:val="2"/>
                  <w:vAlign w:val="center"/>
                </w:tcPr>
                <w:p>
                  <w:pPr>
                    <w:adjustRightInd w:val="0"/>
                    <w:snapToGrid w:val="0"/>
                    <w:jc w:val="left"/>
                    <w:rPr>
                      <w:szCs w:val="21"/>
                    </w:rPr>
                  </w:pPr>
                  <w:r>
                    <w:rPr>
                      <w:rFonts w:hAnsi="宋体"/>
                      <w:szCs w:val="21"/>
                    </w:rPr>
                    <w:t>可分解致癌芳香胺染料</w:t>
                  </w:r>
                  <w:r>
                    <w:rPr>
                      <w:szCs w:val="21"/>
                      <w:vertAlign w:val="superscript"/>
                    </w:rPr>
                    <w:t>c</w:t>
                  </w:r>
                  <w:r>
                    <w:rPr>
                      <w:szCs w:val="21"/>
                    </w:rPr>
                    <w:t>/</w:t>
                  </w:r>
                  <w:r>
                    <w:rPr>
                      <w:rFonts w:hAnsi="宋体"/>
                      <w:szCs w:val="21"/>
                    </w:rPr>
                    <w:t>（</w:t>
                  </w:r>
                  <w:r>
                    <w:rPr>
                      <w:szCs w:val="21"/>
                    </w:rPr>
                    <w:t>mg/kg</w:t>
                  </w:r>
                  <w:r>
                    <w:rPr>
                      <w:rFonts w:hAnsi="宋体"/>
                      <w:szCs w:val="21"/>
                    </w:rPr>
                    <w:t>）</w:t>
                  </w:r>
                  <w:r>
                    <w:rPr>
                      <w:szCs w:val="21"/>
                    </w:rPr>
                    <w:t xml:space="preserve"> </w:t>
                  </w:r>
                </w:p>
              </w:tc>
              <w:tc>
                <w:tcPr>
                  <w:tcW w:w="3865" w:type="dxa"/>
                  <w:gridSpan w:val="3"/>
                  <w:vAlign w:val="center"/>
                </w:tcPr>
                <w:p>
                  <w:pPr>
                    <w:adjustRightInd w:val="0"/>
                    <w:snapToGrid w:val="0"/>
                    <w:jc w:val="center"/>
                    <w:rPr>
                      <w:szCs w:val="21"/>
                    </w:rPr>
                  </w:pPr>
                  <w:r>
                    <w:rPr>
                      <w:rFonts w:hAnsi="宋体"/>
                      <w:szCs w:val="21"/>
                    </w:rPr>
                    <w:t>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7" w:type="dxa"/>
                  <w:gridSpan w:val="5"/>
                  <w:vAlign w:val="center"/>
                </w:tcPr>
                <w:p>
                  <w:pPr>
                    <w:adjustRightInd w:val="0"/>
                    <w:snapToGrid w:val="0"/>
                    <w:jc w:val="left"/>
                    <w:rPr>
                      <w:szCs w:val="21"/>
                    </w:rPr>
                  </w:pPr>
                  <w:r>
                    <w:rPr>
                      <w:szCs w:val="21"/>
                      <w:vertAlign w:val="superscript"/>
                    </w:rPr>
                    <w:t>a</w:t>
                  </w:r>
                  <w:r>
                    <w:rPr>
                      <w:rFonts w:hAnsi="宋体"/>
                      <w:szCs w:val="21"/>
                    </w:rPr>
                    <w:t>后续加工工艺中必须要经过湿处理的非最终产品，</w:t>
                  </w:r>
                  <w:r>
                    <w:rPr>
                      <w:szCs w:val="21"/>
                    </w:rPr>
                    <w:t>pH</w:t>
                  </w:r>
                  <w:r>
                    <w:rPr>
                      <w:rFonts w:hAnsi="宋体"/>
                      <w:szCs w:val="21"/>
                    </w:rPr>
                    <w:t>值可放宽至</w:t>
                  </w:r>
                  <w:r>
                    <w:rPr>
                      <w:szCs w:val="21"/>
                    </w:rPr>
                    <w:t>4.0~10.5</w:t>
                  </w:r>
                  <w:r>
                    <w:rPr>
                      <w:rFonts w:hAnsi="宋体"/>
                      <w:szCs w:val="21"/>
                    </w:rPr>
                    <w:t>之间。</w:t>
                  </w:r>
                </w:p>
                <w:p>
                  <w:pPr>
                    <w:adjustRightInd w:val="0"/>
                    <w:snapToGrid w:val="0"/>
                    <w:jc w:val="left"/>
                    <w:rPr>
                      <w:szCs w:val="21"/>
                    </w:rPr>
                  </w:pPr>
                  <w:r>
                    <w:rPr>
                      <w:szCs w:val="21"/>
                      <w:vertAlign w:val="superscript"/>
                    </w:rPr>
                    <w:t>b</w:t>
                  </w:r>
                  <w:r>
                    <w:rPr>
                      <w:rFonts w:hAnsi="宋体"/>
                      <w:szCs w:val="21"/>
                    </w:rPr>
                    <w:t>对需经洗涤褪色工艺的非最终产品，本色及漂白产品不要求；扎染、蜡染等传统的手工着色产品不要求；耐唾液色牢度仅考核婴幼儿纺织产品。</w:t>
                  </w:r>
                </w:p>
                <w:p>
                  <w:pPr>
                    <w:adjustRightInd w:val="0"/>
                    <w:snapToGrid w:val="0"/>
                    <w:jc w:val="left"/>
                    <w:rPr>
                      <w:szCs w:val="21"/>
                    </w:rPr>
                  </w:pPr>
                  <w:r>
                    <w:rPr>
                      <w:szCs w:val="21"/>
                      <w:vertAlign w:val="superscript"/>
                    </w:rPr>
                    <w:t>c</w:t>
                  </w:r>
                  <w:r>
                    <w:rPr>
                      <w:rFonts w:hAnsi="宋体"/>
                      <w:szCs w:val="21"/>
                    </w:rPr>
                    <w:t>致癌芳香胺清单见附录</w:t>
                  </w:r>
                  <w:r>
                    <w:rPr>
                      <w:szCs w:val="21"/>
                    </w:rPr>
                    <w:t>C</w:t>
                  </w:r>
                  <w:r>
                    <w:rPr>
                      <w:rFonts w:hAnsi="宋体"/>
                      <w:szCs w:val="21"/>
                    </w:rPr>
                    <w:t>，限量值</w:t>
                  </w:r>
                  <w:r>
                    <w:rPr>
                      <w:bCs/>
                      <w:szCs w:val="21"/>
                    </w:rPr>
                    <w:t>≤20</w:t>
                  </w:r>
                  <w:r>
                    <w:rPr>
                      <w:szCs w:val="21"/>
                    </w:rPr>
                    <w:t>mg/kg</w:t>
                  </w:r>
                  <w:r>
                    <w:rPr>
                      <w:rFonts w:hAnsi="宋体"/>
                      <w:szCs w:val="21"/>
                    </w:rPr>
                    <w:t>。</w:t>
                  </w:r>
                </w:p>
              </w:tc>
            </w:tr>
          </w:tbl>
          <w:p>
            <w:pPr>
              <w:pStyle w:val="5"/>
              <w:spacing w:line="500" w:lineRule="exact"/>
              <w:ind w:firstLine="0" w:firstLineChars="0"/>
              <w:rPr>
                <w:b/>
                <w:bCs/>
              </w:rPr>
            </w:pPr>
            <w:r>
              <w:rPr>
                <w:b/>
                <w:bCs/>
              </w:rPr>
              <w:t>2.1.4</w:t>
            </w:r>
            <w:r>
              <w:rPr>
                <w:rFonts w:hAnsi="宋体"/>
                <w:b/>
                <w:bCs/>
              </w:rPr>
              <w:t>主要生产设备及原辅材料、能源消耗</w:t>
            </w:r>
            <w:bookmarkEnd w:id="8"/>
          </w:p>
          <w:p>
            <w:pPr>
              <w:pStyle w:val="3"/>
              <w:spacing w:line="500" w:lineRule="exact"/>
              <w:ind w:firstLine="480" w:firstLineChars="200"/>
              <w:rPr>
                <w:sz w:val="24"/>
                <w:szCs w:val="24"/>
              </w:rPr>
            </w:pPr>
            <w:r>
              <w:rPr>
                <w:rFonts w:hAnsi="宋体"/>
                <w:sz w:val="24"/>
                <w:szCs w:val="24"/>
              </w:rPr>
              <w:t>（</w:t>
            </w:r>
            <w:r>
              <w:rPr>
                <w:sz w:val="24"/>
                <w:szCs w:val="24"/>
              </w:rPr>
              <w:t>1</w:t>
            </w:r>
            <w:r>
              <w:rPr>
                <w:rFonts w:hAnsi="宋体"/>
                <w:sz w:val="24"/>
                <w:szCs w:val="24"/>
              </w:rPr>
              <w:t>）项目主要设备清单</w:t>
            </w:r>
          </w:p>
          <w:p>
            <w:pPr>
              <w:pStyle w:val="3"/>
              <w:spacing w:line="460" w:lineRule="atLeast"/>
              <w:ind w:firstLine="0"/>
              <w:jc w:val="center"/>
              <w:rPr>
                <w:b/>
                <w:bCs/>
                <w:szCs w:val="21"/>
              </w:rPr>
            </w:pPr>
            <w:r>
              <w:rPr>
                <w:rFonts w:hAnsi="宋体"/>
                <w:b/>
                <w:bCs/>
                <w:szCs w:val="21"/>
              </w:rPr>
              <w:t>表</w:t>
            </w:r>
            <w:r>
              <w:rPr>
                <w:b/>
                <w:bCs/>
                <w:szCs w:val="21"/>
              </w:rPr>
              <w:t>2.1-</w:t>
            </w:r>
            <w:r>
              <w:rPr>
                <w:rFonts w:hint="eastAsia"/>
                <w:b/>
                <w:bCs/>
                <w:szCs w:val="21"/>
                <w:lang w:val="en-US" w:eastAsia="zh-CN"/>
              </w:rPr>
              <w:t>7</w:t>
            </w:r>
            <w:r>
              <w:rPr>
                <w:b/>
                <w:bCs/>
                <w:szCs w:val="21"/>
              </w:rPr>
              <w:t xml:space="preserve">  </w:t>
            </w:r>
            <w:r>
              <w:rPr>
                <w:rFonts w:hAnsi="宋体"/>
                <w:b/>
                <w:bCs/>
                <w:szCs w:val="21"/>
              </w:rPr>
              <w:t>建设项目</w:t>
            </w:r>
            <w:r>
              <w:rPr>
                <w:rFonts w:hint="eastAsia" w:hAnsi="宋体"/>
                <w:b/>
                <w:bCs/>
                <w:szCs w:val="21"/>
              </w:rPr>
              <w:t>新增设备一览表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518"/>
              <w:gridCol w:w="1753"/>
              <w:gridCol w:w="1397"/>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noWrap w:val="0"/>
                  <w:vAlign w:val="center"/>
                </w:tcPr>
                <w:p>
                  <w:pPr>
                    <w:widowControl/>
                    <w:contextualSpacing/>
                    <w:jc w:val="center"/>
                    <w:textAlignment w:val="center"/>
                    <w:rPr>
                      <w:color w:val="000000"/>
                      <w:szCs w:val="21"/>
                      <w:highlight w:val="none"/>
                    </w:rPr>
                  </w:pPr>
                  <w:r>
                    <w:rPr>
                      <w:color w:val="000000"/>
                      <w:kern w:val="0"/>
                      <w:szCs w:val="21"/>
                      <w:highlight w:val="none"/>
                    </w:rPr>
                    <w:t>序号</w:t>
                  </w:r>
                </w:p>
              </w:tc>
              <w:tc>
                <w:tcPr>
                  <w:tcW w:w="2518" w:type="dxa"/>
                  <w:noWrap w:val="0"/>
                  <w:vAlign w:val="center"/>
                </w:tcPr>
                <w:p>
                  <w:pPr>
                    <w:widowControl/>
                    <w:jc w:val="center"/>
                    <w:textAlignment w:val="center"/>
                    <w:rPr>
                      <w:color w:val="000000"/>
                      <w:szCs w:val="21"/>
                      <w:highlight w:val="none"/>
                    </w:rPr>
                  </w:pPr>
                  <w:r>
                    <w:rPr>
                      <w:color w:val="000000"/>
                      <w:kern w:val="0"/>
                      <w:szCs w:val="21"/>
                      <w:highlight w:val="none"/>
                    </w:rPr>
                    <w:t>设备名称</w:t>
                  </w:r>
                </w:p>
              </w:tc>
              <w:tc>
                <w:tcPr>
                  <w:tcW w:w="1753" w:type="dxa"/>
                  <w:noWrap w:val="0"/>
                  <w:vAlign w:val="center"/>
                </w:tcPr>
                <w:p>
                  <w:pPr>
                    <w:widowControl/>
                    <w:contextualSpacing/>
                    <w:jc w:val="center"/>
                    <w:textAlignment w:val="center"/>
                    <w:rPr>
                      <w:color w:val="000000"/>
                      <w:szCs w:val="21"/>
                      <w:highlight w:val="none"/>
                    </w:rPr>
                  </w:pPr>
                  <w:r>
                    <w:rPr>
                      <w:color w:val="000000"/>
                      <w:kern w:val="0"/>
                      <w:szCs w:val="21"/>
                      <w:highlight w:val="none"/>
                    </w:rPr>
                    <w:t>型号规格</w:t>
                  </w:r>
                </w:p>
              </w:tc>
              <w:tc>
                <w:tcPr>
                  <w:tcW w:w="1397" w:type="dxa"/>
                  <w:noWrap w:val="0"/>
                  <w:vAlign w:val="center"/>
                </w:tcPr>
                <w:p>
                  <w:pPr>
                    <w:widowControl/>
                    <w:contextualSpacing/>
                    <w:jc w:val="center"/>
                    <w:textAlignment w:val="center"/>
                    <w:rPr>
                      <w:color w:val="000000"/>
                      <w:szCs w:val="21"/>
                      <w:highlight w:val="none"/>
                    </w:rPr>
                  </w:pPr>
                  <w:r>
                    <w:rPr>
                      <w:color w:val="000000"/>
                      <w:kern w:val="0"/>
                      <w:szCs w:val="21"/>
                      <w:highlight w:val="none"/>
                    </w:rPr>
                    <w:t>数量（台/套）</w:t>
                  </w:r>
                </w:p>
              </w:tc>
              <w:tc>
                <w:tcPr>
                  <w:tcW w:w="1784" w:type="dxa"/>
                  <w:noWrap w:val="0"/>
                  <w:vAlign w:val="center"/>
                </w:tcPr>
                <w:p>
                  <w:pPr>
                    <w:widowControl/>
                    <w:contextualSpacing/>
                    <w:jc w:val="center"/>
                    <w:textAlignment w:val="center"/>
                    <w:rPr>
                      <w:rFonts w:hint="eastAsia"/>
                      <w:color w:val="000000"/>
                      <w:kern w:val="0"/>
                      <w:szCs w:val="21"/>
                      <w:highlight w:val="none"/>
                    </w:rPr>
                  </w:pPr>
                  <w:r>
                    <w:rPr>
                      <w:rFonts w:hint="eastAsia"/>
                      <w:color w:val="000000"/>
                      <w:kern w:val="0"/>
                      <w:szCs w:val="21"/>
                      <w:highlight w:val="none"/>
                    </w:rPr>
                    <w:t>主要生产工艺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noWrap w:val="0"/>
                  <w:vAlign w:val="center"/>
                </w:tcPr>
                <w:p>
                  <w:pPr>
                    <w:widowControl/>
                    <w:jc w:val="center"/>
                    <w:textAlignment w:val="center"/>
                    <w:rPr>
                      <w:color w:val="000000"/>
                      <w:kern w:val="0"/>
                      <w:szCs w:val="21"/>
                      <w:highlight w:val="none"/>
                      <w:lang w:bidi="ar"/>
                    </w:rPr>
                  </w:pPr>
                  <w:r>
                    <w:rPr>
                      <w:color w:val="000000"/>
                      <w:kern w:val="0"/>
                      <w:szCs w:val="21"/>
                      <w:highlight w:val="none"/>
                      <w:lang w:bidi="ar"/>
                    </w:rPr>
                    <w:t>1</w:t>
                  </w:r>
                </w:p>
              </w:tc>
              <w:tc>
                <w:tcPr>
                  <w:tcW w:w="2518" w:type="dxa"/>
                  <w:noWrap w:val="0"/>
                  <w:vAlign w:val="center"/>
                </w:tcPr>
                <w:p>
                  <w:pPr>
                    <w:autoSpaceDE w:val="0"/>
                    <w:autoSpaceDN w:val="0"/>
                    <w:adjustRightInd w:val="0"/>
                    <w:snapToGrid w:val="0"/>
                    <w:jc w:val="center"/>
                    <w:rPr>
                      <w:rFonts w:hint="eastAsia" w:hAnsi="宋体" w:eastAsia="宋体"/>
                      <w:bCs/>
                      <w:szCs w:val="21"/>
                      <w:lang w:val="en-US" w:eastAsia="zh-CN"/>
                    </w:rPr>
                  </w:pPr>
                  <w:r>
                    <w:rPr>
                      <w:rFonts w:hint="eastAsia" w:hAnsi="宋体" w:eastAsia="宋体"/>
                      <w:bCs/>
                      <w:szCs w:val="21"/>
                    </w:rPr>
                    <w:t>喷水织机</w:t>
                  </w:r>
                </w:p>
              </w:tc>
              <w:tc>
                <w:tcPr>
                  <w:tcW w:w="1753" w:type="dxa"/>
                  <w:noWrap w:val="0"/>
                  <w:vAlign w:val="center"/>
                </w:tcPr>
                <w:p>
                  <w:pPr>
                    <w:autoSpaceDE w:val="0"/>
                    <w:autoSpaceDN w:val="0"/>
                    <w:adjustRightInd w:val="0"/>
                    <w:snapToGrid w:val="0"/>
                    <w:jc w:val="center"/>
                    <w:rPr>
                      <w:rFonts w:hint="eastAsia" w:hAnsi="宋体" w:eastAsia="宋体"/>
                      <w:bCs/>
                      <w:szCs w:val="21"/>
                      <w:lang w:val="en-US" w:eastAsia="zh-CN"/>
                    </w:rPr>
                  </w:pPr>
                  <w:r>
                    <w:rPr>
                      <w:rFonts w:hint="eastAsia" w:hAnsi="宋体" w:eastAsia="宋体"/>
                      <w:bCs/>
                      <w:szCs w:val="21"/>
                    </w:rPr>
                    <w:t>普通290型</w:t>
                  </w:r>
                </w:p>
              </w:tc>
              <w:tc>
                <w:tcPr>
                  <w:tcW w:w="1397" w:type="dxa"/>
                  <w:noWrap w:val="0"/>
                  <w:vAlign w:val="center"/>
                </w:tcPr>
                <w:p>
                  <w:pPr>
                    <w:widowControl/>
                    <w:adjustRightInd w:val="0"/>
                    <w:snapToGrid w:val="0"/>
                    <w:jc w:val="center"/>
                    <w:rPr>
                      <w:rFonts w:hint="eastAsia" w:ascii="Times New Roman" w:hAnsi="Times New Roman" w:eastAsia="楷体" w:cs="Times New Roman"/>
                      <w:bCs/>
                      <w:kern w:val="0"/>
                      <w:sz w:val="21"/>
                      <w:szCs w:val="21"/>
                      <w:lang w:val="en-US" w:eastAsia="zh-CN" w:bidi="ar-SA"/>
                    </w:rPr>
                  </w:pPr>
                  <w:r>
                    <w:rPr>
                      <w:rFonts w:hint="eastAsia" w:eastAsia="楷体"/>
                      <w:bCs/>
                      <w:kern w:val="0"/>
                      <w:szCs w:val="21"/>
                    </w:rPr>
                    <w:t>97</w:t>
                  </w:r>
                </w:p>
              </w:tc>
              <w:tc>
                <w:tcPr>
                  <w:tcW w:w="1784" w:type="dxa"/>
                  <w:noWrap w:val="0"/>
                  <w:vAlign w:val="center"/>
                </w:tcPr>
                <w:p>
                  <w:pPr>
                    <w:autoSpaceDE w:val="0"/>
                    <w:autoSpaceDN w:val="0"/>
                    <w:adjustRightInd w:val="0"/>
                    <w:snapToGrid w:val="0"/>
                    <w:jc w:val="center"/>
                    <w:rPr>
                      <w:rFonts w:hint="eastAsia" w:hAnsi="宋体" w:eastAsia="宋体"/>
                      <w:bCs/>
                      <w:szCs w:val="21"/>
                      <w:lang w:eastAsia="zh-CN"/>
                    </w:rPr>
                  </w:pPr>
                  <w:r>
                    <w:rPr>
                      <w:rFonts w:hint="eastAsia" w:hAnsi="宋体" w:eastAsia="宋体"/>
                      <w:bCs/>
                      <w:szCs w:val="21"/>
                      <w:lang w:eastAsia="zh-CN"/>
                    </w:rPr>
                    <w:t>喷水织造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noWrap w:val="0"/>
                  <w:vAlign w:val="center"/>
                </w:tcPr>
                <w:p>
                  <w:pPr>
                    <w:widowControl/>
                    <w:jc w:val="center"/>
                    <w:textAlignment w:val="center"/>
                    <w:rPr>
                      <w:color w:val="000000"/>
                      <w:kern w:val="0"/>
                      <w:szCs w:val="21"/>
                      <w:highlight w:val="none"/>
                      <w:lang w:bidi="ar"/>
                    </w:rPr>
                  </w:pPr>
                  <w:r>
                    <w:rPr>
                      <w:color w:val="000000"/>
                      <w:kern w:val="0"/>
                      <w:szCs w:val="21"/>
                      <w:highlight w:val="none"/>
                      <w:lang w:bidi="ar"/>
                    </w:rPr>
                    <w:t>2</w:t>
                  </w:r>
                </w:p>
              </w:tc>
              <w:tc>
                <w:tcPr>
                  <w:tcW w:w="2518" w:type="dxa"/>
                  <w:noWrap w:val="0"/>
                  <w:vAlign w:val="center"/>
                </w:tcPr>
                <w:p>
                  <w:pPr>
                    <w:autoSpaceDE w:val="0"/>
                    <w:autoSpaceDN w:val="0"/>
                    <w:adjustRightInd w:val="0"/>
                    <w:snapToGrid w:val="0"/>
                    <w:jc w:val="center"/>
                    <w:rPr>
                      <w:rFonts w:hint="eastAsia" w:hAnsi="宋体" w:eastAsia="宋体"/>
                      <w:bCs/>
                      <w:szCs w:val="21"/>
                      <w:lang w:val="en-US" w:eastAsia="zh-CN"/>
                    </w:rPr>
                  </w:pPr>
                  <w:r>
                    <w:rPr>
                      <w:rFonts w:hint="eastAsia" w:hAnsi="宋体" w:eastAsia="宋体"/>
                      <w:bCs/>
                      <w:szCs w:val="21"/>
                    </w:rPr>
                    <w:t>整浆并生产线</w:t>
                  </w:r>
                </w:p>
              </w:tc>
              <w:tc>
                <w:tcPr>
                  <w:tcW w:w="1753" w:type="dxa"/>
                  <w:noWrap w:val="0"/>
                  <w:vAlign w:val="center"/>
                </w:tcPr>
                <w:p>
                  <w:pPr>
                    <w:autoSpaceDE w:val="0"/>
                    <w:autoSpaceDN w:val="0"/>
                    <w:adjustRightInd w:val="0"/>
                    <w:snapToGrid w:val="0"/>
                    <w:jc w:val="center"/>
                    <w:rPr>
                      <w:rFonts w:hint="eastAsia" w:hAnsi="宋体" w:eastAsia="宋体"/>
                      <w:bCs/>
                      <w:szCs w:val="21"/>
                      <w:lang w:val="en-US" w:eastAsia="zh-CN"/>
                    </w:rPr>
                  </w:pPr>
                  <w:r>
                    <w:rPr>
                      <w:rFonts w:hint="eastAsia" w:hAnsi="宋体" w:eastAsia="宋体"/>
                      <w:bCs/>
                      <w:szCs w:val="21"/>
                    </w:rPr>
                    <w:t>/</w:t>
                  </w:r>
                </w:p>
              </w:tc>
              <w:tc>
                <w:tcPr>
                  <w:tcW w:w="1397" w:type="dxa"/>
                  <w:noWrap w:val="0"/>
                  <w:vAlign w:val="center"/>
                </w:tcPr>
                <w:p>
                  <w:pPr>
                    <w:widowControl/>
                    <w:adjustRightInd w:val="0"/>
                    <w:snapToGrid w:val="0"/>
                    <w:jc w:val="center"/>
                    <w:rPr>
                      <w:rFonts w:hint="default" w:ascii="Times New Roman" w:hAnsi="Times New Roman" w:eastAsia="楷体" w:cs="Times New Roman"/>
                      <w:bCs/>
                      <w:kern w:val="0"/>
                      <w:sz w:val="21"/>
                      <w:szCs w:val="21"/>
                      <w:lang w:val="en-US" w:eastAsia="zh-CN" w:bidi="ar-SA"/>
                    </w:rPr>
                  </w:pPr>
                  <w:r>
                    <w:rPr>
                      <w:rFonts w:hint="eastAsia" w:eastAsia="楷体" w:cs="Times New Roman"/>
                      <w:bCs/>
                      <w:kern w:val="0"/>
                      <w:sz w:val="21"/>
                      <w:szCs w:val="21"/>
                      <w:lang w:val="en-US" w:eastAsia="zh-CN" w:bidi="ar-SA"/>
                    </w:rPr>
                    <w:t>2</w:t>
                  </w:r>
                </w:p>
              </w:tc>
              <w:tc>
                <w:tcPr>
                  <w:tcW w:w="1784" w:type="dxa"/>
                  <w:noWrap w:val="0"/>
                  <w:vAlign w:val="center"/>
                </w:tcPr>
                <w:p>
                  <w:pPr>
                    <w:autoSpaceDE w:val="0"/>
                    <w:autoSpaceDN w:val="0"/>
                    <w:adjustRightInd w:val="0"/>
                    <w:snapToGrid w:val="0"/>
                    <w:jc w:val="center"/>
                    <w:rPr>
                      <w:rFonts w:hint="default" w:hAnsi="宋体" w:eastAsia="宋体"/>
                      <w:bCs/>
                      <w:szCs w:val="21"/>
                      <w:lang w:val="en-US" w:eastAsia="zh-CN"/>
                    </w:rPr>
                  </w:pPr>
                  <w:r>
                    <w:rPr>
                      <w:rFonts w:hint="eastAsia" w:hAnsi="宋体" w:eastAsia="宋体"/>
                      <w:bCs/>
                      <w:szCs w:val="21"/>
                      <w:lang w:eastAsia="zh-CN"/>
                    </w:rPr>
                    <w:t>整经</w:t>
                  </w:r>
                  <w:r>
                    <w:rPr>
                      <w:rFonts w:hint="eastAsia" w:hAnsi="宋体" w:eastAsia="宋体"/>
                      <w:bCs/>
                      <w:szCs w:val="21"/>
                      <w:lang w:val="en-US" w:eastAsia="zh-CN"/>
                    </w:rPr>
                    <w:t>+上浆</w:t>
                  </w:r>
                  <w:r>
                    <w:rPr>
                      <w:rFonts w:hint="eastAsia" w:hAnsi="宋体"/>
                      <w:bCs/>
                      <w:szCs w:val="21"/>
                      <w:lang w:val="en-US" w:eastAsia="zh-CN"/>
                    </w:rPr>
                    <w:t>烘干</w:t>
                  </w:r>
                  <w:r>
                    <w:rPr>
                      <w:rFonts w:hint="eastAsia" w:hAnsi="宋体" w:eastAsia="宋体"/>
                      <w:bCs/>
                      <w:szCs w:val="21"/>
                      <w:lang w:val="en-US" w:eastAsia="zh-CN"/>
                    </w:rPr>
                    <w:t>+并线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noWrap w:val="0"/>
                  <w:vAlign w:val="center"/>
                </w:tcPr>
                <w:p>
                  <w:pPr>
                    <w:widowControl/>
                    <w:jc w:val="center"/>
                    <w:textAlignment w:val="center"/>
                    <w:rPr>
                      <w:color w:val="000000"/>
                      <w:kern w:val="0"/>
                      <w:szCs w:val="21"/>
                      <w:highlight w:val="none"/>
                      <w:lang w:bidi="ar"/>
                    </w:rPr>
                  </w:pPr>
                  <w:r>
                    <w:rPr>
                      <w:color w:val="000000"/>
                      <w:kern w:val="0"/>
                      <w:szCs w:val="21"/>
                      <w:highlight w:val="none"/>
                      <w:lang w:bidi="ar"/>
                    </w:rPr>
                    <w:t>3</w:t>
                  </w:r>
                </w:p>
              </w:tc>
              <w:tc>
                <w:tcPr>
                  <w:tcW w:w="2518" w:type="dxa"/>
                  <w:noWrap w:val="0"/>
                  <w:vAlign w:val="center"/>
                </w:tcPr>
                <w:p>
                  <w:pPr>
                    <w:autoSpaceDE w:val="0"/>
                    <w:autoSpaceDN w:val="0"/>
                    <w:adjustRightInd w:val="0"/>
                    <w:snapToGrid w:val="0"/>
                    <w:jc w:val="center"/>
                    <w:rPr>
                      <w:rFonts w:hint="eastAsia" w:hAnsi="宋体" w:eastAsia="宋体"/>
                      <w:bCs/>
                      <w:szCs w:val="21"/>
                      <w:lang w:val="en-US" w:eastAsia="zh-CN"/>
                    </w:rPr>
                  </w:pPr>
                  <w:r>
                    <w:rPr>
                      <w:rFonts w:hint="eastAsia" w:hAnsi="宋体" w:eastAsia="宋体"/>
                      <w:bCs/>
                      <w:szCs w:val="21"/>
                    </w:rPr>
                    <w:t>缝纫机</w:t>
                  </w:r>
                </w:p>
              </w:tc>
              <w:tc>
                <w:tcPr>
                  <w:tcW w:w="1753" w:type="dxa"/>
                  <w:noWrap w:val="0"/>
                  <w:vAlign w:val="center"/>
                </w:tcPr>
                <w:p>
                  <w:pPr>
                    <w:autoSpaceDE w:val="0"/>
                    <w:autoSpaceDN w:val="0"/>
                    <w:adjustRightInd w:val="0"/>
                    <w:snapToGrid w:val="0"/>
                    <w:jc w:val="center"/>
                    <w:rPr>
                      <w:rFonts w:hint="eastAsia" w:hAnsi="宋体" w:eastAsia="宋体"/>
                      <w:bCs/>
                      <w:szCs w:val="21"/>
                      <w:lang w:val="en-US" w:eastAsia="zh-CN"/>
                    </w:rPr>
                  </w:pPr>
                  <w:r>
                    <w:rPr>
                      <w:rFonts w:hint="eastAsia" w:hAnsi="宋体" w:eastAsia="宋体"/>
                      <w:bCs/>
                      <w:szCs w:val="21"/>
                    </w:rPr>
                    <w:t>/</w:t>
                  </w:r>
                </w:p>
              </w:tc>
              <w:tc>
                <w:tcPr>
                  <w:tcW w:w="1397" w:type="dxa"/>
                  <w:noWrap w:val="0"/>
                  <w:vAlign w:val="center"/>
                </w:tcPr>
                <w:p>
                  <w:pPr>
                    <w:widowControl/>
                    <w:adjustRightInd w:val="0"/>
                    <w:snapToGrid w:val="0"/>
                    <w:jc w:val="center"/>
                    <w:rPr>
                      <w:rFonts w:hint="eastAsia" w:ascii="Times New Roman" w:hAnsi="Times New Roman" w:eastAsia="楷体" w:cs="Times New Roman"/>
                      <w:bCs/>
                      <w:kern w:val="0"/>
                      <w:sz w:val="21"/>
                      <w:szCs w:val="21"/>
                      <w:lang w:val="en-US" w:eastAsia="zh-CN" w:bidi="ar-SA"/>
                    </w:rPr>
                  </w:pPr>
                  <w:r>
                    <w:rPr>
                      <w:rFonts w:hint="eastAsia" w:eastAsia="楷体"/>
                      <w:bCs/>
                      <w:kern w:val="0"/>
                      <w:szCs w:val="21"/>
                    </w:rPr>
                    <w:t>100</w:t>
                  </w:r>
                </w:p>
              </w:tc>
              <w:tc>
                <w:tcPr>
                  <w:tcW w:w="1784" w:type="dxa"/>
                  <w:noWrap w:val="0"/>
                  <w:vAlign w:val="center"/>
                </w:tcPr>
                <w:p>
                  <w:pPr>
                    <w:autoSpaceDE w:val="0"/>
                    <w:autoSpaceDN w:val="0"/>
                    <w:adjustRightInd w:val="0"/>
                    <w:snapToGrid w:val="0"/>
                    <w:jc w:val="center"/>
                    <w:rPr>
                      <w:rFonts w:hint="eastAsia" w:hAnsi="宋体" w:eastAsia="宋体"/>
                      <w:bCs/>
                      <w:szCs w:val="21"/>
                      <w:lang w:eastAsia="zh-CN"/>
                    </w:rPr>
                  </w:pPr>
                  <w:r>
                    <w:rPr>
                      <w:rFonts w:hint="eastAsia" w:hAnsi="宋体" w:eastAsia="宋体"/>
                      <w:bCs/>
                      <w:szCs w:val="21"/>
                      <w:lang w:eastAsia="zh-CN"/>
                    </w:rPr>
                    <w:t>缝纫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9" w:type="dxa"/>
                  <w:gridSpan w:val="3"/>
                  <w:noWrap w:val="0"/>
                  <w:vAlign w:val="center"/>
                </w:tcPr>
                <w:p>
                  <w:pPr>
                    <w:widowControl/>
                    <w:jc w:val="center"/>
                    <w:textAlignment w:val="center"/>
                    <w:rPr>
                      <w:rFonts w:hint="eastAsia" w:eastAsia="宋体"/>
                      <w:color w:val="000000"/>
                      <w:kern w:val="0"/>
                      <w:szCs w:val="21"/>
                      <w:highlight w:val="none"/>
                      <w:lang w:eastAsia="zh-CN" w:bidi="ar"/>
                    </w:rPr>
                  </w:pPr>
                  <w:r>
                    <w:rPr>
                      <w:rFonts w:hint="eastAsia"/>
                      <w:color w:val="000000"/>
                      <w:kern w:val="0"/>
                      <w:szCs w:val="21"/>
                      <w:highlight w:val="none"/>
                      <w:lang w:eastAsia="zh-CN" w:bidi="ar"/>
                    </w:rPr>
                    <w:t>合计</w:t>
                  </w:r>
                </w:p>
              </w:tc>
              <w:tc>
                <w:tcPr>
                  <w:tcW w:w="1397" w:type="dxa"/>
                  <w:noWrap w:val="0"/>
                  <w:vAlign w:val="center"/>
                </w:tcPr>
                <w:p>
                  <w:pPr>
                    <w:widowControl/>
                    <w:jc w:val="center"/>
                    <w:textAlignment w:val="center"/>
                    <w:rPr>
                      <w:rFonts w:hint="default" w:eastAsia="宋体"/>
                      <w:color w:val="000000"/>
                      <w:kern w:val="0"/>
                      <w:szCs w:val="21"/>
                      <w:highlight w:val="none"/>
                      <w:lang w:val="en-US" w:eastAsia="zh-CN" w:bidi="ar"/>
                    </w:rPr>
                  </w:pPr>
                  <w:r>
                    <w:rPr>
                      <w:rFonts w:hint="eastAsia"/>
                      <w:color w:val="000000"/>
                      <w:kern w:val="0"/>
                      <w:szCs w:val="21"/>
                      <w:highlight w:val="none"/>
                      <w:lang w:val="en-US" w:eastAsia="zh-CN" w:bidi="ar"/>
                    </w:rPr>
                    <w:t>199</w:t>
                  </w:r>
                </w:p>
              </w:tc>
              <w:tc>
                <w:tcPr>
                  <w:tcW w:w="1784" w:type="dxa"/>
                  <w:noWrap w:val="0"/>
                  <w:vAlign w:val="center"/>
                </w:tcPr>
                <w:p>
                  <w:pPr>
                    <w:widowControl/>
                    <w:contextualSpacing/>
                    <w:jc w:val="center"/>
                    <w:textAlignment w:val="center"/>
                    <w:rPr>
                      <w:rFonts w:hint="eastAsia" w:eastAsia="宋体"/>
                      <w:color w:val="000000"/>
                      <w:kern w:val="0"/>
                      <w:szCs w:val="21"/>
                      <w:highlight w:val="none"/>
                      <w:lang w:val="en-US" w:eastAsia="zh-CN"/>
                    </w:rPr>
                  </w:pPr>
                  <w:r>
                    <w:rPr>
                      <w:rFonts w:hint="eastAsia"/>
                      <w:color w:val="000000"/>
                      <w:kern w:val="0"/>
                      <w:szCs w:val="21"/>
                      <w:highlight w:val="none"/>
                      <w:lang w:val="en-US" w:eastAsia="zh-CN"/>
                    </w:rPr>
                    <w:t>/</w:t>
                  </w:r>
                </w:p>
              </w:tc>
            </w:tr>
          </w:tbl>
          <w:p>
            <w:pPr>
              <w:spacing w:line="500" w:lineRule="exact"/>
              <w:ind w:firstLine="480" w:firstLineChars="200"/>
              <w:contextualSpacing/>
              <w:rPr>
                <w:sz w:val="24"/>
                <w:highlight w:val="none"/>
              </w:rPr>
            </w:pPr>
            <w:r>
              <w:rPr>
                <w:rFonts w:hint="eastAsia"/>
                <w:sz w:val="24"/>
                <w:highlight w:val="none"/>
                <w:lang w:eastAsia="zh-CN"/>
              </w:rPr>
              <w:t>改建</w:t>
            </w:r>
            <w:r>
              <w:rPr>
                <w:sz w:val="24"/>
                <w:highlight w:val="none"/>
              </w:rPr>
              <w:t>后全厂设备见表2.1-</w:t>
            </w:r>
            <w:r>
              <w:rPr>
                <w:rFonts w:hint="eastAsia"/>
                <w:sz w:val="24"/>
                <w:highlight w:val="none"/>
                <w:lang w:val="en-US" w:eastAsia="zh-CN"/>
              </w:rPr>
              <w:t>8</w:t>
            </w:r>
            <w:r>
              <w:rPr>
                <w:sz w:val="24"/>
                <w:highlight w:val="none"/>
              </w:rPr>
              <w:t>。</w:t>
            </w:r>
            <w:r>
              <w:rPr>
                <w:rFonts w:hint="eastAsia"/>
                <w:sz w:val="24"/>
                <w:highlight w:val="none"/>
              </w:rPr>
              <w:t xml:space="preserve">                                                                                                                                                                                                                                                                                                                                            </w:t>
            </w:r>
          </w:p>
          <w:p>
            <w:pPr>
              <w:spacing w:line="460" w:lineRule="exact"/>
              <w:jc w:val="center"/>
              <w:rPr>
                <w:b/>
                <w:szCs w:val="21"/>
                <w:highlight w:val="none"/>
              </w:rPr>
            </w:pPr>
            <w:r>
              <w:rPr>
                <w:b/>
                <w:szCs w:val="21"/>
                <w:highlight w:val="none"/>
              </w:rPr>
              <w:t>表2.1-</w:t>
            </w:r>
            <w:r>
              <w:rPr>
                <w:rFonts w:hint="eastAsia"/>
                <w:b/>
                <w:szCs w:val="21"/>
                <w:highlight w:val="none"/>
                <w:lang w:val="en-US" w:eastAsia="zh-CN"/>
              </w:rPr>
              <w:t>8</w:t>
            </w:r>
            <w:r>
              <w:rPr>
                <w:b/>
                <w:szCs w:val="21"/>
                <w:highlight w:val="none"/>
              </w:rPr>
              <w:t xml:space="preserve"> </w:t>
            </w:r>
            <w:r>
              <w:rPr>
                <w:rFonts w:hint="eastAsia"/>
                <w:b/>
                <w:szCs w:val="21"/>
                <w:highlight w:val="none"/>
                <w:lang w:eastAsia="zh-CN"/>
              </w:rPr>
              <w:t>扩建后</w:t>
            </w:r>
            <w:r>
              <w:rPr>
                <w:b/>
                <w:szCs w:val="21"/>
                <w:highlight w:val="none"/>
              </w:rPr>
              <w:t>全厂设备一览表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715"/>
              <w:gridCol w:w="1798"/>
              <w:gridCol w:w="1812"/>
              <w:gridCol w:w="898"/>
              <w:gridCol w:w="1670"/>
              <w:gridCol w:w="132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15" w:type="dxa"/>
                  <w:vMerge w:val="restart"/>
                  <w:noWrap w:val="0"/>
                  <w:vAlign w:val="center"/>
                </w:tcPr>
                <w:p>
                  <w:pPr>
                    <w:widowControl/>
                    <w:contextualSpacing/>
                    <w:jc w:val="center"/>
                    <w:textAlignment w:val="center"/>
                    <w:rPr>
                      <w:color w:val="000000"/>
                      <w:szCs w:val="21"/>
                      <w:highlight w:val="none"/>
                    </w:rPr>
                  </w:pPr>
                  <w:r>
                    <w:rPr>
                      <w:color w:val="000000"/>
                      <w:kern w:val="0"/>
                      <w:szCs w:val="21"/>
                      <w:highlight w:val="none"/>
                    </w:rPr>
                    <w:t>序号</w:t>
                  </w:r>
                </w:p>
              </w:tc>
              <w:tc>
                <w:tcPr>
                  <w:tcW w:w="1798" w:type="dxa"/>
                  <w:vMerge w:val="restart"/>
                  <w:noWrap w:val="0"/>
                  <w:vAlign w:val="center"/>
                </w:tcPr>
                <w:p>
                  <w:pPr>
                    <w:widowControl/>
                    <w:contextualSpacing/>
                    <w:jc w:val="center"/>
                    <w:textAlignment w:val="center"/>
                    <w:rPr>
                      <w:color w:val="000000"/>
                      <w:kern w:val="0"/>
                      <w:szCs w:val="21"/>
                      <w:highlight w:val="none"/>
                    </w:rPr>
                  </w:pPr>
                  <w:r>
                    <w:rPr>
                      <w:color w:val="000000"/>
                      <w:kern w:val="0"/>
                      <w:szCs w:val="21"/>
                      <w:highlight w:val="none"/>
                    </w:rPr>
                    <w:t>设备名称</w:t>
                  </w:r>
                </w:p>
              </w:tc>
              <w:tc>
                <w:tcPr>
                  <w:tcW w:w="2710" w:type="dxa"/>
                  <w:gridSpan w:val="2"/>
                  <w:noWrap w:val="0"/>
                  <w:vAlign w:val="center"/>
                </w:tcPr>
                <w:p>
                  <w:pPr>
                    <w:widowControl/>
                    <w:contextualSpacing/>
                    <w:jc w:val="center"/>
                    <w:textAlignment w:val="center"/>
                    <w:rPr>
                      <w:color w:val="000000"/>
                      <w:szCs w:val="21"/>
                      <w:highlight w:val="none"/>
                    </w:rPr>
                  </w:pPr>
                  <w:r>
                    <w:rPr>
                      <w:rFonts w:hint="eastAsia"/>
                      <w:color w:val="000000"/>
                      <w:szCs w:val="21"/>
                      <w:highlight w:val="none"/>
                      <w:lang w:eastAsia="zh-CN"/>
                    </w:rPr>
                    <w:t>原有设备</w:t>
                  </w:r>
                  <w:r>
                    <w:rPr>
                      <w:color w:val="000000"/>
                      <w:szCs w:val="21"/>
                      <w:highlight w:val="none"/>
                    </w:rPr>
                    <w:t>（台/套）</w:t>
                  </w:r>
                </w:p>
              </w:tc>
              <w:tc>
                <w:tcPr>
                  <w:tcW w:w="1670" w:type="dxa"/>
                  <w:noWrap w:val="0"/>
                  <w:vAlign w:val="center"/>
                </w:tcPr>
                <w:p>
                  <w:pPr>
                    <w:widowControl/>
                    <w:contextualSpacing/>
                    <w:jc w:val="center"/>
                    <w:textAlignment w:val="center"/>
                    <w:rPr>
                      <w:color w:val="000000"/>
                      <w:kern w:val="0"/>
                      <w:szCs w:val="21"/>
                      <w:highlight w:val="none"/>
                    </w:rPr>
                  </w:pPr>
                  <w:r>
                    <w:rPr>
                      <w:rFonts w:hint="eastAsia"/>
                      <w:color w:val="000000"/>
                      <w:kern w:val="0"/>
                      <w:szCs w:val="21"/>
                      <w:highlight w:val="none"/>
                      <w:lang w:eastAsia="zh-CN"/>
                    </w:rPr>
                    <w:t>新增</w:t>
                  </w:r>
                  <w:r>
                    <w:rPr>
                      <w:color w:val="000000"/>
                      <w:kern w:val="0"/>
                      <w:szCs w:val="21"/>
                      <w:highlight w:val="none"/>
                    </w:rPr>
                    <w:t>（台/套）</w:t>
                  </w:r>
                </w:p>
              </w:tc>
              <w:tc>
                <w:tcPr>
                  <w:tcW w:w="1327" w:type="dxa"/>
                  <w:vMerge w:val="restart"/>
                  <w:noWrap w:val="0"/>
                  <w:vAlign w:val="center"/>
                </w:tcPr>
                <w:p>
                  <w:pPr>
                    <w:widowControl/>
                    <w:contextualSpacing/>
                    <w:jc w:val="center"/>
                    <w:textAlignment w:val="center"/>
                    <w:rPr>
                      <w:rFonts w:hint="eastAsia"/>
                      <w:color w:val="000000"/>
                      <w:kern w:val="0"/>
                      <w:szCs w:val="21"/>
                      <w:highlight w:val="none"/>
                      <w:lang w:eastAsia="zh-CN"/>
                    </w:rPr>
                  </w:pPr>
                  <w:r>
                    <w:rPr>
                      <w:rFonts w:hint="eastAsia"/>
                      <w:color w:val="000000"/>
                      <w:kern w:val="0"/>
                      <w:szCs w:val="21"/>
                      <w:highlight w:val="none"/>
                      <w:lang w:eastAsia="zh-CN"/>
                    </w:rPr>
                    <w:t>全厂设备</w:t>
                  </w:r>
                </w:p>
                <w:p>
                  <w:pPr>
                    <w:widowControl/>
                    <w:contextualSpacing/>
                    <w:jc w:val="center"/>
                    <w:textAlignment w:val="center"/>
                    <w:rPr>
                      <w:rFonts w:hint="eastAsia" w:eastAsia="宋体"/>
                      <w:color w:val="000000"/>
                      <w:kern w:val="0"/>
                      <w:szCs w:val="21"/>
                      <w:highlight w:val="none"/>
                      <w:lang w:eastAsia="zh-CN"/>
                    </w:rPr>
                  </w:pPr>
                  <w:r>
                    <w:rPr>
                      <w:rFonts w:hint="eastAsia"/>
                      <w:color w:val="000000"/>
                      <w:kern w:val="0"/>
                      <w:szCs w:val="21"/>
                      <w:highlight w:val="none"/>
                      <w:lang w:eastAsia="zh-CN"/>
                    </w:rPr>
                    <w:t>（台</w:t>
                  </w:r>
                  <w:r>
                    <w:rPr>
                      <w:rFonts w:hint="eastAsia"/>
                      <w:color w:val="000000"/>
                      <w:kern w:val="0"/>
                      <w:szCs w:val="21"/>
                      <w:highlight w:val="none"/>
                      <w:lang w:val="en-US" w:eastAsia="zh-CN"/>
                    </w:rPr>
                    <w:t>/套</w:t>
                  </w:r>
                  <w:r>
                    <w:rPr>
                      <w:rFonts w:hint="eastAsia"/>
                      <w:color w:val="000000"/>
                      <w:kern w:val="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15" w:type="dxa"/>
                  <w:vMerge w:val="continue"/>
                  <w:noWrap w:val="0"/>
                  <w:vAlign w:val="center"/>
                </w:tcPr>
                <w:p>
                  <w:pPr>
                    <w:widowControl/>
                    <w:contextualSpacing/>
                    <w:jc w:val="center"/>
                    <w:textAlignment w:val="center"/>
                    <w:rPr>
                      <w:color w:val="000000"/>
                      <w:kern w:val="0"/>
                      <w:szCs w:val="21"/>
                      <w:highlight w:val="none"/>
                    </w:rPr>
                  </w:pPr>
                </w:p>
              </w:tc>
              <w:tc>
                <w:tcPr>
                  <w:tcW w:w="1798" w:type="dxa"/>
                  <w:vMerge w:val="continue"/>
                  <w:noWrap w:val="0"/>
                  <w:vAlign w:val="center"/>
                </w:tcPr>
                <w:p>
                  <w:pPr>
                    <w:widowControl/>
                    <w:contextualSpacing/>
                    <w:jc w:val="center"/>
                    <w:textAlignment w:val="center"/>
                    <w:rPr>
                      <w:color w:val="000000"/>
                      <w:kern w:val="0"/>
                      <w:szCs w:val="21"/>
                      <w:highlight w:val="none"/>
                    </w:rPr>
                  </w:pPr>
                </w:p>
              </w:tc>
              <w:tc>
                <w:tcPr>
                  <w:tcW w:w="1812" w:type="dxa"/>
                  <w:noWrap w:val="0"/>
                  <w:vAlign w:val="center"/>
                </w:tcPr>
                <w:p>
                  <w:pPr>
                    <w:widowControl/>
                    <w:contextualSpacing/>
                    <w:jc w:val="center"/>
                    <w:textAlignment w:val="center"/>
                    <w:rPr>
                      <w:color w:val="000000"/>
                      <w:kern w:val="0"/>
                      <w:szCs w:val="21"/>
                      <w:highlight w:val="none"/>
                    </w:rPr>
                  </w:pPr>
                  <w:r>
                    <w:rPr>
                      <w:color w:val="000000"/>
                      <w:kern w:val="0"/>
                      <w:szCs w:val="21"/>
                      <w:highlight w:val="none"/>
                    </w:rPr>
                    <w:t>型号</w:t>
                  </w:r>
                </w:p>
              </w:tc>
              <w:tc>
                <w:tcPr>
                  <w:tcW w:w="898" w:type="dxa"/>
                  <w:noWrap w:val="0"/>
                  <w:vAlign w:val="center"/>
                </w:tcPr>
                <w:p>
                  <w:pPr>
                    <w:widowControl/>
                    <w:contextualSpacing/>
                    <w:jc w:val="center"/>
                    <w:textAlignment w:val="center"/>
                    <w:rPr>
                      <w:color w:val="000000"/>
                      <w:kern w:val="0"/>
                      <w:szCs w:val="21"/>
                      <w:highlight w:val="none"/>
                    </w:rPr>
                  </w:pPr>
                  <w:r>
                    <w:rPr>
                      <w:color w:val="000000"/>
                      <w:kern w:val="0"/>
                      <w:szCs w:val="21"/>
                      <w:highlight w:val="none"/>
                    </w:rPr>
                    <w:t>数量</w:t>
                  </w:r>
                </w:p>
              </w:tc>
              <w:tc>
                <w:tcPr>
                  <w:tcW w:w="1670" w:type="dxa"/>
                  <w:noWrap w:val="0"/>
                  <w:vAlign w:val="center"/>
                </w:tcPr>
                <w:p>
                  <w:pPr>
                    <w:widowControl/>
                    <w:contextualSpacing/>
                    <w:jc w:val="center"/>
                    <w:textAlignment w:val="center"/>
                    <w:rPr>
                      <w:color w:val="000000"/>
                      <w:kern w:val="0"/>
                      <w:szCs w:val="21"/>
                      <w:highlight w:val="none"/>
                    </w:rPr>
                  </w:pPr>
                  <w:r>
                    <w:rPr>
                      <w:color w:val="000000"/>
                      <w:kern w:val="0"/>
                      <w:szCs w:val="21"/>
                      <w:highlight w:val="none"/>
                    </w:rPr>
                    <w:t>数量</w:t>
                  </w:r>
                </w:p>
              </w:tc>
              <w:tc>
                <w:tcPr>
                  <w:tcW w:w="1327" w:type="dxa"/>
                  <w:vMerge w:val="continue"/>
                  <w:noWrap w:val="0"/>
                  <w:vAlign w:val="center"/>
                </w:tcPr>
                <w:p>
                  <w:pPr>
                    <w:widowControl/>
                    <w:contextualSpacing/>
                    <w:jc w:val="center"/>
                    <w:textAlignment w:val="center"/>
                    <w:rPr>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15" w:type="dxa"/>
                  <w:noWrap w:val="0"/>
                  <w:vAlign w:val="center"/>
                </w:tcPr>
                <w:p>
                  <w:pPr>
                    <w:widowControl/>
                    <w:jc w:val="center"/>
                    <w:textAlignment w:val="center"/>
                    <w:rPr>
                      <w:rFonts w:hint="eastAsia" w:ascii="Times New Roman" w:hAnsi="Times New Roman" w:eastAsia="宋体" w:cs="Times New Roman"/>
                      <w:color w:val="000000"/>
                      <w:kern w:val="0"/>
                      <w:sz w:val="21"/>
                      <w:szCs w:val="21"/>
                      <w:highlight w:val="none"/>
                      <w:lang w:val="en-US" w:eastAsia="zh-CN" w:bidi="ar"/>
                    </w:rPr>
                  </w:pPr>
                  <w:r>
                    <w:rPr>
                      <w:color w:val="000000"/>
                      <w:kern w:val="0"/>
                      <w:szCs w:val="21"/>
                      <w:highlight w:val="none"/>
                      <w:lang w:bidi="ar"/>
                    </w:rPr>
                    <w:t>1</w:t>
                  </w:r>
                </w:p>
              </w:tc>
              <w:tc>
                <w:tcPr>
                  <w:tcW w:w="1798" w:type="dxa"/>
                  <w:noWrap w:val="0"/>
                  <w:vAlign w:val="center"/>
                </w:tcPr>
                <w:p>
                  <w:pPr>
                    <w:widowControl/>
                    <w:contextualSpacing/>
                    <w:jc w:val="center"/>
                    <w:textAlignment w:val="center"/>
                    <w:rPr>
                      <w:color w:val="000000"/>
                      <w:kern w:val="0"/>
                      <w:szCs w:val="21"/>
                      <w:highlight w:val="none"/>
                    </w:rPr>
                  </w:pPr>
                  <w:r>
                    <w:rPr>
                      <w:rFonts w:hint="eastAsia" w:hAnsi="宋体" w:eastAsia="宋体"/>
                      <w:bCs/>
                      <w:szCs w:val="21"/>
                    </w:rPr>
                    <w:t>喷水织机</w:t>
                  </w:r>
                </w:p>
              </w:tc>
              <w:tc>
                <w:tcPr>
                  <w:tcW w:w="1812" w:type="dxa"/>
                  <w:noWrap w:val="0"/>
                  <w:vAlign w:val="center"/>
                </w:tcPr>
                <w:p>
                  <w:pPr>
                    <w:widowControl/>
                    <w:contextualSpacing/>
                    <w:jc w:val="center"/>
                    <w:textAlignment w:val="center"/>
                    <w:rPr>
                      <w:color w:val="000000"/>
                      <w:kern w:val="0"/>
                      <w:szCs w:val="21"/>
                      <w:highlight w:val="none"/>
                    </w:rPr>
                  </w:pPr>
                  <w:r>
                    <w:rPr>
                      <w:rFonts w:hint="eastAsia" w:hAnsi="宋体" w:eastAsia="宋体"/>
                      <w:bCs/>
                      <w:szCs w:val="21"/>
                    </w:rPr>
                    <w:t>普通290型</w:t>
                  </w:r>
                </w:p>
              </w:tc>
              <w:tc>
                <w:tcPr>
                  <w:tcW w:w="898" w:type="dxa"/>
                  <w:noWrap w:val="0"/>
                  <w:vAlign w:val="center"/>
                </w:tcPr>
                <w:p>
                  <w:pPr>
                    <w:widowControl/>
                    <w:contextualSpacing/>
                    <w:jc w:val="center"/>
                    <w:textAlignment w:val="center"/>
                    <w:rPr>
                      <w:color w:val="000000"/>
                      <w:kern w:val="0"/>
                      <w:szCs w:val="21"/>
                      <w:highlight w:val="none"/>
                    </w:rPr>
                  </w:pPr>
                  <w:r>
                    <w:rPr>
                      <w:rFonts w:hint="eastAsia" w:eastAsia="楷体"/>
                      <w:bCs/>
                      <w:kern w:val="0"/>
                      <w:szCs w:val="21"/>
                    </w:rPr>
                    <w:t>248</w:t>
                  </w:r>
                </w:p>
              </w:tc>
              <w:tc>
                <w:tcPr>
                  <w:tcW w:w="1670" w:type="dxa"/>
                  <w:noWrap w:val="0"/>
                  <w:vAlign w:val="center"/>
                </w:tcPr>
                <w:p>
                  <w:pPr>
                    <w:widowControl/>
                    <w:contextualSpacing/>
                    <w:jc w:val="center"/>
                    <w:textAlignment w:val="center"/>
                    <w:rPr>
                      <w:rFonts w:hint="default" w:eastAsia="宋体"/>
                      <w:color w:val="000000"/>
                      <w:kern w:val="0"/>
                      <w:szCs w:val="21"/>
                      <w:highlight w:val="none"/>
                      <w:lang w:val="en-US" w:eastAsia="zh-CN"/>
                    </w:rPr>
                  </w:pPr>
                  <w:r>
                    <w:rPr>
                      <w:rFonts w:hint="eastAsia"/>
                      <w:color w:val="000000"/>
                      <w:kern w:val="0"/>
                      <w:szCs w:val="21"/>
                      <w:highlight w:val="none"/>
                      <w:lang w:val="en-US" w:eastAsia="zh-CN"/>
                    </w:rPr>
                    <w:t>97</w:t>
                  </w:r>
                </w:p>
              </w:tc>
              <w:tc>
                <w:tcPr>
                  <w:tcW w:w="1327" w:type="dxa"/>
                  <w:noWrap w:val="0"/>
                  <w:vAlign w:val="center"/>
                </w:tcPr>
                <w:p>
                  <w:pPr>
                    <w:widowControl/>
                    <w:contextualSpacing/>
                    <w:jc w:val="center"/>
                    <w:textAlignment w:val="center"/>
                    <w:rPr>
                      <w:rFonts w:hint="default" w:eastAsia="宋体"/>
                      <w:color w:val="000000"/>
                      <w:kern w:val="0"/>
                      <w:sz w:val="21"/>
                      <w:szCs w:val="21"/>
                      <w:highlight w:val="none"/>
                      <w:lang w:val="en-US" w:eastAsia="zh-CN"/>
                    </w:rPr>
                  </w:pPr>
                  <w:r>
                    <w:rPr>
                      <w:rFonts w:hint="eastAsia"/>
                      <w:color w:val="000000"/>
                      <w:kern w:val="0"/>
                      <w:sz w:val="21"/>
                      <w:szCs w:val="21"/>
                      <w:highlight w:val="none"/>
                      <w:lang w:val="en-US" w:eastAsia="zh-CN"/>
                    </w:rPr>
                    <w:t>345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15" w:type="dxa"/>
                  <w:noWrap w:val="0"/>
                  <w:vAlign w:val="center"/>
                </w:tcPr>
                <w:p>
                  <w:pPr>
                    <w:widowControl/>
                    <w:jc w:val="center"/>
                    <w:textAlignment w:val="center"/>
                    <w:rPr>
                      <w:rFonts w:hint="eastAsia" w:ascii="Times New Roman" w:hAnsi="Times New Roman" w:eastAsia="宋体" w:cs="Times New Roman"/>
                      <w:color w:val="000000"/>
                      <w:kern w:val="0"/>
                      <w:sz w:val="21"/>
                      <w:szCs w:val="21"/>
                      <w:highlight w:val="none"/>
                      <w:lang w:val="en-US" w:eastAsia="zh-CN" w:bidi="ar"/>
                    </w:rPr>
                  </w:pPr>
                  <w:r>
                    <w:rPr>
                      <w:color w:val="000000"/>
                      <w:kern w:val="0"/>
                      <w:szCs w:val="21"/>
                      <w:highlight w:val="none"/>
                      <w:lang w:bidi="ar"/>
                    </w:rPr>
                    <w:t>2</w:t>
                  </w:r>
                </w:p>
              </w:tc>
              <w:tc>
                <w:tcPr>
                  <w:tcW w:w="1798" w:type="dxa"/>
                  <w:noWrap w:val="0"/>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rPr>
                    <w:t>加弹机</w:t>
                  </w:r>
                </w:p>
              </w:tc>
              <w:tc>
                <w:tcPr>
                  <w:tcW w:w="1812" w:type="dxa"/>
                  <w:noWrap w:val="0"/>
                  <w:vAlign w:val="center"/>
                </w:tcPr>
                <w:p>
                  <w:pPr>
                    <w:widowControl/>
                    <w:contextualSpacing/>
                    <w:jc w:val="center"/>
                    <w:textAlignment w:val="center"/>
                    <w:rPr>
                      <w:rFonts w:hint="eastAsia" w:hAnsi="宋体" w:eastAsia="宋体"/>
                      <w:bCs/>
                      <w:szCs w:val="21"/>
                    </w:rPr>
                  </w:pPr>
                  <w:r>
                    <w:rPr>
                      <w:rFonts w:hint="eastAsia" w:hAnsi="宋体" w:eastAsia="宋体"/>
                      <w:bCs/>
                      <w:szCs w:val="21"/>
                    </w:rPr>
                    <w:t>1000型</w:t>
                  </w:r>
                </w:p>
              </w:tc>
              <w:tc>
                <w:tcPr>
                  <w:tcW w:w="898" w:type="dxa"/>
                  <w:noWrap w:val="0"/>
                  <w:vAlign w:val="center"/>
                </w:tcPr>
                <w:p>
                  <w:pPr>
                    <w:widowControl/>
                    <w:adjustRightInd w:val="0"/>
                    <w:snapToGrid w:val="0"/>
                    <w:jc w:val="center"/>
                    <w:rPr>
                      <w:rFonts w:hint="eastAsia" w:ascii="楷体" w:hAnsi="楷体" w:eastAsia="楷体" w:cs="楷体"/>
                      <w:bCs/>
                      <w:kern w:val="0"/>
                      <w:sz w:val="21"/>
                      <w:szCs w:val="21"/>
                      <w:lang w:val="en-US" w:eastAsia="zh-CN" w:bidi="ar-SA"/>
                    </w:rPr>
                  </w:pPr>
                  <w:r>
                    <w:rPr>
                      <w:rFonts w:hint="eastAsia" w:eastAsia="楷体"/>
                      <w:bCs/>
                      <w:kern w:val="0"/>
                      <w:szCs w:val="21"/>
                    </w:rPr>
                    <w:t>2</w:t>
                  </w:r>
                </w:p>
              </w:tc>
              <w:tc>
                <w:tcPr>
                  <w:tcW w:w="1670" w:type="dxa"/>
                  <w:noWrap w:val="0"/>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w:t>
                  </w:r>
                </w:p>
              </w:tc>
              <w:tc>
                <w:tcPr>
                  <w:tcW w:w="1327" w:type="dxa"/>
                  <w:noWrap w:val="0"/>
                  <w:vAlign w:val="center"/>
                </w:tcPr>
                <w:p>
                  <w:pPr>
                    <w:widowControl/>
                    <w:contextualSpacing/>
                    <w:jc w:val="center"/>
                    <w:textAlignment w:val="center"/>
                    <w:rPr>
                      <w:rFonts w:hint="eastAsia" w:hAnsi="宋体" w:eastAsia="宋体"/>
                      <w:bCs/>
                      <w:sz w:val="21"/>
                      <w:szCs w:val="21"/>
                      <w:lang w:val="en-US" w:eastAsia="zh-CN"/>
                    </w:rPr>
                  </w:pPr>
                  <w:r>
                    <w:rPr>
                      <w:rFonts w:hint="eastAsia" w:hAnsi="宋体" w:eastAsia="宋体"/>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15" w:type="dxa"/>
                  <w:noWrap w:val="0"/>
                  <w:vAlign w:val="center"/>
                </w:tcPr>
                <w:p>
                  <w:pPr>
                    <w:widowControl/>
                    <w:jc w:val="center"/>
                    <w:textAlignment w:val="center"/>
                    <w:rPr>
                      <w:rFonts w:hint="eastAsia" w:ascii="Times New Roman" w:hAnsi="Times New Roman" w:eastAsia="宋体" w:cs="Times New Roman"/>
                      <w:color w:val="000000"/>
                      <w:kern w:val="0"/>
                      <w:sz w:val="21"/>
                      <w:szCs w:val="21"/>
                      <w:highlight w:val="none"/>
                      <w:lang w:val="en-US" w:eastAsia="zh-CN" w:bidi="ar"/>
                    </w:rPr>
                  </w:pPr>
                  <w:r>
                    <w:rPr>
                      <w:color w:val="000000"/>
                      <w:kern w:val="0"/>
                      <w:szCs w:val="21"/>
                      <w:highlight w:val="none"/>
                      <w:lang w:bidi="ar"/>
                    </w:rPr>
                    <w:t>3</w:t>
                  </w:r>
                </w:p>
              </w:tc>
              <w:tc>
                <w:tcPr>
                  <w:tcW w:w="1798" w:type="dxa"/>
                  <w:noWrap w:val="0"/>
                  <w:vAlign w:val="center"/>
                </w:tcPr>
                <w:p>
                  <w:pPr>
                    <w:widowControl/>
                    <w:contextualSpacing/>
                    <w:jc w:val="center"/>
                    <w:textAlignment w:val="center"/>
                    <w:rPr>
                      <w:rFonts w:hint="eastAsia" w:hAnsi="宋体" w:eastAsia="宋体"/>
                      <w:bCs/>
                      <w:szCs w:val="21"/>
                    </w:rPr>
                  </w:pPr>
                  <w:r>
                    <w:rPr>
                      <w:rFonts w:hint="eastAsia" w:hAnsi="宋体" w:eastAsia="宋体"/>
                      <w:bCs/>
                      <w:szCs w:val="21"/>
                    </w:rPr>
                    <w:t>空压机</w:t>
                  </w:r>
                </w:p>
                <w:p>
                  <w:pPr>
                    <w:widowControl/>
                    <w:contextualSpacing/>
                    <w:jc w:val="center"/>
                    <w:textAlignment w:val="center"/>
                    <w:rPr>
                      <w:rFonts w:hint="eastAsia" w:hAnsi="宋体" w:eastAsia="宋体"/>
                      <w:bCs/>
                      <w:szCs w:val="21"/>
                      <w:lang w:val="en-US" w:eastAsia="zh-CN"/>
                    </w:rPr>
                  </w:pPr>
                  <w:r>
                    <w:rPr>
                      <w:rFonts w:hint="eastAsia" w:hAnsi="宋体" w:eastAsia="宋体"/>
                      <w:bCs/>
                      <w:szCs w:val="21"/>
                    </w:rPr>
                    <w:t>（配套加弹机）</w:t>
                  </w:r>
                </w:p>
              </w:tc>
              <w:tc>
                <w:tcPr>
                  <w:tcW w:w="1812" w:type="dxa"/>
                  <w:noWrap w:val="0"/>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w:t>
                  </w:r>
                </w:p>
              </w:tc>
              <w:tc>
                <w:tcPr>
                  <w:tcW w:w="898" w:type="dxa"/>
                  <w:noWrap w:val="0"/>
                  <w:vAlign w:val="center"/>
                </w:tcPr>
                <w:p>
                  <w:pPr>
                    <w:widowControl/>
                    <w:adjustRightInd w:val="0"/>
                    <w:snapToGrid w:val="0"/>
                    <w:jc w:val="center"/>
                    <w:rPr>
                      <w:rFonts w:hint="eastAsia" w:ascii="Times New Roman" w:hAnsi="Times New Roman" w:eastAsia="楷体" w:cs="Times New Roman"/>
                      <w:bCs/>
                      <w:kern w:val="0"/>
                      <w:sz w:val="21"/>
                      <w:szCs w:val="21"/>
                      <w:lang w:val="en-US" w:eastAsia="zh-CN" w:bidi="ar-SA"/>
                    </w:rPr>
                  </w:pPr>
                  <w:r>
                    <w:rPr>
                      <w:rFonts w:hint="eastAsia" w:eastAsia="楷体"/>
                      <w:bCs/>
                      <w:kern w:val="0"/>
                      <w:szCs w:val="21"/>
                      <w:lang w:val="en-US" w:eastAsia="zh-CN"/>
                    </w:rPr>
                    <w:t>1</w:t>
                  </w:r>
                </w:p>
              </w:tc>
              <w:tc>
                <w:tcPr>
                  <w:tcW w:w="1670" w:type="dxa"/>
                  <w:noWrap w:val="0"/>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w:t>
                  </w:r>
                </w:p>
              </w:tc>
              <w:tc>
                <w:tcPr>
                  <w:tcW w:w="1327" w:type="dxa"/>
                  <w:noWrap w:val="0"/>
                  <w:vAlign w:val="center"/>
                </w:tcPr>
                <w:p>
                  <w:pPr>
                    <w:widowControl/>
                    <w:contextualSpacing/>
                    <w:jc w:val="center"/>
                    <w:textAlignment w:val="center"/>
                    <w:rPr>
                      <w:rFonts w:hint="eastAsia" w:hAnsi="宋体" w:eastAsia="宋体"/>
                      <w:bCs/>
                      <w:sz w:val="21"/>
                      <w:szCs w:val="21"/>
                      <w:lang w:val="en-US" w:eastAsia="zh-CN"/>
                    </w:rPr>
                  </w:pPr>
                  <w:r>
                    <w:rPr>
                      <w:rFonts w:hint="eastAsia" w:hAnsi="宋体" w:eastAsia="宋体"/>
                      <w:bCs/>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15" w:type="dxa"/>
                  <w:noWrap w:val="0"/>
                  <w:vAlign w:val="center"/>
                </w:tcPr>
                <w:p>
                  <w:pPr>
                    <w:widowControl/>
                    <w:contextualSpacing/>
                    <w:jc w:val="center"/>
                    <w:textAlignment w:val="center"/>
                    <w:rPr>
                      <w:rFonts w:hint="default"/>
                      <w:color w:val="000000"/>
                      <w:kern w:val="0"/>
                      <w:szCs w:val="21"/>
                      <w:highlight w:val="none"/>
                      <w:lang w:val="en-US" w:eastAsia="zh-CN"/>
                    </w:rPr>
                  </w:pPr>
                  <w:r>
                    <w:rPr>
                      <w:rFonts w:hint="eastAsia"/>
                      <w:color w:val="000000"/>
                      <w:kern w:val="0"/>
                      <w:szCs w:val="21"/>
                      <w:highlight w:val="none"/>
                      <w:lang w:val="en-US" w:eastAsia="zh-CN"/>
                    </w:rPr>
                    <w:t>4</w:t>
                  </w:r>
                </w:p>
              </w:tc>
              <w:tc>
                <w:tcPr>
                  <w:tcW w:w="1798" w:type="dxa"/>
                  <w:noWrap w:val="0"/>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rPr>
                    <w:t>整经机</w:t>
                  </w:r>
                </w:p>
              </w:tc>
              <w:tc>
                <w:tcPr>
                  <w:tcW w:w="1812" w:type="dxa"/>
                  <w:noWrap w:val="0"/>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w:t>
                  </w:r>
                </w:p>
              </w:tc>
              <w:tc>
                <w:tcPr>
                  <w:tcW w:w="898" w:type="dxa"/>
                  <w:noWrap w:val="0"/>
                  <w:vAlign w:val="center"/>
                </w:tcPr>
                <w:p>
                  <w:pPr>
                    <w:widowControl/>
                    <w:adjustRightInd w:val="0"/>
                    <w:snapToGrid w:val="0"/>
                    <w:jc w:val="center"/>
                    <w:rPr>
                      <w:rFonts w:hint="eastAsia" w:ascii="Times New Roman" w:hAnsi="Times New Roman" w:eastAsia="楷体" w:cs="Times New Roman"/>
                      <w:bCs/>
                      <w:kern w:val="0"/>
                      <w:sz w:val="21"/>
                      <w:szCs w:val="21"/>
                      <w:lang w:val="en-US" w:eastAsia="zh-CN" w:bidi="ar-SA"/>
                    </w:rPr>
                  </w:pPr>
                  <w:r>
                    <w:rPr>
                      <w:rFonts w:hint="eastAsia" w:eastAsia="楷体"/>
                      <w:bCs/>
                      <w:kern w:val="0"/>
                      <w:szCs w:val="21"/>
                    </w:rPr>
                    <w:t>2</w:t>
                  </w:r>
                </w:p>
              </w:tc>
              <w:tc>
                <w:tcPr>
                  <w:tcW w:w="1670" w:type="dxa"/>
                  <w:noWrap w:val="0"/>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w:t>
                  </w:r>
                </w:p>
              </w:tc>
              <w:tc>
                <w:tcPr>
                  <w:tcW w:w="1327" w:type="dxa"/>
                  <w:noWrap w:val="0"/>
                  <w:vAlign w:val="center"/>
                </w:tcPr>
                <w:p>
                  <w:pPr>
                    <w:widowControl/>
                    <w:contextualSpacing/>
                    <w:jc w:val="center"/>
                    <w:textAlignment w:val="center"/>
                    <w:rPr>
                      <w:rFonts w:hint="eastAsia" w:hAnsi="宋体" w:eastAsia="宋体"/>
                      <w:bCs/>
                      <w:sz w:val="21"/>
                      <w:szCs w:val="21"/>
                      <w:lang w:val="en-US" w:eastAsia="zh-CN"/>
                    </w:rPr>
                  </w:pPr>
                  <w:r>
                    <w:rPr>
                      <w:rFonts w:hint="eastAsia" w:hAnsi="宋体" w:eastAsia="宋体"/>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15" w:type="dxa"/>
                  <w:noWrap w:val="0"/>
                  <w:vAlign w:val="center"/>
                </w:tcPr>
                <w:p>
                  <w:pPr>
                    <w:widowControl/>
                    <w:contextualSpacing/>
                    <w:jc w:val="center"/>
                    <w:textAlignment w:val="center"/>
                    <w:rPr>
                      <w:rFonts w:hint="default"/>
                      <w:color w:val="000000"/>
                      <w:kern w:val="0"/>
                      <w:szCs w:val="21"/>
                      <w:highlight w:val="none"/>
                      <w:lang w:val="en-US" w:eastAsia="zh-CN"/>
                    </w:rPr>
                  </w:pPr>
                  <w:r>
                    <w:rPr>
                      <w:rFonts w:hint="eastAsia"/>
                      <w:color w:val="000000"/>
                      <w:kern w:val="0"/>
                      <w:szCs w:val="21"/>
                      <w:highlight w:val="none"/>
                      <w:lang w:val="en-US" w:eastAsia="zh-CN"/>
                    </w:rPr>
                    <w:t>5</w:t>
                  </w:r>
                </w:p>
              </w:tc>
              <w:tc>
                <w:tcPr>
                  <w:tcW w:w="1798" w:type="dxa"/>
                  <w:noWrap w:val="0"/>
                  <w:vAlign w:val="center"/>
                </w:tcPr>
                <w:p>
                  <w:pPr>
                    <w:widowControl/>
                    <w:contextualSpacing/>
                    <w:jc w:val="center"/>
                    <w:textAlignment w:val="center"/>
                    <w:rPr>
                      <w:rFonts w:hint="eastAsia" w:hAnsi="宋体" w:eastAsia="宋体"/>
                      <w:bCs/>
                      <w:szCs w:val="21"/>
                    </w:rPr>
                  </w:pPr>
                  <w:r>
                    <w:rPr>
                      <w:rFonts w:hint="eastAsia" w:hAnsi="宋体" w:eastAsia="宋体"/>
                      <w:bCs/>
                      <w:szCs w:val="21"/>
                    </w:rPr>
                    <w:t>整浆并生产线</w:t>
                  </w:r>
                </w:p>
              </w:tc>
              <w:tc>
                <w:tcPr>
                  <w:tcW w:w="1812" w:type="dxa"/>
                  <w:noWrap w:val="0"/>
                  <w:vAlign w:val="center"/>
                </w:tcPr>
                <w:p>
                  <w:pPr>
                    <w:widowControl/>
                    <w:contextualSpacing/>
                    <w:jc w:val="center"/>
                    <w:textAlignment w:val="center"/>
                    <w:rPr>
                      <w:rFonts w:hint="default" w:hAnsi="宋体" w:eastAsia="宋体"/>
                      <w:bCs/>
                      <w:szCs w:val="21"/>
                      <w:lang w:val="en-US" w:eastAsia="zh-CN"/>
                    </w:rPr>
                  </w:pPr>
                  <w:r>
                    <w:rPr>
                      <w:rFonts w:hint="eastAsia" w:hAnsi="宋体" w:eastAsia="宋体"/>
                      <w:bCs/>
                      <w:szCs w:val="21"/>
                      <w:lang w:val="en-US" w:eastAsia="zh-CN"/>
                    </w:rPr>
                    <w:t>/</w:t>
                  </w:r>
                </w:p>
              </w:tc>
              <w:tc>
                <w:tcPr>
                  <w:tcW w:w="898" w:type="dxa"/>
                  <w:noWrap w:val="0"/>
                  <w:vAlign w:val="center"/>
                </w:tcPr>
                <w:p>
                  <w:pPr>
                    <w:widowControl/>
                    <w:adjustRightInd w:val="0"/>
                    <w:snapToGrid w:val="0"/>
                    <w:jc w:val="center"/>
                    <w:rPr>
                      <w:rFonts w:hint="eastAsia" w:eastAsia="楷体"/>
                      <w:bCs/>
                      <w:kern w:val="0"/>
                      <w:szCs w:val="21"/>
                      <w:lang w:val="en-US" w:eastAsia="zh-CN"/>
                    </w:rPr>
                  </w:pPr>
                  <w:r>
                    <w:rPr>
                      <w:rFonts w:hint="eastAsia" w:eastAsia="楷体"/>
                      <w:bCs/>
                      <w:kern w:val="0"/>
                      <w:szCs w:val="21"/>
                      <w:lang w:val="en-US" w:eastAsia="zh-CN"/>
                    </w:rPr>
                    <w:t>/</w:t>
                  </w:r>
                </w:p>
              </w:tc>
              <w:tc>
                <w:tcPr>
                  <w:tcW w:w="1670" w:type="dxa"/>
                  <w:noWrap w:val="0"/>
                  <w:vAlign w:val="center"/>
                </w:tcPr>
                <w:p>
                  <w:pPr>
                    <w:widowControl/>
                    <w:contextualSpacing/>
                    <w:jc w:val="center"/>
                    <w:textAlignment w:val="center"/>
                    <w:rPr>
                      <w:rFonts w:hint="default" w:hAnsi="宋体" w:eastAsia="宋体"/>
                      <w:bCs/>
                      <w:szCs w:val="21"/>
                      <w:lang w:val="en-US" w:eastAsia="zh-CN"/>
                    </w:rPr>
                  </w:pPr>
                  <w:r>
                    <w:rPr>
                      <w:rFonts w:hint="eastAsia" w:hAnsi="宋体" w:eastAsia="宋体"/>
                      <w:bCs/>
                      <w:szCs w:val="21"/>
                      <w:lang w:val="en-US" w:eastAsia="zh-CN"/>
                    </w:rPr>
                    <w:t>2</w:t>
                  </w:r>
                </w:p>
              </w:tc>
              <w:tc>
                <w:tcPr>
                  <w:tcW w:w="1327" w:type="dxa"/>
                  <w:noWrap w:val="0"/>
                  <w:vAlign w:val="center"/>
                </w:tcPr>
                <w:p>
                  <w:pPr>
                    <w:widowControl/>
                    <w:contextualSpacing/>
                    <w:jc w:val="center"/>
                    <w:textAlignment w:val="center"/>
                    <w:rPr>
                      <w:rFonts w:hint="eastAsia" w:hAnsi="宋体" w:eastAsia="宋体"/>
                      <w:bCs/>
                      <w:sz w:val="21"/>
                      <w:szCs w:val="21"/>
                      <w:lang w:val="en-US" w:eastAsia="zh-CN"/>
                    </w:rPr>
                  </w:pPr>
                  <w:r>
                    <w:rPr>
                      <w:rFonts w:hint="eastAsia" w:hAnsi="宋体" w:eastAsia="宋体"/>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15" w:type="dxa"/>
                  <w:noWrap w:val="0"/>
                  <w:vAlign w:val="center"/>
                </w:tcPr>
                <w:p>
                  <w:pPr>
                    <w:widowControl/>
                    <w:contextualSpacing/>
                    <w:jc w:val="center"/>
                    <w:textAlignment w:val="center"/>
                    <w:rPr>
                      <w:rFonts w:hint="default"/>
                      <w:color w:val="000000"/>
                      <w:kern w:val="0"/>
                      <w:szCs w:val="21"/>
                      <w:highlight w:val="none"/>
                      <w:lang w:val="en-US" w:eastAsia="zh-CN"/>
                    </w:rPr>
                  </w:pPr>
                  <w:r>
                    <w:rPr>
                      <w:rFonts w:hint="eastAsia"/>
                      <w:color w:val="000000"/>
                      <w:kern w:val="0"/>
                      <w:szCs w:val="21"/>
                      <w:highlight w:val="none"/>
                      <w:lang w:val="en-US" w:eastAsia="zh-CN"/>
                    </w:rPr>
                    <w:t>6</w:t>
                  </w:r>
                </w:p>
              </w:tc>
              <w:tc>
                <w:tcPr>
                  <w:tcW w:w="1798" w:type="dxa"/>
                  <w:noWrap w:val="0"/>
                  <w:vAlign w:val="center"/>
                </w:tcPr>
                <w:p>
                  <w:pPr>
                    <w:widowControl/>
                    <w:contextualSpacing/>
                    <w:jc w:val="center"/>
                    <w:textAlignment w:val="center"/>
                    <w:rPr>
                      <w:rFonts w:hint="eastAsia" w:hAnsi="宋体" w:eastAsia="宋体"/>
                      <w:bCs/>
                      <w:szCs w:val="21"/>
                      <w:lang w:eastAsia="zh-CN"/>
                    </w:rPr>
                  </w:pPr>
                  <w:r>
                    <w:rPr>
                      <w:rFonts w:hint="eastAsia" w:hAnsi="宋体" w:eastAsia="宋体"/>
                      <w:bCs/>
                      <w:szCs w:val="21"/>
                      <w:lang w:eastAsia="zh-CN"/>
                    </w:rPr>
                    <w:t>缝纫机</w:t>
                  </w:r>
                </w:p>
              </w:tc>
              <w:tc>
                <w:tcPr>
                  <w:tcW w:w="1812" w:type="dxa"/>
                  <w:noWrap w:val="0"/>
                  <w:vAlign w:val="center"/>
                </w:tcPr>
                <w:p>
                  <w:pPr>
                    <w:widowControl/>
                    <w:contextualSpacing/>
                    <w:jc w:val="center"/>
                    <w:textAlignment w:val="center"/>
                    <w:rPr>
                      <w:rFonts w:hint="default" w:hAnsi="宋体" w:eastAsia="宋体"/>
                      <w:bCs/>
                      <w:szCs w:val="21"/>
                      <w:lang w:val="en-US" w:eastAsia="zh-CN"/>
                    </w:rPr>
                  </w:pPr>
                  <w:r>
                    <w:rPr>
                      <w:rFonts w:hint="eastAsia" w:hAnsi="宋体" w:eastAsia="宋体"/>
                      <w:bCs/>
                      <w:szCs w:val="21"/>
                      <w:lang w:val="en-US" w:eastAsia="zh-CN"/>
                    </w:rPr>
                    <w:t>/</w:t>
                  </w:r>
                </w:p>
              </w:tc>
              <w:tc>
                <w:tcPr>
                  <w:tcW w:w="898" w:type="dxa"/>
                  <w:noWrap w:val="0"/>
                  <w:vAlign w:val="center"/>
                </w:tcPr>
                <w:p>
                  <w:pPr>
                    <w:widowControl/>
                    <w:adjustRightInd w:val="0"/>
                    <w:snapToGrid w:val="0"/>
                    <w:jc w:val="center"/>
                    <w:rPr>
                      <w:rFonts w:hint="default" w:eastAsia="楷体"/>
                      <w:bCs/>
                      <w:kern w:val="0"/>
                      <w:szCs w:val="21"/>
                      <w:lang w:val="en-US" w:eastAsia="zh-CN"/>
                    </w:rPr>
                  </w:pPr>
                  <w:r>
                    <w:rPr>
                      <w:rFonts w:hint="eastAsia" w:eastAsia="楷体"/>
                      <w:bCs/>
                      <w:kern w:val="0"/>
                      <w:szCs w:val="21"/>
                      <w:lang w:val="en-US" w:eastAsia="zh-CN"/>
                    </w:rPr>
                    <w:t>/</w:t>
                  </w:r>
                </w:p>
              </w:tc>
              <w:tc>
                <w:tcPr>
                  <w:tcW w:w="1670" w:type="dxa"/>
                  <w:noWrap w:val="0"/>
                  <w:vAlign w:val="center"/>
                </w:tcPr>
                <w:p>
                  <w:pPr>
                    <w:widowControl/>
                    <w:contextualSpacing/>
                    <w:jc w:val="center"/>
                    <w:textAlignment w:val="center"/>
                    <w:rPr>
                      <w:rFonts w:hint="default" w:hAnsi="宋体" w:eastAsia="宋体"/>
                      <w:bCs/>
                      <w:szCs w:val="21"/>
                      <w:lang w:val="en-US" w:eastAsia="zh-CN"/>
                    </w:rPr>
                  </w:pPr>
                  <w:r>
                    <w:rPr>
                      <w:rFonts w:hint="eastAsia" w:hAnsi="宋体" w:eastAsia="宋体"/>
                      <w:bCs/>
                      <w:szCs w:val="21"/>
                      <w:lang w:val="en-US" w:eastAsia="zh-CN"/>
                    </w:rPr>
                    <w:t>100</w:t>
                  </w:r>
                </w:p>
              </w:tc>
              <w:tc>
                <w:tcPr>
                  <w:tcW w:w="1327" w:type="dxa"/>
                  <w:noWrap w:val="0"/>
                  <w:vAlign w:val="center"/>
                </w:tcPr>
                <w:p>
                  <w:pPr>
                    <w:widowControl/>
                    <w:contextualSpacing/>
                    <w:jc w:val="center"/>
                    <w:textAlignment w:val="center"/>
                    <w:rPr>
                      <w:rFonts w:hint="default" w:hAnsi="宋体" w:eastAsia="宋体"/>
                      <w:bCs/>
                      <w:sz w:val="21"/>
                      <w:szCs w:val="21"/>
                      <w:lang w:val="en-US" w:eastAsia="zh-CN"/>
                    </w:rPr>
                  </w:pPr>
                  <w:r>
                    <w:rPr>
                      <w:rFonts w:hint="eastAsia" w:hAnsi="宋体" w:eastAsia="宋体"/>
                      <w:bCs/>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0" w:type="auto"/>
                  <w:vAlign w:val="center"/>
                </w:tcPr>
                <w:p>
                  <w:pPr>
                    <w:widowControl/>
                    <w:contextualSpacing/>
                    <w:jc w:val="center"/>
                    <w:textAlignment w:val="center"/>
                    <w:rPr>
                      <w:rFonts w:hint="default"/>
                      <w:color w:val="000000"/>
                      <w:kern w:val="0"/>
                      <w:szCs w:val="21"/>
                      <w:highlight w:val="none"/>
                      <w:lang w:val="en-US" w:eastAsia="zh-CN"/>
                    </w:rPr>
                  </w:pPr>
                  <w:r>
                    <w:rPr>
                      <w:rFonts w:hint="eastAsia"/>
                      <w:color w:val="000000"/>
                      <w:kern w:val="0"/>
                      <w:szCs w:val="21"/>
                      <w:highlight w:val="none"/>
                      <w:lang w:val="en-US" w:eastAsia="zh-CN"/>
                    </w:rPr>
                    <w:t>7</w:t>
                  </w:r>
                </w:p>
              </w:tc>
              <w:tc>
                <w:tcPr>
                  <w:tcW w:w="0" w:type="auto"/>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打卷机</w:t>
                  </w:r>
                </w:p>
              </w:tc>
              <w:tc>
                <w:tcPr>
                  <w:tcW w:w="0" w:type="auto"/>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w:t>
                  </w:r>
                </w:p>
              </w:tc>
              <w:tc>
                <w:tcPr>
                  <w:tcW w:w="0" w:type="auto"/>
                  <w:vAlign w:val="center"/>
                </w:tcPr>
                <w:p>
                  <w:pPr>
                    <w:widowControl/>
                    <w:adjustRightInd w:val="0"/>
                    <w:snapToGrid w:val="0"/>
                    <w:jc w:val="center"/>
                    <w:rPr>
                      <w:rFonts w:hint="eastAsia" w:ascii="Times New Roman" w:hAnsi="Times New Roman" w:eastAsia="楷体" w:cs="Times New Roman"/>
                      <w:bCs/>
                      <w:kern w:val="0"/>
                      <w:sz w:val="21"/>
                      <w:szCs w:val="21"/>
                      <w:lang w:val="en-US" w:eastAsia="zh-CN" w:bidi="ar-SA"/>
                    </w:rPr>
                  </w:pPr>
                  <w:r>
                    <w:rPr>
                      <w:rFonts w:hint="eastAsia" w:eastAsia="楷体"/>
                      <w:bCs/>
                      <w:kern w:val="0"/>
                      <w:szCs w:val="21"/>
                      <w:lang w:val="en-US" w:eastAsia="zh-CN"/>
                    </w:rPr>
                    <w:t>10</w:t>
                  </w:r>
                </w:p>
              </w:tc>
              <w:tc>
                <w:tcPr>
                  <w:tcW w:w="0" w:type="auto"/>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w:t>
                  </w:r>
                </w:p>
              </w:tc>
              <w:tc>
                <w:tcPr>
                  <w:tcW w:w="0" w:type="auto"/>
                  <w:vAlign w:val="center"/>
                </w:tcPr>
                <w:p>
                  <w:pPr>
                    <w:widowControl/>
                    <w:contextualSpacing/>
                    <w:jc w:val="center"/>
                    <w:textAlignment w:val="center"/>
                    <w:rPr>
                      <w:rFonts w:hint="default" w:hAnsi="宋体" w:eastAsia="宋体"/>
                      <w:bCs/>
                      <w:sz w:val="21"/>
                      <w:szCs w:val="21"/>
                      <w:lang w:val="en-US" w:eastAsia="zh-CN"/>
                    </w:rPr>
                  </w:pPr>
                  <w:r>
                    <w:rPr>
                      <w:rFonts w:hint="eastAsia" w:hAnsi="宋体" w:eastAsia="宋体"/>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2513" w:type="dxa"/>
                  <w:gridSpan w:val="2"/>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合同</w:t>
                  </w:r>
                </w:p>
              </w:tc>
              <w:tc>
                <w:tcPr>
                  <w:tcW w:w="0" w:type="auto"/>
                  <w:vAlign w:val="center"/>
                </w:tcPr>
                <w:p>
                  <w:pPr>
                    <w:widowControl/>
                    <w:contextualSpacing/>
                    <w:jc w:val="center"/>
                    <w:textAlignment w:val="center"/>
                    <w:rPr>
                      <w:rFonts w:hint="eastAsia" w:hAnsi="宋体" w:eastAsia="宋体"/>
                      <w:bCs/>
                      <w:szCs w:val="21"/>
                      <w:lang w:val="en-US" w:eastAsia="zh-CN"/>
                    </w:rPr>
                  </w:pPr>
                  <w:r>
                    <w:rPr>
                      <w:rFonts w:hint="eastAsia" w:hAnsi="宋体" w:eastAsia="宋体"/>
                      <w:bCs/>
                      <w:szCs w:val="21"/>
                      <w:lang w:val="en-US" w:eastAsia="zh-CN"/>
                    </w:rPr>
                    <w:t>/</w:t>
                  </w:r>
                </w:p>
              </w:tc>
              <w:tc>
                <w:tcPr>
                  <w:tcW w:w="0" w:type="auto"/>
                  <w:vAlign w:val="center"/>
                </w:tcPr>
                <w:p>
                  <w:pPr>
                    <w:widowControl/>
                    <w:contextualSpacing/>
                    <w:jc w:val="center"/>
                    <w:textAlignment w:val="center"/>
                    <w:rPr>
                      <w:rFonts w:hint="default" w:hAnsi="宋体" w:eastAsia="宋体"/>
                      <w:bCs/>
                      <w:szCs w:val="21"/>
                      <w:lang w:val="en-US" w:eastAsia="zh-CN"/>
                    </w:rPr>
                  </w:pPr>
                  <w:r>
                    <w:rPr>
                      <w:rFonts w:hint="eastAsia" w:hAnsi="宋体" w:eastAsia="宋体"/>
                      <w:bCs/>
                      <w:szCs w:val="21"/>
                      <w:lang w:val="en-US" w:eastAsia="zh-CN"/>
                    </w:rPr>
                    <w:t>263</w:t>
                  </w:r>
                </w:p>
              </w:tc>
              <w:tc>
                <w:tcPr>
                  <w:tcW w:w="0" w:type="auto"/>
                  <w:vAlign w:val="center"/>
                </w:tcPr>
                <w:p>
                  <w:pPr>
                    <w:widowControl/>
                    <w:contextualSpacing/>
                    <w:jc w:val="center"/>
                    <w:textAlignment w:val="center"/>
                    <w:rPr>
                      <w:rFonts w:hint="default" w:hAnsi="宋体" w:eastAsia="宋体"/>
                      <w:bCs/>
                      <w:szCs w:val="21"/>
                      <w:lang w:val="en-US" w:eastAsia="zh-CN"/>
                    </w:rPr>
                  </w:pPr>
                  <w:r>
                    <w:rPr>
                      <w:rFonts w:hint="eastAsia" w:hAnsi="宋体" w:eastAsia="宋体"/>
                      <w:bCs/>
                      <w:szCs w:val="21"/>
                      <w:lang w:val="en-US" w:eastAsia="zh-CN"/>
                    </w:rPr>
                    <w:t>199</w:t>
                  </w:r>
                </w:p>
              </w:tc>
              <w:tc>
                <w:tcPr>
                  <w:tcW w:w="0" w:type="auto"/>
                  <w:vAlign w:val="center"/>
                </w:tcPr>
                <w:p>
                  <w:pPr>
                    <w:widowControl/>
                    <w:contextualSpacing/>
                    <w:jc w:val="center"/>
                    <w:textAlignment w:val="center"/>
                    <w:rPr>
                      <w:rFonts w:hint="default" w:hAnsi="宋体" w:eastAsia="宋体"/>
                      <w:bCs/>
                      <w:szCs w:val="21"/>
                      <w:lang w:val="en-US" w:eastAsia="zh-CN"/>
                    </w:rPr>
                  </w:pPr>
                  <w:r>
                    <w:rPr>
                      <w:rFonts w:hint="eastAsia" w:hAnsi="宋体" w:eastAsia="宋体"/>
                      <w:bCs/>
                      <w:szCs w:val="21"/>
                      <w:lang w:val="en-US" w:eastAsia="zh-CN"/>
                    </w:rPr>
                    <w:t>462</w:t>
                  </w:r>
                </w:p>
              </w:tc>
            </w:tr>
          </w:tbl>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82" w:firstLineChars="200"/>
              <w:textAlignment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产能匹配性分析： </w:t>
            </w:r>
          </w:p>
          <w:p>
            <w:pPr>
              <w:spacing w:line="500" w:lineRule="exact"/>
              <w:ind w:firstLine="480" w:firstLineChars="200"/>
              <w:textAlignment w:val="center"/>
              <w:rPr>
                <w:rFonts w:ascii="Times New Roman" w:hAnsi="Times New Roman"/>
                <w:b/>
                <w:szCs w:val="21"/>
              </w:rPr>
            </w:pPr>
            <w:r>
              <w:rPr>
                <w:rFonts w:ascii="Times New Roman" w:hAnsi="Times New Roman" w:eastAsia="宋体" w:cs="Times New Roman"/>
                <w:sz w:val="24"/>
                <w:szCs w:val="24"/>
              </w:rPr>
              <w:t>本项目的产品</w:t>
            </w:r>
            <w:r>
              <w:rPr>
                <w:rFonts w:hint="eastAsia" w:ascii="Times New Roman" w:hAnsi="Times New Roman" w:eastAsia="宋体" w:cs="Times New Roman"/>
                <w:sz w:val="24"/>
                <w:szCs w:val="24"/>
              </w:rPr>
              <w:t>为</w:t>
            </w:r>
            <w:r>
              <w:rPr>
                <w:rFonts w:hint="eastAsia" w:ascii="Times New Roman" w:hAnsi="Times New Roman" w:eastAsia="宋体" w:cs="Times New Roman"/>
                <w:sz w:val="24"/>
                <w:szCs w:val="24"/>
                <w:lang w:eastAsia="zh-CN"/>
              </w:rPr>
              <w:t>主要为</w:t>
            </w:r>
            <w:r>
              <w:rPr>
                <w:rFonts w:hint="eastAsia" w:ascii="Times New Roman" w:hAnsi="Times New Roman" w:eastAsia="宋体" w:cs="Times New Roman"/>
                <w:sz w:val="24"/>
                <w:szCs w:val="24"/>
              </w:rPr>
              <w:t>化纤布</w:t>
            </w:r>
            <w:r>
              <w:rPr>
                <w:rFonts w:ascii="Times New Roman" w:hAnsi="Times New Roman" w:eastAsia="宋体" w:cs="Times New Roman"/>
                <w:sz w:val="24"/>
                <w:szCs w:val="24"/>
              </w:rPr>
              <w:t>，工艺为喷水织机织造。根据业主提供资料，核算主要工艺设备的生产能力</w:t>
            </w:r>
            <w:r>
              <w:rPr>
                <w:rFonts w:hint="eastAsia" w:ascii="Times New Roman" w:hAnsi="Times New Roman" w:eastAsia="宋体" w:cs="Times New Roman"/>
                <w:sz w:val="24"/>
                <w:szCs w:val="24"/>
              </w:rPr>
              <w:t>，</w:t>
            </w:r>
            <w:r>
              <w:rPr>
                <w:rFonts w:ascii="Times New Roman" w:hAnsi="Times New Roman" w:eastAsia="宋体" w:cs="Times New Roman"/>
                <w:sz w:val="24"/>
                <w:szCs w:val="24"/>
              </w:rPr>
              <w:t>本项目主要设备和产能匹配性分析见下表。</w:t>
            </w:r>
          </w:p>
          <w:p>
            <w:pPr>
              <w:spacing w:line="460" w:lineRule="exact"/>
              <w:jc w:val="center"/>
              <w:rPr>
                <w:rFonts w:ascii="Times New Roman" w:hAnsi="Times New Roman"/>
                <w:b/>
                <w:szCs w:val="21"/>
              </w:rPr>
            </w:pPr>
            <w:r>
              <w:rPr>
                <w:rFonts w:hint="eastAsia" w:ascii="Times New Roman" w:hAnsi="Times New Roman"/>
                <w:b/>
                <w:szCs w:val="21"/>
              </w:rPr>
              <w:t>表</w:t>
            </w:r>
            <w:r>
              <w:rPr>
                <w:rFonts w:hint="eastAsia"/>
                <w:b/>
                <w:szCs w:val="21"/>
                <w:lang w:val="en-US" w:eastAsia="zh-CN"/>
              </w:rPr>
              <w:t>2.1-9</w:t>
            </w:r>
            <w:r>
              <w:rPr>
                <w:rFonts w:hint="eastAsia" w:ascii="Times New Roman" w:hAnsi="Times New Roman"/>
                <w:b/>
                <w:szCs w:val="21"/>
              </w:rPr>
              <w:t xml:space="preserve">  建设项目主要设备和产能匹配情况一览表（本项目）</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36"/>
              <w:gridCol w:w="804"/>
              <w:gridCol w:w="864"/>
              <w:gridCol w:w="888"/>
              <w:gridCol w:w="996"/>
              <w:gridCol w:w="1308"/>
              <w:gridCol w:w="984"/>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16" w:type="dxa"/>
                  <w:vAlign w:val="center"/>
                </w:tcPr>
                <w:p>
                  <w:pPr>
                    <w:spacing w:line="240" w:lineRule="exact"/>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产品</w:t>
                  </w:r>
                </w:p>
              </w:tc>
              <w:tc>
                <w:tcPr>
                  <w:tcW w:w="836" w:type="dxa"/>
                  <w:vAlign w:val="center"/>
                </w:tcPr>
                <w:p>
                  <w:pPr>
                    <w:spacing w:line="240" w:lineRule="exact"/>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关键设备名称</w:t>
                  </w:r>
                </w:p>
              </w:tc>
              <w:tc>
                <w:tcPr>
                  <w:tcW w:w="804" w:type="dxa"/>
                  <w:vAlign w:val="center"/>
                </w:tcPr>
                <w:p>
                  <w:pPr>
                    <w:spacing w:line="240" w:lineRule="exact"/>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车速</w:t>
                  </w:r>
                </w:p>
              </w:tc>
              <w:tc>
                <w:tcPr>
                  <w:tcW w:w="864" w:type="dxa"/>
                  <w:vAlign w:val="center"/>
                </w:tcPr>
                <w:p>
                  <w:pPr>
                    <w:spacing w:line="240" w:lineRule="exact"/>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设备数量（台）</w:t>
                  </w:r>
                </w:p>
              </w:tc>
              <w:tc>
                <w:tcPr>
                  <w:tcW w:w="888" w:type="dxa"/>
                  <w:vAlign w:val="center"/>
                </w:tcPr>
                <w:p>
                  <w:pPr>
                    <w:spacing w:line="240" w:lineRule="exact"/>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日运行时间（h）</w:t>
                  </w:r>
                </w:p>
              </w:tc>
              <w:tc>
                <w:tcPr>
                  <w:tcW w:w="996" w:type="dxa"/>
                  <w:vAlign w:val="center"/>
                </w:tcPr>
                <w:p>
                  <w:pPr>
                    <w:spacing w:line="240" w:lineRule="exact"/>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年生产天数（d）</w:t>
                  </w:r>
                </w:p>
              </w:tc>
              <w:tc>
                <w:tcPr>
                  <w:tcW w:w="1308" w:type="dxa"/>
                  <w:vAlign w:val="center"/>
                </w:tcPr>
                <w:p>
                  <w:pPr>
                    <w:spacing w:line="240" w:lineRule="exact"/>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eastAsia="zh-CN"/>
                    </w:rPr>
                    <w:t>实际</w:t>
                  </w:r>
                  <w:r>
                    <w:rPr>
                      <w:rFonts w:hint="eastAsia" w:ascii="Times New Roman" w:hAnsi="Times New Roman" w:eastAsia="宋体" w:cs="Times New Roman"/>
                      <w:b w:val="0"/>
                      <w:bCs w:val="0"/>
                      <w:sz w:val="21"/>
                      <w:szCs w:val="21"/>
                    </w:rPr>
                    <w:t>年产能</w:t>
                  </w:r>
                </w:p>
              </w:tc>
              <w:tc>
                <w:tcPr>
                  <w:tcW w:w="984" w:type="dxa"/>
                  <w:vAlign w:val="center"/>
                </w:tcPr>
                <w:p>
                  <w:pPr>
                    <w:widowControl/>
                    <w:adjustRightInd w:val="0"/>
                    <w:snapToGrid w:val="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设计</w:t>
                  </w:r>
                </w:p>
                <w:p>
                  <w:pPr>
                    <w:widowControl/>
                    <w:adjustRightInd w:val="0"/>
                    <w:snapToGrid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产量</w:t>
                  </w:r>
                </w:p>
              </w:tc>
              <w:tc>
                <w:tcPr>
                  <w:tcW w:w="824" w:type="dxa"/>
                  <w:vAlign w:val="center"/>
                </w:tcPr>
                <w:p>
                  <w:pPr>
                    <w:widowControl/>
                    <w:adjustRightInd w:val="0"/>
                    <w:snapToGrid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是否匹配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6" w:type="dxa"/>
                  <w:vAlign w:val="center"/>
                </w:tcPr>
                <w:p>
                  <w:pPr>
                    <w:spacing w:line="240" w:lineRule="exact"/>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化纤布</w:t>
                  </w:r>
                </w:p>
              </w:tc>
              <w:tc>
                <w:tcPr>
                  <w:tcW w:w="836" w:type="dxa"/>
                  <w:vAlign w:val="center"/>
                </w:tcPr>
                <w:p>
                  <w:pPr>
                    <w:adjustRightInd w:val="0"/>
                    <w:snapToGrid w:val="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喷水织机</w:t>
                  </w:r>
                </w:p>
              </w:tc>
              <w:tc>
                <w:tcPr>
                  <w:tcW w:w="804" w:type="dxa"/>
                  <w:vAlign w:val="center"/>
                </w:tcPr>
                <w:p>
                  <w:pPr>
                    <w:adjustRightInd w:val="0"/>
                    <w:snapToGrid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16</w:t>
                  </w:r>
                  <w:r>
                    <w:rPr>
                      <w:rFonts w:ascii="Times New Roman" w:hAnsi="Times New Roman" w:eastAsia="宋体" w:cs="Times New Roman"/>
                      <w:b w:val="0"/>
                      <w:bCs w:val="0"/>
                      <w:sz w:val="21"/>
                      <w:szCs w:val="21"/>
                    </w:rPr>
                    <w:t>m/h</w:t>
                  </w:r>
                </w:p>
              </w:tc>
              <w:tc>
                <w:tcPr>
                  <w:tcW w:w="864" w:type="dxa"/>
                  <w:vAlign w:val="center"/>
                </w:tcPr>
                <w:p>
                  <w:pPr>
                    <w:adjustRightInd w:val="0"/>
                    <w:snapToGrid w:val="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345</w:t>
                  </w:r>
                </w:p>
              </w:tc>
              <w:tc>
                <w:tcPr>
                  <w:tcW w:w="888" w:type="dxa"/>
                  <w:vAlign w:val="center"/>
                </w:tcPr>
                <w:p>
                  <w:pPr>
                    <w:adjustRightInd w:val="0"/>
                    <w:snapToGrid w:val="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24</w:t>
                  </w:r>
                </w:p>
              </w:tc>
              <w:tc>
                <w:tcPr>
                  <w:tcW w:w="996" w:type="dxa"/>
                  <w:vAlign w:val="center"/>
                </w:tcPr>
                <w:p>
                  <w:pPr>
                    <w:adjustRightInd w:val="0"/>
                    <w:snapToGrid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300</w:t>
                  </w:r>
                </w:p>
              </w:tc>
              <w:tc>
                <w:tcPr>
                  <w:tcW w:w="1308" w:type="dxa"/>
                  <w:vAlign w:val="center"/>
                </w:tcPr>
                <w:p>
                  <w:pPr>
                    <w:adjustRightInd w:val="0"/>
                    <w:snapToGrid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3974.4万</w:t>
                  </w:r>
                  <w:r>
                    <w:rPr>
                      <w:rFonts w:hint="eastAsia" w:ascii="Times New Roman" w:hAnsi="Times New Roman" w:eastAsia="宋体" w:cs="Times New Roman"/>
                      <w:b w:val="0"/>
                      <w:bCs w:val="0"/>
                      <w:sz w:val="21"/>
                      <w:szCs w:val="21"/>
                    </w:rPr>
                    <w:t>m</w:t>
                  </w:r>
                  <w:r>
                    <w:rPr>
                      <w:rFonts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rPr>
                    <w:t>a</w:t>
                  </w:r>
                </w:p>
              </w:tc>
              <w:tc>
                <w:tcPr>
                  <w:tcW w:w="984" w:type="dxa"/>
                  <w:vAlign w:val="center"/>
                </w:tcPr>
                <w:p>
                  <w:pPr>
                    <w:adjustRightInd w:val="0"/>
                    <w:snapToGrid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val="en-US" w:eastAsia="zh-CN"/>
                    </w:rPr>
                    <w:t>3800</w:t>
                  </w:r>
                  <w:r>
                    <w:rPr>
                      <w:rFonts w:ascii="Times New Roman" w:hAnsi="Times New Roman" w:eastAsia="宋体" w:cs="Times New Roman"/>
                      <w:b w:val="0"/>
                      <w:bCs w:val="0"/>
                      <w:sz w:val="21"/>
                      <w:szCs w:val="21"/>
                    </w:rPr>
                    <w:t>万</w:t>
                  </w:r>
                  <w:r>
                    <w:rPr>
                      <w:rFonts w:hint="eastAsia" w:ascii="Times New Roman" w:hAnsi="Times New Roman" w:eastAsia="宋体" w:cs="Times New Roman"/>
                      <w:b w:val="0"/>
                      <w:bCs w:val="0"/>
                      <w:sz w:val="21"/>
                      <w:szCs w:val="21"/>
                    </w:rPr>
                    <w:t>m</w:t>
                  </w:r>
                  <w:r>
                    <w:rPr>
                      <w:rFonts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rPr>
                    <w:t>a</w:t>
                  </w:r>
                </w:p>
              </w:tc>
              <w:tc>
                <w:tcPr>
                  <w:tcW w:w="824" w:type="dxa"/>
                  <w:vAlign w:val="center"/>
                </w:tcPr>
                <w:p>
                  <w:pPr>
                    <w:adjustRightInd w:val="0"/>
                    <w:snapToGrid w:val="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是</w:t>
                  </w:r>
                </w:p>
              </w:tc>
            </w:tr>
          </w:tbl>
          <w:p>
            <w:pPr>
              <w:spacing w:line="500" w:lineRule="exact"/>
              <w:ind w:firstLine="480" w:firstLineChars="20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 xml:space="preserve">根据上表 </w:t>
            </w:r>
            <w:r>
              <w:rPr>
                <w:rFonts w:hint="eastAsia" w:cs="Times New Roman"/>
                <w:sz w:val="24"/>
                <w:szCs w:val="24"/>
                <w:lang w:val="en-US" w:eastAsia="zh-CN"/>
              </w:rPr>
              <w:t>2.1-9</w:t>
            </w:r>
            <w:r>
              <w:rPr>
                <w:rFonts w:ascii="Times New Roman" w:hAnsi="Times New Roman" w:eastAsia="宋体" w:cs="Times New Roman"/>
                <w:sz w:val="24"/>
                <w:szCs w:val="24"/>
              </w:rPr>
              <w:t xml:space="preserve"> 可知，按设备设计参数，喷水织机最大设计产能为每年</w:t>
            </w:r>
            <w:r>
              <w:rPr>
                <w:rFonts w:hint="eastAsia" w:ascii="Times New Roman" w:hAnsi="Times New Roman" w:eastAsia="宋体" w:cs="Times New Roman"/>
                <w:sz w:val="24"/>
                <w:szCs w:val="24"/>
                <w:lang w:val="en-US" w:eastAsia="zh-CN"/>
              </w:rPr>
              <w:t>3974.4</w:t>
            </w:r>
            <w:r>
              <w:rPr>
                <w:rFonts w:ascii="Times New Roman" w:hAnsi="Times New Roman" w:eastAsia="宋体" w:cs="Times New Roman"/>
                <w:sz w:val="24"/>
                <w:szCs w:val="24"/>
              </w:rPr>
              <w:t>万米，本项目</w:t>
            </w:r>
            <w:r>
              <w:rPr>
                <w:rFonts w:hint="eastAsia" w:ascii="Times New Roman" w:hAnsi="Times New Roman" w:eastAsia="宋体" w:cs="Times New Roman"/>
                <w:sz w:val="24"/>
                <w:szCs w:val="24"/>
                <w:lang w:eastAsia="zh-CN"/>
              </w:rPr>
              <w:t>上报设计</w:t>
            </w:r>
            <w:r>
              <w:rPr>
                <w:rFonts w:ascii="Times New Roman" w:hAnsi="Times New Roman" w:eastAsia="宋体" w:cs="Times New Roman"/>
                <w:sz w:val="24"/>
                <w:szCs w:val="24"/>
              </w:rPr>
              <w:t>产量为</w:t>
            </w:r>
            <w:r>
              <w:rPr>
                <w:rFonts w:hint="eastAsia" w:ascii="Times New Roman" w:hAnsi="Times New Roman" w:eastAsia="宋体" w:cs="Times New Roman"/>
                <w:sz w:val="24"/>
                <w:szCs w:val="24"/>
                <w:lang w:val="en-US" w:eastAsia="zh-CN"/>
              </w:rPr>
              <w:t>3800</w:t>
            </w:r>
            <w:r>
              <w:rPr>
                <w:rFonts w:ascii="Times New Roman" w:hAnsi="Times New Roman" w:eastAsia="宋体" w:cs="Times New Roman"/>
                <w:sz w:val="24"/>
                <w:szCs w:val="24"/>
              </w:rPr>
              <w:t>万米</w:t>
            </w:r>
            <w:r>
              <w:rPr>
                <w:rFonts w:hint="eastAsia" w:ascii="Times New Roman" w:hAnsi="Times New Roman" w:eastAsia="宋体" w:cs="Times New Roman"/>
                <w:sz w:val="24"/>
                <w:szCs w:val="24"/>
                <w:lang w:val="en-US" w:eastAsia="zh-CN"/>
              </w:rPr>
              <w:t>/a</w:t>
            </w:r>
            <w:r>
              <w:rPr>
                <w:rFonts w:ascii="Times New Roman" w:hAnsi="Times New Roman" w:eastAsia="宋体" w:cs="Times New Roman"/>
                <w:sz w:val="24"/>
                <w:szCs w:val="24"/>
              </w:rPr>
              <w:t>，达到最大设计产能的</w:t>
            </w:r>
            <w:r>
              <w:rPr>
                <w:rFonts w:hint="eastAsia" w:ascii="Times New Roman" w:hAnsi="Times New Roman" w:eastAsia="宋体" w:cs="Times New Roman"/>
                <w:sz w:val="24"/>
                <w:szCs w:val="24"/>
                <w:lang w:val="en-US" w:eastAsia="zh-CN"/>
              </w:rPr>
              <w:t>95.6</w:t>
            </w:r>
            <w:r>
              <w:rPr>
                <w:rFonts w:ascii="Times New Roman" w:hAnsi="Times New Roman" w:eastAsia="宋体" w:cs="Times New Roman"/>
                <w:sz w:val="24"/>
                <w:szCs w:val="24"/>
              </w:rPr>
              <w:t>%。因此本项目产能与设备基本匹配。</w:t>
            </w:r>
          </w:p>
          <w:p>
            <w:pPr>
              <w:pStyle w:val="3"/>
              <w:spacing w:line="500" w:lineRule="atLeast"/>
              <w:ind w:firstLine="480" w:firstLineChars="200"/>
              <w:rPr>
                <w:b/>
                <w:bCs/>
                <w:szCs w:val="21"/>
              </w:rPr>
            </w:pPr>
            <w:r>
              <w:rPr>
                <w:rFonts w:hAnsi="宋体"/>
                <w:sz w:val="24"/>
                <w:szCs w:val="24"/>
              </w:rPr>
              <w:t>（</w:t>
            </w:r>
            <w:r>
              <w:rPr>
                <w:sz w:val="24"/>
                <w:szCs w:val="24"/>
              </w:rPr>
              <w:t>2</w:t>
            </w:r>
            <w:r>
              <w:rPr>
                <w:rFonts w:hAnsi="宋体"/>
                <w:sz w:val="24"/>
                <w:szCs w:val="24"/>
              </w:rPr>
              <w:t>）主要原辅材料消耗情况</w:t>
            </w:r>
          </w:p>
          <w:p>
            <w:pPr>
              <w:pStyle w:val="3"/>
              <w:spacing w:line="460" w:lineRule="atLeast"/>
              <w:ind w:firstLine="0"/>
              <w:jc w:val="center"/>
              <w:rPr>
                <w:b/>
                <w:bCs/>
                <w:szCs w:val="21"/>
              </w:rPr>
            </w:pPr>
            <w:r>
              <w:rPr>
                <w:rFonts w:hAnsi="宋体"/>
                <w:b/>
                <w:bCs/>
                <w:szCs w:val="21"/>
              </w:rPr>
              <w:t>表</w:t>
            </w:r>
            <w:r>
              <w:rPr>
                <w:rFonts w:hint="eastAsia"/>
                <w:b/>
                <w:bCs/>
                <w:szCs w:val="21"/>
                <w:lang w:val="en-US" w:eastAsia="zh-CN"/>
              </w:rPr>
              <w:t>2.1-10</w:t>
            </w:r>
            <w:r>
              <w:rPr>
                <w:b/>
                <w:bCs/>
                <w:szCs w:val="21"/>
              </w:rPr>
              <w:t xml:space="preserve">  </w:t>
            </w:r>
            <w:r>
              <w:rPr>
                <w:rFonts w:hAnsi="宋体"/>
                <w:b/>
                <w:bCs/>
                <w:szCs w:val="21"/>
              </w:rPr>
              <w:t>建设项目主要原辅材料和能源消耗</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914"/>
              <w:gridCol w:w="996"/>
              <w:gridCol w:w="844"/>
              <w:gridCol w:w="1077"/>
              <w:gridCol w:w="1009"/>
              <w:gridCol w:w="888"/>
              <w:gridCol w:w="990"/>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vMerge w:val="restart"/>
                  <w:noWrap w:val="0"/>
                  <w:vAlign w:val="center"/>
                </w:tcPr>
                <w:p>
                  <w:pPr>
                    <w:jc w:val="center"/>
                    <w:rPr>
                      <w:bCs/>
                      <w:sz w:val="18"/>
                      <w:szCs w:val="18"/>
                      <w:highlight w:val="none"/>
                    </w:rPr>
                  </w:pPr>
                  <w:bookmarkStart w:id="9" w:name="_Toc13554"/>
                  <w:r>
                    <w:rPr>
                      <w:bCs/>
                      <w:sz w:val="18"/>
                      <w:szCs w:val="18"/>
                      <w:highlight w:val="none"/>
                    </w:rPr>
                    <w:t>序号</w:t>
                  </w:r>
                </w:p>
              </w:tc>
              <w:tc>
                <w:tcPr>
                  <w:tcW w:w="914" w:type="dxa"/>
                  <w:vMerge w:val="restart"/>
                  <w:noWrap w:val="0"/>
                  <w:vAlign w:val="center"/>
                </w:tcPr>
                <w:p>
                  <w:pPr>
                    <w:jc w:val="center"/>
                    <w:rPr>
                      <w:bCs/>
                      <w:sz w:val="18"/>
                      <w:szCs w:val="18"/>
                      <w:highlight w:val="none"/>
                    </w:rPr>
                  </w:pPr>
                  <w:r>
                    <w:rPr>
                      <w:bCs/>
                      <w:sz w:val="18"/>
                      <w:szCs w:val="18"/>
                      <w:highlight w:val="none"/>
                    </w:rPr>
                    <w:t>原辅材料名称</w:t>
                  </w:r>
                </w:p>
              </w:tc>
              <w:tc>
                <w:tcPr>
                  <w:tcW w:w="2917" w:type="dxa"/>
                  <w:gridSpan w:val="3"/>
                  <w:noWrap w:val="0"/>
                  <w:vAlign w:val="center"/>
                </w:tcPr>
                <w:p>
                  <w:pPr>
                    <w:jc w:val="center"/>
                    <w:rPr>
                      <w:rFonts w:hint="eastAsia" w:eastAsia="宋体"/>
                      <w:bCs/>
                      <w:sz w:val="18"/>
                      <w:szCs w:val="18"/>
                      <w:highlight w:val="none"/>
                      <w:lang w:eastAsia="zh-CN"/>
                    </w:rPr>
                  </w:pPr>
                  <w:r>
                    <w:rPr>
                      <w:bCs/>
                      <w:sz w:val="18"/>
                      <w:szCs w:val="18"/>
                      <w:highlight w:val="none"/>
                    </w:rPr>
                    <w:t>年耗量</w:t>
                  </w:r>
                  <w:r>
                    <w:rPr>
                      <w:rFonts w:hint="eastAsia"/>
                      <w:bCs/>
                      <w:sz w:val="18"/>
                      <w:szCs w:val="18"/>
                      <w:highlight w:val="none"/>
                      <w:lang w:eastAsia="zh-CN"/>
                    </w:rPr>
                    <w:t>（</w:t>
                  </w:r>
                  <w:r>
                    <w:rPr>
                      <w:rFonts w:hint="eastAsia"/>
                      <w:bCs/>
                      <w:sz w:val="18"/>
                      <w:szCs w:val="18"/>
                      <w:highlight w:val="none"/>
                      <w:lang w:val="en-US" w:eastAsia="zh-CN"/>
                    </w:rPr>
                    <w:t>t/a</w:t>
                  </w:r>
                  <w:r>
                    <w:rPr>
                      <w:rFonts w:hint="eastAsia"/>
                      <w:bCs/>
                      <w:sz w:val="18"/>
                      <w:szCs w:val="18"/>
                      <w:highlight w:val="none"/>
                      <w:lang w:eastAsia="zh-CN"/>
                    </w:rPr>
                    <w:t>）</w:t>
                  </w:r>
                </w:p>
              </w:tc>
              <w:tc>
                <w:tcPr>
                  <w:tcW w:w="1009" w:type="dxa"/>
                  <w:vMerge w:val="restart"/>
                  <w:noWrap w:val="0"/>
                  <w:vAlign w:val="center"/>
                </w:tcPr>
                <w:p>
                  <w:pPr>
                    <w:jc w:val="center"/>
                    <w:rPr>
                      <w:bCs/>
                      <w:sz w:val="18"/>
                      <w:szCs w:val="18"/>
                      <w:highlight w:val="none"/>
                    </w:rPr>
                  </w:pPr>
                  <w:r>
                    <w:rPr>
                      <w:bCs/>
                      <w:sz w:val="18"/>
                      <w:szCs w:val="18"/>
                      <w:highlight w:val="none"/>
                    </w:rPr>
                    <w:t>包装规格</w:t>
                  </w:r>
                </w:p>
              </w:tc>
              <w:tc>
                <w:tcPr>
                  <w:tcW w:w="888" w:type="dxa"/>
                  <w:vMerge w:val="restart"/>
                  <w:noWrap w:val="0"/>
                  <w:vAlign w:val="center"/>
                </w:tcPr>
                <w:p>
                  <w:pPr>
                    <w:jc w:val="center"/>
                    <w:rPr>
                      <w:bCs/>
                      <w:sz w:val="18"/>
                      <w:szCs w:val="18"/>
                      <w:highlight w:val="none"/>
                    </w:rPr>
                  </w:pPr>
                  <w:r>
                    <w:rPr>
                      <w:bCs/>
                      <w:sz w:val="18"/>
                      <w:szCs w:val="18"/>
                      <w:highlight w:val="none"/>
                    </w:rPr>
                    <w:t>最大</w:t>
                  </w:r>
                </w:p>
                <w:p>
                  <w:pPr>
                    <w:jc w:val="center"/>
                    <w:rPr>
                      <w:rFonts w:hint="eastAsia"/>
                      <w:bCs/>
                      <w:sz w:val="18"/>
                      <w:szCs w:val="18"/>
                      <w:highlight w:val="none"/>
                    </w:rPr>
                  </w:pPr>
                  <w:r>
                    <w:rPr>
                      <w:bCs/>
                      <w:sz w:val="18"/>
                      <w:szCs w:val="18"/>
                      <w:highlight w:val="none"/>
                    </w:rPr>
                    <w:t>存储量</w:t>
                  </w:r>
                </w:p>
              </w:tc>
              <w:tc>
                <w:tcPr>
                  <w:tcW w:w="990" w:type="dxa"/>
                  <w:vMerge w:val="restart"/>
                  <w:noWrap w:val="0"/>
                  <w:vAlign w:val="center"/>
                </w:tcPr>
                <w:p>
                  <w:pPr>
                    <w:jc w:val="center"/>
                    <w:rPr>
                      <w:bCs/>
                      <w:sz w:val="18"/>
                      <w:szCs w:val="18"/>
                      <w:highlight w:val="none"/>
                    </w:rPr>
                  </w:pPr>
                  <w:r>
                    <w:rPr>
                      <w:bCs/>
                      <w:sz w:val="18"/>
                      <w:szCs w:val="18"/>
                      <w:highlight w:val="none"/>
                    </w:rPr>
                    <w:t>来源</w:t>
                  </w:r>
                </w:p>
              </w:tc>
              <w:tc>
                <w:tcPr>
                  <w:tcW w:w="970" w:type="dxa"/>
                  <w:vMerge w:val="restart"/>
                  <w:noWrap w:val="0"/>
                  <w:vAlign w:val="center"/>
                </w:tcPr>
                <w:p>
                  <w:pPr>
                    <w:jc w:val="center"/>
                    <w:rPr>
                      <w:bCs/>
                      <w:sz w:val="18"/>
                      <w:szCs w:val="18"/>
                      <w:highlight w:val="none"/>
                    </w:rPr>
                  </w:pPr>
                  <w:r>
                    <w:rPr>
                      <w:bCs/>
                      <w:sz w:val="18"/>
                      <w:szCs w:val="18"/>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vMerge w:val="continue"/>
                  <w:noWrap w:val="0"/>
                  <w:vAlign w:val="center"/>
                </w:tcPr>
                <w:p>
                  <w:pPr>
                    <w:jc w:val="center"/>
                    <w:rPr>
                      <w:sz w:val="18"/>
                      <w:szCs w:val="18"/>
                      <w:highlight w:val="none"/>
                    </w:rPr>
                  </w:pPr>
                </w:p>
              </w:tc>
              <w:tc>
                <w:tcPr>
                  <w:tcW w:w="914" w:type="dxa"/>
                  <w:vMerge w:val="continue"/>
                  <w:noWrap w:val="0"/>
                  <w:vAlign w:val="center"/>
                </w:tcPr>
                <w:p>
                  <w:pPr>
                    <w:jc w:val="center"/>
                    <w:rPr>
                      <w:sz w:val="18"/>
                      <w:szCs w:val="18"/>
                      <w:highlight w:val="none"/>
                    </w:rPr>
                  </w:pPr>
                </w:p>
              </w:tc>
              <w:tc>
                <w:tcPr>
                  <w:tcW w:w="996" w:type="dxa"/>
                  <w:noWrap w:val="0"/>
                  <w:vAlign w:val="center"/>
                </w:tcPr>
                <w:p>
                  <w:pPr>
                    <w:jc w:val="center"/>
                    <w:rPr>
                      <w:rFonts w:hint="eastAsia"/>
                      <w:sz w:val="18"/>
                      <w:szCs w:val="18"/>
                      <w:highlight w:val="none"/>
                    </w:rPr>
                  </w:pPr>
                  <w:r>
                    <w:rPr>
                      <w:sz w:val="18"/>
                      <w:szCs w:val="18"/>
                      <w:highlight w:val="none"/>
                    </w:rPr>
                    <w:t>现有项目</w:t>
                  </w:r>
                </w:p>
              </w:tc>
              <w:tc>
                <w:tcPr>
                  <w:tcW w:w="844" w:type="dxa"/>
                  <w:noWrap w:val="0"/>
                  <w:vAlign w:val="center"/>
                </w:tcPr>
                <w:p>
                  <w:pPr>
                    <w:jc w:val="center"/>
                    <w:rPr>
                      <w:rFonts w:hint="eastAsia"/>
                      <w:sz w:val="18"/>
                      <w:szCs w:val="18"/>
                      <w:highlight w:val="none"/>
                    </w:rPr>
                  </w:pPr>
                  <w:r>
                    <w:rPr>
                      <w:rFonts w:hint="eastAsia"/>
                      <w:sz w:val="18"/>
                      <w:szCs w:val="18"/>
                      <w:highlight w:val="none"/>
                    </w:rPr>
                    <w:t>新增</w:t>
                  </w:r>
                </w:p>
                <w:p>
                  <w:pPr>
                    <w:jc w:val="center"/>
                    <w:rPr>
                      <w:rFonts w:hint="eastAsia"/>
                      <w:sz w:val="18"/>
                      <w:szCs w:val="18"/>
                      <w:highlight w:val="none"/>
                    </w:rPr>
                  </w:pPr>
                  <w:r>
                    <w:rPr>
                      <w:rFonts w:hint="eastAsia"/>
                      <w:sz w:val="18"/>
                      <w:szCs w:val="18"/>
                      <w:highlight w:val="none"/>
                    </w:rPr>
                    <w:t>使用</w:t>
                  </w:r>
                </w:p>
              </w:tc>
              <w:tc>
                <w:tcPr>
                  <w:tcW w:w="1077" w:type="dxa"/>
                  <w:noWrap w:val="0"/>
                  <w:vAlign w:val="center"/>
                </w:tcPr>
                <w:p>
                  <w:pPr>
                    <w:jc w:val="center"/>
                    <w:rPr>
                      <w:rFonts w:hint="eastAsia"/>
                      <w:sz w:val="18"/>
                      <w:szCs w:val="18"/>
                      <w:highlight w:val="none"/>
                    </w:rPr>
                  </w:pPr>
                  <w:r>
                    <w:rPr>
                      <w:rFonts w:hint="eastAsia"/>
                      <w:sz w:val="18"/>
                      <w:szCs w:val="18"/>
                      <w:highlight w:val="none"/>
                      <w:lang w:eastAsia="zh-CN"/>
                    </w:rPr>
                    <w:t>扩建</w:t>
                  </w:r>
                  <w:r>
                    <w:rPr>
                      <w:rFonts w:hint="eastAsia"/>
                      <w:sz w:val="18"/>
                      <w:szCs w:val="18"/>
                      <w:highlight w:val="none"/>
                    </w:rPr>
                    <w:t>后</w:t>
                  </w:r>
                </w:p>
                <w:p>
                  <w:pPr>
                    <w:jc w:val="center"/>
                    <w:rPr>
                      <w:rFonts w:hint="eastAsia"/>
                      <w:sz w:val="18"/>
                      <w:szCs w:val="18"/>
                      <w:highlight w:val="none"/>
                    </w:rPr>
                  </w:pPr>
                  <w:r>
                    <w:rPr>
                      <w:rFonts w:hint="eastAsia"/>
                      <w:sz w:val="18"/>
                      <w:szCs w:val="18"/>
                      <w:highlight w:val="none"/>
                    </w:rPr>
                    <w:t>全厂使用</w:t>
                  </w:r>
                </w:p>
              </w:tc>
              <w:tc>
                <w:tcPr>
                  <w:tcW w:w="1009" w:type="dxa"/>
                  <w:vMerge w:val="continue"/>
                  <w:noWrap w:val="0"/>
                  <w:vAlign w:val="center"/>
                </w:tcPr>
                <w:p>
                  <w:pPr>
                    <w:jc w:val="center"/>
                    <w:rPr>
                      <w:sz w:val="18"/>
                      <w:szCs w:val="18"/>
                      <w:highlight w:val="none"/>
                    </w:rPr>
                  </w:pPr>
                </w:p>
              </w:tc>
              <w:tc>
                <w:tcPr>
                  <w:tcW w:w="888" w:type="dxa"/>
                  <w:vMerge w:val="continue"/>
                  <w:noWrap w:val="0"/>
                  <w:vAlign w:val="center"/>
                </w:tcPr>
                <w:p>
                  <w:pPr>
                    <w:jc w:val="center"/>
                    <w:rPr>
                      <w:sz w:val="18"/>
                      <w:szCs w:val="18"/>
                      <w:highlight w:val="none"/>
                    </w:rPr>
                  </w:pPr>
                </w:p>
              </w:tc>
              <w:tc>
                <w:tcPr>
                  <w:tcW w:w="990" w:type="dxa"/>
                  <w:vMerge w:val="continue"/>
                  <w:noWrap w:val="0"/>
                  <w:vAlign w:val="center"/>
                </w:tcPr>
                <w:p>
                  <w:pPr>
                    <w:jc w:val="center"/>
                    <w:rPr>
                      <w:sz w:val="18"/>
                      <w:szCs w:val="18"/>
                      <w:highlight w:val="none"/>
                    </w:rPr>
                  </w:pPr>
                </w:p>
              </w:tc>
              <w:tc>
                <w:tcPr>
                  <w:tcW w:w="970" w:type="dxa"/>
                  <w:vMerge w:val="continue"/>
                  <w:noWrap w:val="0"/>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bCs/>
                      <w:sz w:val="18"/>
                      <w:szCs w:val="18"/>
                      <w:highlight w:val="none"/>
                    </w:rPr>
                  </w:pPr>
                  <w:r>
                    <w:rPr>
                      <w:bCs/>
                      <w:sz w:val="18"/>
                      <w:szCs w:val="18"/>
                      <w:highlight w:val="none"/>
                    </w:rPr>
                    <w:t>1</w:t>
                  </w:r>
                </w:p>
              </w:tc>
              <w:tc>
                <w:tcPr>
                  <w:tcW w:w="914" w:type="dxa"/>
                  <w:noWrap w:val="0"/>
                  <w:vAlign w:val="center"/>
                </w:tcPr>
                <w:p>
                  <w:pPr>
                    <w:widowControl/>
                    <w:contextualSpacing/>
                    <w:jc w:val="center"/>
                    <w:textAlignment w:val="center"/>
                    <w:rPr>
                      <w:rFonts w:hint="eastAsia" w:hAnsi="宋体" w:eastAsia="宋体"/>
                      <w:bCs/>
                      <w:sz w:val="18"/>
                      <w:szCs w:val="18"/>
                      <w:lang w:val="zh-CN" w:eastAsia="zh-CN"/>
                    </w:rPr>
                  </w:pPr>
                  <w:r>
                    <w:rPr>
                      <w:rFonts w:hint="eastAsia" w:hAnsi="宋体" w:eastAsia="宋体"/>
                      <w:bCs/>
                      <w:sz w:val="18"/>
                      <w:szCs w:val="18"/>
                      <w:lang w:val="en-US" w:eastAsia="zh-CN"/>
                    </w:rPr>
                    <w:t>POY化纤丝</w:t>
                  </w:r>
                </w:p>
              </w:tc>
              <w:tc>
                <w:tcPr>
                  <w:tcW w:w="996" w:type="dxa"/>
                  <w:noWrap w:val="0"/>
                  <w:vAlign w:val="center"/>
                </w:tcPr>
                <w:p>
                  <w:pPr>
                    <w:widowControl/>
                    <w:adjustRightInd w:val="0"/>
                    <w:snapToGrid w:val="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3700</w:t>
                  </w:r>
                </w:p>
              </w:tc>
              <w:tc>
                <w:tcPr>
                  <w:tcW w:w="844" w:type="dxa"/>
                  <w:noWrap w:val="0"/>
                  <w:vAlign w:val="center"/>
                </w:tcPr>
                <w:p>
                  <w:pPr>
                    <w:autoSpaceDE w:val="0"/>
                    <w:autoSpaceDN w:val="0"/>
                    <w:jc w:val="center"/>
                    <w:rPr>
                      <w:rFonts w:hint="default" w:ascii="Times New Roman" w:hAnsi="Times New Roman" w:eastAsia="楷体" w:cs="Times New Roman"/>
                      <w:kern w:val="2"/>
                      <w:sz w:val="18"/>
                      <w:szCs w:val="18"/>
                      <w:lang w:val="en-US" w:eastAsia="zh-CN" w:bidi="ar-SA"/>
                    </w:rPr>
                  </w:pPr>
                  <w:r>
                    <w:rPr>
                      <w:rFonts w:hint="eastAsia" w:eastAsia="楷体"/>
                      <w:sz w:val="18"/>
                      <w:szCs w:val="18"/>
                      <w:lang w:val="en-US" w:eastAsia="zh-CN"/>
                    </w:rPr>
                    <w:t>500</w:t>
                  </w:r>
                </w:p>
              </w:tc>
              <w:tc>
                <w:tcPr>
                  <w:tcW w:w="1077" w:type="dxa"/>
                  <w:noWrap w:val="0"/>
                  <w:vAlign w:val="center"/>
                </w:tcPr>
                <w:p>
                  <w:pPr>
                    <w:jc w:val="center"/>
                    <w:rPr>
                      <w:rFonts w:hint="default" w:eastAsia="宋体"/>
                      <w:bCs/>
                      <w:color w:val="000000"/>
                      <w:kern w:val="24"/>
                      <w:sz w:val="18"/>
                      <w:szCs w:val="18"/>
                      <w:highlight w:val="none"/>
                      <w:lang w:val="en-US" w:eastAsia="zh-CN"/>
                    </w:rPr>
                  </w:pPr>
                  <w:r>
                    <w:rPr>
                      <w:rFonts w:hint="eastAsia"/>
                      <w:bCs/>
                      <w:color w:val="000000"/>
                      <w:kern w:val="24"/>
                      <w:sz w:val="18"/>
                      <w:szCs w:val="18"/>
                      <w:highlight w:val="none"/>
                      <w:lang w:val="en-US" w:eastAsia="zh-CN"/>
                    </w:rPr>
                    <w:t>4200</w:t>
                  </w:r>
                </w:p>
              </w:tc>
              <w:tc>
                <w:tcPr>
                  <w:tcW w:w="1009" w:type="dxa"/>
                  <w:noWrap w:val="0"/>
                  <w:vAlign w:val="center"/>
                </w:tcPr>
                <w:p>
                  <w:pPr>
                    <w:jc w:val="center"/>
                    <w:rPr>
                      <w:rFonts w:hint="eastAsia" w:eastAsia="宋体"/>
                      <w:bCs/>
                      <w:sz w:val="18"/>
                      <w:szCs w:val="18"/>
                      <w:highlight w:val="none"/>
                      <w:lang w:eastAsia="zh-CN"/>
                    </w:rPr>
                  </w:pPr>
                  <w:r>
                    <w:rPr>
                      <w:rFonts w:hint="eastAsia"/>
                      <w:bCs/>
                      <w:sz w:val="18"/>
                      <w:szCs w:val="18"/>
                      <w:highlight w:val="none"/>
                      <w:lang w:eastAsia="zh-CN"/>
                    </w:rPr>
                    <w:t>塑料膜</w:t>
                  </w:r>
                </w:p>
              </w:tc>
              <w:tc>
                <w:tcPr>
                  <w:tcW w:w="888" w:type="dxa"/>
                  <w:noWrap w:val="0"/>
                  <w:vAlign w:val="center"/>
                </w:tcPr>
                <w:p>
                  <w:pPr>
                    <w:jc w:val="center"/>
                    <w:rPr>
                      <w:rFonts w:hint="eastAsia" w:eastAsia="宋体"/>
                      <w:bCs/>
                      <w:sz w:val="18"/>
                      <w:szCs w:val="18"/>
                      <w:highlight w:val="none"/>
                      <w:lang w:val="en-US" w:eastAsia="zh-CN"/>
                    </w:rPr>
                  </w:pPr>
                  <w:r>
                    <w:rPr>
                      <w:rFonts w:hint="eastAsia"/>
                      <w:bCs/>
                      <w:sz w:val="18"/>
                      <w:szCs w:val="18"/>
                      <w:highlight w:val="none"/>
                      <w:lang w:val="en-US" w:eastAsia="zh-CN"/>
                    </w:rPr>
                    <w:t>/</w:t>
                  </w:r>
                </w:p>
              </w:tc>
              <w:tc>
                <w:tcPr>
                  <w:tcW w:w="990" w:type="dxa"/>
                  <w:noWrap w:val="0"/>
                  <w:vAlign w:val="center"/>
                </w:tcPr>
                <w:p>
                  <w:pPr>
                    <w:jc w:val="center"/>
                    <w:rPr>
                      <w:bCs/>
                      <w:sz w:val="18"/>
                      <w:szCs w:val="18"/>
                      <w:highlight w:val="none"/>
                    </w:rPr>
                  </w:pPr>
                  <w:r>
                    <w:rPr>
                      <w:bCs/>
                      <w:sz w:val="18"/>
                      <w:szCs w:val="18"/>
                      <w:highlight w:val="none"/>
                    </w:rPr>
                    <w:t>市场采购</w:t>
                  </w:r>
                </w:p>
              </w:tc>
              <w:tc>
                <w:tcPr>
                  <w:tcW w:w="970" w:type="dxa"/>
                  <w:vMerge w:val="restart"/>
                  <w:noWrap w:val="0"/>
                  <w:vAlign w:val="center"/>
                </w:tcPr>
                <w:p>
                  <w:pPr>
                    <w:adjustRightInd w:val="0"/>
                    <w:snapToGrid w:val="0"/>
                    <w:jc w:val="center"/>
                    <w:rPr>
                      <w:rFonts w:hint="eastAsia" w:eastAsia="宋体"/>
                      <w:bCs/>
                      <w:color w:val="000000"/>
                      <w:sz w:val="18"/>
                      <w:szCs w:val="18"/>
                      <w:highlight w:val="none"/>
                      <w:lang w:eastAsia="zh-CN"/>
                    </w:rPr>
                  </w:pPr>
                  <w:r>
                    <w:rPr>
                      <w:rFonts w:hint="eastAsia"/>
                      <w:bCs/>
                      <w:color w:val="000000"/>
                      <w:sz w:val="18"/>
                      <w:szCs w:val="18"/>
                      <w:highlight w:val="none"/>
                      <w:lang w:eastAsia="zh-CN"/>
                    </w:rPr>
                    <w:t>高档纺织面料原料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bCs/>
                      <w:sz w:val="18"/>
                      <w:szCs w:val="18"/>
                      <w:highlight w:val="none"/>
                    </w:rPr>
                  </w:pPr>
                  <w:r>
                    <w:rPr>
                      <w:bCs/>
                      <w:sz w:val="18"/>
                      <w:szCs w:val="18"/>
                      <w:highlight w:val="none"/>
                    </w:rPr>
                    <w:t>2</w:t>
                  </w:r>
                </w:p>
              </w:tc>
              <w:tc>
                <w:tcPr>
                  <w:tcW w:w="914" w:type="dxa"/>
                  <w:noWrap w:val="0"/>
                  <w:vAlign w:val="center"/>
                </w:tcPr>
                <w:p>
                  <w:pPr>
                    <w:widowControl/>
                    <w:contextualSpacing/>
                    <w:jc w:val="center"/>
                    <w:textAlignment w:val="center"/>
                    <w:rPr>
                      <w:rFonts w:hint="eastAsia" w:hAnsi="宋体" w:eastAsia="宋体"/>
                      <w:bCs/>
                      <w:sz w:val="18"/>
                      <w:szCs w:val="18"/>
                      <w:lang w:val="zh-CN" w:eastAsia="zh-CN"/>
                    </w:rPr>
                  </w:pPr>
                  <w:r>
                    <w:rPr>
                      <w:rFonts w:hint="eastAsia" w:hAnsi="宋体" w:eastAsia="宋体"/>
                      <w:bCs/>
                      <w:sz w:val="18"/>
                      <w:szCs w:val="18"/>
                      <w:lang w:val="en-US" w:eastAsia="zh-CN"/>
                    </w:rPr>
                    <w:t>加弹油</w:t>
                  </w:r>
                </w:p>
              </w:tc>
              <w:tc>
                <w:tcPr>
                  <w:tcW w:w="996" w:type="dxa"/>
                  <w:noWrap w:val="0"/>
                  <w:vAlign w:val="center"/>
                </w:tcPr>
                <w:p>
                  <w:pPr>
                    <w:widowControl/>
                    <w:adjustRightInd w:val="0"/>
                    <w:snapToGrid w:val="0"/>
                    <w:jc w:val="center"/>
                    <w:rPr>
                      <w:rFonts w:hint="default" w:eastAsia="宋体"/>
                      <w:sz w:val="18"/>
                      <w:szCs w:val="18"/>
                      <w:highlight w:val="none"/>
                      <w:lang w:val="en-US" w:eastAsia="zh-CN"/>
                    </w:rPr>
                  </w:pPr>
                  <w:r>
                    <w:rPr>
                      <w:rFonts w:hint="eastAsia"/>
                      <w:sz w:val="18"/>
                      <w:szCs w:val="18"/>
                      <w:highlight w:val="none"/>
                      <w:lang w:val="en-US" w:eastAsia="zh-CN"/>
                    </w:rPr>
                    <w:t>1</w:t>
                  </w:r>
                </w:p>
              </w:tc>
              <w:tc>
                <w:tcPr>
                  <w:tcW w:w="844" w:type="dxa"/>
                  <w:noWrap w:val="0"/>
                  <w:vAlign w:val="center"/>
                </w:tcPr>
                <w:p>
                  <w:pPr>
                    <w:autoSpaceDE w:val="0"/>
                    <w:autoSpaceDN w:val="0"/>
                    <w:jc w:val="center"/>
                    <w:rPr>
                      <w:rFonts w:hint="default" w:ascii="Times New Roman" w:hAnsi="Times New Roman" w:eastAsia="楷体" w:cs="Times New Roman"/>
                      <w:kern w:val="2"/>
                      <w:sz w:val="18"/>
                      <w:szCs w:val="18"/>
                      <w:lang w:val="en-US" w:eastAsia="zh-CN" w:bidi="ar-SA"/>
                    </w:rPr>
                  </w:pPr>
                  <w:r>
                    <w:rPr>
                      <w:rFonts w:hint="eastAsia" w:eastAsia="楷体" w:cs="Times New Roman"/>
                      <w:kern w:val="2"/>
                      <w:sz w:val="18"/>
                      <w:szCs w:val="18"/>
                      <w:lang w:val="en-US" w:eastAsia="zh-CN" w:bidi="ar-SA"/>
                    </w:rPr>
                    <w:t>0.38</w:t>
                  </w:r>
                </w:p>
              </w:tc>
              <w:tc>
                <w:tcPr>
                  <w:tcW w:w="1077" w:type="dxa"/>
                  <w:noWrap w:val="0"/>
                  <w:vAlign w:val="center"/>
                </w:tcPr>
                <w:p>
                  <w:pPr>
                    <w:jc w:val="center"/>
                    <w:rPr>
                      <w:rFonts w:hint="default" w:eastAsia="宋体"/>
                      <w:bCs/>
                      <w:color w:val="000000"/>
                      <w:kern w:val="24"/>
                      <w:sz w:val="18"/>
                      <w:szCs w:val="18"/>
                      <w:highlight w:val="none"/>
                      <w:lang w:val="en-US" w:eastAsia="zh-CN"/>
                    </w:rPr>
                  </w:pPr>
                  <w:r>
                    <w:rPr>
                      <w:rFonts w:hint="eastAsia"/>
                      <w:bCs/>
                      <w:color w:val="000000"/>
                      <w:kern w:val="24"/>
                      <w:sz w:val="18"/>
                      <w:szCs w:val="18"/>
                      <w:highlight w:val="none"/>
                      <w:lang w:val="en-US" w:eastAsia="zh-CN"/>
                    </w:rPr>
                    <w:t>1.38</w:t>
                  </w:r>
                </w:p>
              </w:tc>
              <w:tc>
                <w:tcPr>
                  <w:tcW w:w="1009" w:type="dxa"/>
                  <w:noWrap w:val="0"/>
                  <w:vAlign w:val="center"/>
                </w:tcPr>
                <w:p>
                  <w:pPr>
                    <w:jc w:val="center"/>
                    <w:rPr>
                      <w:rFonts w:hint="eastAsia" w:eastAsia="宋体"/>
                      <w:bCs/>
                      <w:sz w:val="18"/>
                      <w:szCs w:val="18"/>
                      <w:highlight w:val="none"/>
                      <w:lang w:eastAsia="zh-CN"/>
                    </w:rPr>
                  </w:pPr>
                  <w:r>
                    <w:rPr>
                      <w:rFonts w:hint="eastAsia"/>
                      <w:bCs/>
                      <w:sz w:val="18"/>
                      <w:szCs w:val="18"/>
                      <w:highlight w:val="none"/>
                      <w:lang w:val="en-US" w:eastAsia="zh-CN"/>
                    </w:rPr>
                    <w:t>吨桶</w:t>
                  </w:r>
                </w:p>
              </w:tc>
              <w:tc>
                <w:tcPr>
                  <w:tcW w:w="888"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0.34</w:t>
                  </w:r>
                </w:p>
              </w:tc>
              <w:tc>
                <w:tcPr>
                  <w:tcW w:w="990" w:type="dxa"/>
                  <w:noWrap w:val="0"/>
                  <w:vAlign w:val="center"/>
                </w:tcPr>
                <w:p>
                  <w:pPr>
                    <w:jc w:val="center"/>
                    <w:rPr>
                      <w:bCs/>
                      <w:sz w:val="18"/>
                      <w:szCs w:val="18"/>
                      <w:highlight w:val="none"/>
                    </w:rPr>
                  </w:pPr>
                  <w:r>
                    <w:rPr>
                      <w:bCs/>
                      <w:sz w:val="18"/>
                      <w:szCs w:val="18"/>
                      <w:highlight w:val="none"/>
                    </w:rPr>
                    <w:t>市场采购</w:t>
                  </w:r>
                </w:p>
              </w:tc>
              <w:tc>
                <w:tcPr>
                  <w:tcW w:w="970" w:type="dxa"/>
                  <w:vMerge w:val="continue"/>
                  <w:noWrap w:val="0"/>
                  <w:vAlign w:val="center"/>
                </w:tcPr>
                <w:p>
                  <w:pPr>
                    <w:adjustRightInd w:val="0"/>
                    <w:snapToGrid w:val="0"/>
                    <w:jc w:val="center"/>
                    <w:rPr>
                      <w:rFonts w:hint="eastAsia"/>
                      <w:bCs/>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bCs/>
                      <w:sz w:val="18"/>
                      <w:szCs w:val="18"/>
                      <w:highlight w:val="none"/>
                    </w:rPr>
                  </w:pPr>
                  <w:r>
                    <w:rPr>
                      <w:bCs/>
                      <w:sz w:val="18"/>
                      <w:szCs w:val="18"/>
                      <w:highlight w:val="none"/>
                    </w:rPr>
                    <w:t>3</w:t>
                  </w:r>
                </w:p>
              </w:tc>
              <w:tc>
                <w:tcPr>
                  <w:tcW w:w="914"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eastAsia="宋体"/>
                      <w:bCs/>
                      <w:sz w:val="18"/>
                      <w:szCs w:val="18"/>
                      <w:lang w:val="en-US" w:eastAsia="zh-CN"/>
                    </w:rPr>
                    <w:t>化纤丝FDY</w:t>
                  </w:r>
                </w:p>
              </w:tc>
              <w:tc>
                <w:tcPr>
                  <w:tcW w:w="996" w:type="dxa"/>
                  <w:noWrap w:val="0"/>
                  <w:vAlign w:val="center"/>
                </w:tcPr>
                <w:p>
                  <w:pPr>
                    <w:widowControl/>
                    <w:adjustRightInd w:val="0"/>
                    <w:snapToGrid w:val="0"/>
                    <w:jc w:val="center"/>
                    <w:rPr>
                      <w:rFonts w:hint="eastAsia" w:eastAsia="宋体"/>
                      <w:sz w:val="18"/>
                      <w:szCs w:val="18"/>
                      <w:highlight w:val="none"/>
                      <w:lang w:val="en-US" w:eastAsia="zh-CN"/>
                    </w:rPr>
                  </w:pPr>
                  <w:r>
                    <w:rPr>
                      <w:rFonts w:hint="eastAsia"/>
                      <w:sz w:val="18"/>
                      <w:szCs w:val="18"/>
                      <w:highlight w:val="none"/>
                      <w:lang w:val="en-US" w:eastAsia="zh-CN"/>
                    </w:rPr>
                    <w:t>/</w:t>
                  </w:r>
                </w:p>
              </w:tc>
              <w:tc>
                <w:tcPr>
                  <w:tcW w:w="844" w:type="dxa"/>
                  <w:noWrap w:val="0"/>
                  <w:vAlign w:val="center"/>
                </w:tcPr>
                <w:p>
                  <w:pPr>
                    <w:autoSpaceDE w:val="0"/>
                    <w:autoSpaceDN w:val="0"/>
                    <w:jc w:val="center"/>
                    <w:rPr>
                      <w:rFonts w:hint="default" w:ascii="Times New Roman" w:hAnsi="Times New Roman" w:eastAsia="楷体" w:cs="Times New Roman"/>
                      <w:kern w:val="2"/>
                      <w:sz w:val="18"/>
                      <w:szCs w:val="18"/>
                      <w:lang w:val="en-US" w:eastAsia="zh-CN" w:bidi="ar-SA"/>
                    </w:rPr>
                  </w:pPr>
                  <w:r>
                    <w:rPr>
                      <w:rFonts w:hint="eastAsia" w:eastAsia="楷体"/>
                      <w:sz w:val="18"/>
                      <w:szCs w:val="18"/>
                      <w:lang w:val="en-US" w:eastAsia="zh-CN"/>
                    </w:rPr>
                    <w:t>1400</w:t>
                  </w:r>
                </w:p>
              </w:tc>
              <w:tc>
                <w:tcPr>
                  <w:tcW w:w="1077" w:type="dxa"/>
                  <w:noWrap w:val="0"/>
                  <w:vAlign w:val="center"/>
                </w:tcPr>
                <w:p>
                  <w:pPr>
                    <w:jc w:val="center"/>
                    <w:rPr>
                      <w:rFonts w:hint="default" w:eastAsia="宋体"/>
                      <w:bCs/>
                      <w:color w:val="000000"/>
                      <w:kern w:val="24"/>
                      <w:sz w:val="18"/>
                      <w:szCs w:val="18"/>
                      <w:highlight w:val="none"/>
                      <w:lang w:val="en-US" w:eastAsia="zh-CN"/>
                    </w:rPr>
                  </w:pPr>
                  <w:r>
                    <w:rPr>
                      <w:rFonts w:hint="eastAsia"/>
                      <w:bCs/>
                      <w:color w:val="000000"/>
                      <w:kern w:val="24"/>
                      <w:sz w:val="18"/>
                      <w:szCs w:val="18"/>
                      <w:highlight w:val="none"/>
                      <w:lang w:val="en-US" w:eastAsia="zh-CN"/>
                    </w:rPr>
                    <w:t>1400</w:t>
                  </w:r>
                </w:p>
              </w:tc>
              <w:tc>
                <w:tcPr>
                  <w:tcW w:w="1009" w:type="dxa"/>
                  <w:noWrap w:val="0"/>
                  <w:vAlign w:val="center"/>
                </w:tcPr>
                <w:p>
                  <w:pPr>
                    <w:jc w:val="center"/>
                    <w:rPr>
                      <w:bCs/>
                      <w:sz w:val="18"/>
                      <w:szCs w:val="18"/>
                      <w:highlight w:val="none"/>
                    </w:rPr>
                  </w:pPr>
                  <w:r>
                    <w:rPr>
                      <w:rFonts w:hint="eastAsia"/>
                      <w:bCs/>
                      <w:sz w:val="18"/>
                      <w:szCs w:val="18"/>
                      <w:highlight w:val="none"/>
                      <w:lang w:eastAsia="zh-CN"/>
                    </w:rPr>
                    <w:t>塑料膜</w:t>
                  </w:r>
                </w:p>
              </w:tc>
              <w:tc>
                <w:tcPr>
                  <w:tcW w:w="888" w:type="dxa"/>
                  <w:noWrap w:val="0"/>
                  <w:vAlign w:val="center"/>
                </w:tcPr>
                <w:p>
                  <w:pPr>
                    <w:jc w:val="center"/>
                    <w:rPr>
                      <w:rFonts w:hint="eastAsia" w:eastAsia="宋体"/>
                      <w:bCs/>
                      <w:sz w:val="18"/>
                      <w:szCs w:val="18"/>
                      <w:highlight w:val="none"/>
                      <w:lang w:val="en-US" w:eastAsia="zh-CN"/>
                    </w:rPr>
                  </w:pPr>
                  <w:r>
                    <w:rPr>
                      <w:rFonts w:hint="eastAsia"/>
                      <w:bCs/>
                      <w:sz w:val="18"/>
                      <w:szCs w:val="18"/>
                      <w:highlight w:val="none"/>
                      <w:lang w:val="en-US" w:eastAsia="zh-CN"/>
                    </w:rPr>
                    <w:t>/</w:t>
                  </w:r>
                </w:p>
              </w:tc>
              <w:tc>
                <w:tcPr>
                  <w:tcW w:w="990" w:type="dxa"/>
                  <w:noWrap w:val="0"/>
                  <w:vAlign w:val="center"/>
                </w:tcPr>
                <w:p>
                  <w:pPr>
                    <w:jc w:val="center"/>
                    <w:rPr>
                      <w:bCs/>
                      <w:sz w:val="18"/>
                      <w:szCs w:val="18"/>
                      <w:highlight w:val="none"/>
                    </w:rPr>
                  </w:pPr>
                  <w:r>
                    <w:rPr>
                      <w:bCs/>
                      <w:sz w:val="18"/>
                      <w:szCs w:val="18"/>
                      <w:highlight w:val="none"/>
                    </w:rPr>
                    <w:t>市场采购</w:t>
                  </w:r>
                </w:p>
              </w:tc>
              <w:tc>
                <w:tcPr>
                  <w:tcW w:w="970" w:type="dxa"/>
                  <w:vMerge w:val="continue"/>
                  <w:noWrap w:val="0"/>
                  <w:vAlign w:val="center"/>
                </w:tcPr>
                <w:p>
                  <w:pPr>
                    <w:adjustRightInd w:val="0"/>
                    <w:snapToGrid w:val="0"/>
                    <w:jc w:val="center"/>
                    <w:rPr>
                      <w:rFonts w:hint="eastAsia"/>
                      <w:bCs/>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bCs/>
                      <w:sz w:val="18"/>
                      <w:szCs w:val="18"/>
                      <w:highlight w:val="none"/>
                    </w:rPr>
                  </w:pPr>
                  <w:r>
                    <w:rPr>
                      <w:bCs/>
                      <w:sz w:val="18"/>
                      <w:szCs w:val="18"/>
                      <w:highlight w:val="none"/>
                    </w:rPr>
                    <w:t>4</w:t>
                  </w:r>
                </w:p>
              </w:tc>
              <w:tc>
                <w:tcPr>
                  <w:tcW w:w="914"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聚酯</w:t>
                  </w:r>
                </w:p>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水浆</w:t>
                  </w:r>
                </w:p>
              </w:tc>
              <w:tc>
                <w:tcPr>
                  <w:tcW w:w="996" w:type="dxa"/>
                  <w:noWrap w:val="0"/>
                  <w:vAlign w:val="center"/>
                </w:tcPr>
                <w:p>
                  <w:pPr>
                    <w:widowControl/>
                    <w:adjustRightInd w:val="0"/>
                    <w:snapToGrid w:val="0"/>
                    <w:jc w:val="center"/>
                    <w:rPr>
                      <w:rFonts w:hint="eastAsia" w:eastAsia="宋体"/>
                      <w:sz w:val="18"/>
                      <w:szCs w:val="18"/>
                      <w:highlight w:val="none"/>
                      <w:lang w:val="en-US" w:eastAsia="zh-CN"/>
                    </w:rPr>
                  </w:pPr>
                  <w:r>
                    <w:rPr>
                      <w:rFonts w:hint="eastAsia"/>
                      <w:sz w:val="18"/>
                      <w:szCs w:val="18"/>
                      <w:highlight w:val="none"/>
                      <w:lang w:val="en-US" w:eastAsia="zh-CN"/>
                    </w:rPr>
                    <w:t>/</w:t>
                  </w:r>
                </w:p>
              </w:tc>
              <w:tc>
                <w:tcPr>
                  <w:tcW w:w="844" w:type="dxa"/>
                  <w:noWrap w:val="0"/>
                  <w:vAlign w:val="center"/>
                </w:tcPr>
                <w:p>
                  <w:pPr>
                    <w:autoSpaceDE w:val="0"/>
                    <w:autoSpaceDN w:val="0"/>
                    <w:jc w:val="center"/>
                    <w:rPr>
                      <w:rFonts w:hint="default" w:ascii="Times New Roman" w:hAnsi="Times New Roman" w:eastAsia="楷体" w:cs="Times New Roman"/>
                      <w:kern w:val="2"/>
                      <w:sz w:val="18"/>
                      <w:szCs w:val="18"/>
                      <w:lang w:val="en-US" w:eastAsia="zh-CN" w:bidi="ar-SA"/>
                    </w:rPr>
                  </w:pPr>
                  <w:r>
                    <w:rPr>
                      <w:rFonts w:hint="eastAsia" w:eastAsia="楷体"/>
                      <w:sz w:val="18"/>
                      <w:szCs w:val="18"/>
                      <w:lang w:val="en-US" w:eastAsia="zh-CN"/>
                    </w:rPr>
                    <w:t>80</w:t>
                  </w:r>
                </w:p>
              </w:tc>
              <w:tc>
                <w:tcPr>
                  <w:tcW w:w="1077"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80</w:t>
                  </w:r>
                </w:p>
              </w:tc>
              <w:tc>
                <w:tcPr>
                  <w:tcW w:w="1009" w:type="dxa"/>
                  <w:noWrap w:val="0"/>
                  <w:vAlign w:val="center"/>
                </w:tcPr>
                <w:p>
                  <w:pPr>
                    <w:jc w:val="center"/>
                    <w:rPr>
                      <w:rFonts w:hint="eastAsia" w:eastAsia="宋体"/>
                      <w:bCs/>
                      <w:color w:val="000000"/>
                      <w:sz w:val="18"/>
                      <w:szCs w:val="18"/>
                      <w:highlight w:val="none"/>
                      <w:lang w:eastAsia="zh-CN"/>
                    </w:rPr>
                  </w:pPr>
                  <w:r>
                    <w:rPr>
                      <w:rFonts w:hint="eastAsia"/>
                      <w:bCs/>
                      <w:color w:val="000000"/>
                      <w:sz w:val="18"/>
                      <w:szCs w:val="18"/>
                      <w:highlight w:val="none"/>
                      <w:lang w:eastAsia="zh-CN"/>
                    </w:rPr>
                    <w:t>吨桶</w:t>
                  </w:r>
                </w:p>
              </w:tc>
              <w:tc>
                <w:tcPr>
                  <w:tcW w:w="888"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20</w:t>
                  </w:r>
                </w:p>
              </w:tc>
              <w:tc>
                <w:tcPr>
                  <w:tcW w:w="990" w:type="dxa"/>
                  <w:noWrap w:val="0"/>
                  <w:vAlign w:val="center"/>
                </w:tcPr>
                <w:p>
                  <w:pPr>
                    <w:jc w:val="center"/>
                    <w:rPr>
                      <w:bCs/>
                      <w:sz w:val="18"/>
                      <w:szCs w:val="18"/>
                      <w:highlight w:val="none"/>
                    </w:rPr>
                  </w:pPr>
                  <w:r>
                    <w:rPr>
                      <w:bCs/>
                      <w:sz w:val="18"/>
                      <w:szCs w:val="18"/>
                      <w:highlight w:val="none"/>
                    </w:rPr>
                    <w:t>市场采购</w:t>
                  </w:r>
                </w:p>
              </w:tc>
              <w:tc>
                <w:tcPr>
                  <w:tcW w:w="970" w:type="dxa"/>
                  <w:vMerge w:val="continue"/>
                  <w:noWrap w:val="0"/>
                  <w:vAlign w:val="center"/>
                </w:tcPr>
                <w:p>
                  <w:pPr>
                    <w:adjustRightInd w:val="0"/>
                    <w:snapToGrid w:val="0"/>
                    <w:jc w:val="center"/>
                    <w:rPr>
                      <w:rFonts w:hint="eastAsia"/>
                      <w:bCs/>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rFonts w:hint="eastAsia"/>
                      <w:bCs/>
                      <w:sz w:val="18"/>
                      <w:szCs w:val="18"/>
                      <w:highlight w:val="none"/>
                    </w:rPr>
                  </w:pPr>
                  <w:r>
                    <w:rPr>
                      <w:rFonts w:hint="eastAsia"/>
                      <w:bCs/>
                      <w:sz w:val="18"/>
                      <w:szCs w:val="18"/>
                      <w:highlight w:val="none"/>
                    </w:rPr>
                    <w:t>5</w:t>
                  </w:r>
                </w:p>
              </w:tc>
              <w:tc>
                <w:tcPr>
                  <w:tcW w:w="914"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eastAsia="宋体"/>
                      <w:bCs/>
                      <w:sz w:val="18"/>
                      <w:szCs w:val="18"/>
                      <w:lang w:val="en-US" w:eastAsia="zh-CN"/>
                    </w:rPr>
                    <w:t>化纤丝DTY</w:t>
                  </w:r>
                </w:p>
              </w:tc>
              <w:tc>
                <w:tcPr>
                  <w:tcW w:w="996" w:type="dxa"/>
                  <w:noWrap w:val="0"/>
                  <w:vAlign w:val="center"/>
                </w:tcPr>
                <w:p>
                  <w:pPr>
                    <w:widowControl/>
                    <w:jc w:val="center"/>
                    <w:textAlignment w:val="center"/>
                    <w:rPr>
                      <w:rFonts w:hint="eastAsia" w:eastAsia="宋体"/>
                      <w:bCs/>
                      <w:color w:val="000000"/>
                      <w:spacing w:val="-1"/>
                      <w:kern w:val="0"/>
                      <w:sz w:val="18"/>
                      <w:szCs w:val="18"/>
                      <w:highlight w:val="none"/>
                      <w:lang w:val="en-US" w:eastAsia="zh-CN"/>
                    </w:rPr>
                  </w:pPr>
                  <w:r>
                    <w:rPr>
                      <w:rFonts w:hint="eastAsia"/>
                      <w:bCs/>
                      <w:color w:val="000000"/>
                      <w:spacing w:val="-1"/>
                      <w:kern w:val="0"/>
                      <w:sz w:val="18"/>
                      <w:szCs w:val="18"/>
                      <w:highlight w:val="none"/>
                      <w:lang w:val="en-US" w:eastAsia="zh-CN"/>
                    </w:rPr>
                    <w:t>/</w:t>
                  </w:r>
                </w:p>
              </w:tc>
              <w:tc>
                <w:tcPr>
                  <w:tcW w:w="844" w:type="dxa"/>
                  <w:noWrap w:val="0"/>
                  <w:vAlign w:val="center"/>
                </w:tcPr>
                <w:p>
                  <w:pPr>
                    <w:autoSpaceDE w:val="0"/>
                    <w:autoSpaceDN w:val="0"/>
                    <w:jc w:val="center"/>
                    <w:rPr>
                      <w:rFonts w:hint="default" w:ascii="Times New Roman" w:hAnsi="Times New Roman" w:eastAsia="楷体" w:cs="Times New Roman"/>
                      <w:kern w:val="2"/>
                      <w:sz w:val="18"/>
                      <w:szCs w:val="18"/>
                      <w:lang w:val="en-US" w:eastAsia="zh-CN" w:bidi="ar-SA"/>
                    </w:rPr>
                  </w:pPr>
                  <w:r>
                    <w:rPr>
                      <w:rFonts w:hint="eastAsia" w:eastAsia="楷体"/>
                      <w:sz w:val="18"/>
                      <w:szCs w:val="18"/>
                      <w:lang w:val="en-US" w:eastAsia="zh-CN"/>
                    </w:rPr>
                    <w:t>3140</w:t>
                  </w:r>
                </w:p>
              </w:tc>
              <w:tc>
                <w:tcPr>
                  <w:tcW w:w="1077"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3140</w:t>
                  </w:r>
                </w:p>
              </w:tc>
              <w:tc>
                <w:tcPr>
                  <w:tcW w:w="1009" w:type="dxa"/>
                  <w:noWrap w:val="0"/>
                  <w:vAlign w:val="center"/>
                </w:tcPr>
                <w:p>
                  <w:pPr>
                    <w:jc w:val="center"/>
                    <w:rPr>
                      <w:bCs/>
                      <w:color w:val="000000"/>
                      <w:sz w:val="18"/>
                      <w:szCs w:val="18"/>
                      <w:highlight w:val="none"/>
                    </w:rPr>
                  </w:pPr>
                  <w:r>
                    <w:rPr>
                      <w:rFonts w:hint="eastAsia"/>
                      <w:bCs/>
                      <w:sz w:val="18"/>
                      <w:szCs w:val="18"/>
                      <w:highlight w:val="none"/>
                      <w:lang w:eastAsia="zh-CN"/>
                    </w:rPr>
                    <w:t>塑料膜</w:t>
                  </w:r>
                </w:p>
              </w:tc>
              <w:tc>
                <w:tcPr>
                  <w:tcW w:w="888"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w:t>
                  </w:r>
                </w:p>
              </w:tc>
              <w:tc>
                <w:tcPr>
                  <w:tcW w:w="990" w:type="dxa"/>
                  <w:noWrap w:val="0"/>
                  <w:vAlign w:val="center"/>
                </w:tcPr>
                <w:p>
                  <w:pPr>
                    <w:jc w:val="center"/>
                    <w:rPr>
                      <w:bCs/>
                      <w:sz w:val="18"/>
                      <w:szCs w:val="18"/>
                      <w:highlight w:val="none"/>
                    </w:rPr>
                  </w:pPr>
                  <w:r>
                    <w:rPr>
                      <w:bCs/>
                      <w:sz w:val="18"/>
                      <w:szCs w:val="18"/>
                      <w:highlight w:val="none"/>
                    </w:rPr>
                    <w:t>市场采购</w:t>
                  </w:r>
                </w:p>
              </w:tc>
              <w:tc>
                <w:tcPr>
                  <w:tcW w:w="970" w:type="dxa"/>
                  <w:vMerge w:val="continue"/>
                  <w:noWrap w:val="0"/>
                  <w:vAlign w:val="center"/>
                </w:tcPr>
                <w:p>
                  <w:pPr>
                    <w:adjustRightInd w:val="0"/>
                    <w:snapToGrid w:val="0"/>
                    <w:jc w:val="center"/>
                    <w:rPr>
                      <w:bCs/>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32" w:type="dxa"/>
                  <w:noWrap w:val="0"/>
                  <w:vAlign w:val="center"/>
                </w:tcPr>
                <w:p>
                  <w:pPr>
                    <w:jc w:val="center"/>
                    <w:rPr>
                      <w:bCs/>
                      <w:sz w:val="18"/>
                      <w:szCs w:val="18"/>
                      <w:highlight w:val="none"/>
                    </w:rPr>
                  </w:pPr>
                  <w:r>
                    <w:rPr>
                      <w:rFonts w:hint="eastAsia"/>
                      <w:bCs/>
                      <w:sz w:val="18"/>
                      <w:szCs w:val="18"/>
                      <w:highlight w:val="none"/>
                    </w:rPr>
                    <w:t>6</w:t>
                  </w:r>
                </w:p>
              </w:tc>
              <w:tc>
                <w:tcPr>
                  <w:tcW w:w="914"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纺织</w:t>
                  </w:r>
                </w:p>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面料</w:t>
                  </w:r>
                </w:p>
              </w:tc>
              <w:tc>
                <w:tcPr>
                  <w:tcW w:w="996"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eastAsia="宋体"/>
                      <w:bCs/>
                      <w:sz w:val="18"/>
                      <w:szCs w:val="18"/>
                      <w:lang w:val="en-US" w:eastAsia="zh-CN"/>
                    </w:rPr>
                    <w:t>/</w:t>
                  </w:r>
                </w:p>
              </w:tc>
              <w:tc>
                <w:tcPr>
                  <w:tcW w:w="844" w:type="dxa"/>
                  <w:noWrap w:val="0"/>
                  <w:vAlign w:val="center"/>
                </w:tcPr>
                <w:p>
                  <w:pPr>
                    <w:autoSpaceDE w:val="0"/>
                    <w:autoSpaceDN w:val="0"/>
                    <w:jc w:val="center"/>
                    <w:rPr>
                      <w:rFonts w:hint="eastAsia" w:ascii="Times New Roman" w:hAnsi="Times New Roman" w:eastAsia="楷体" w:cs="Times New Roman"/>
                      <w:color w:val="auto"/>
                      <w:kern w:val="2"/>
                      <w:sz w:val="18"/>
                      <w:szCs w:val="18"/>
                      <w:lang w:val="en-US" w:eastAsia="zh-CN" w:bidi="ar-SA"/>
                    </w:rPr>
                  </w:pPr>
                  <w:r>
                    <w:rPr>
                      <w:rFonts w:hint="eastAsia" w:eastAsia="楷体"/>
                      <w:color w:val="auto"/>
                      <w:sz w:val="18"/>
                      <w:szCs w:val="18"/>
                      <w:lang w:val="en-US" w:eastAsia="zh-CN"/>
                    </w:rPr>
                    <w:t>230</w:t>
                  </w:r>
                </w:p>
              </w:tc>
              <w:tc>
                <w:tcPr>
                  <w:tcW w:w="1077"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eastAsia="宋体"/>
                      <w:bCs/>
                      <w:sz w:val="18"/>
                      <w:szCs w:val="18"/>
                      <w:lang w:val="en-US" w:eastAsia="zh-CN"/>
                    </w:rPr>
                    <w:t>230</w:t>
                  </w:r>
                </w:p>
              </w:tc>
              <w:tc>
                <w:tcPr>
                  <w:tcW w:w="1009"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bCs/>
                      <w:sz w:val="18"/>
                      <w:szCs w:val="18"/>
                      <w:lang w:val="en-US" w:eastAsia="zh-CN"/>
                    </w:rPr>
                    <w:t>纸箱</w:t>
                  </w:r>
                </w:p>
              </w:tc>
              <w:tc>
                <w:tcPr>
                  <w:tcW w:w="888"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eastAsia="宋体"/>
                      <w:bCs/>
                      <w:sz w:val="18"/>
                      <w:szCs w:val="18"/>
                      <w:lang w:val="en-US" w:eastAsia="zh-CN"/>
                    </w:rPr>
                    <w:t>/</w:t>
                  </w:r>
                </w:p>
              </w:tc>
              <w:tc>
                <w:tcPr>
                  <w:tcW w:w="990"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自制</w:t>
                  </w:r>
                </w:p>
              </w:tc>
              <w:tc>
                <w:tcPr>
                  <w:tcW w:w="970" w:type="dxa"/>
                  <w:vMerge w:val="restart"/>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家纺四件套原料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rFonts w:hint="eastAsia" w:eastAsia="宋体"/>
                      <w:bCs/>
                      <w:sz w:val="18"/>
                      <w:szCs w:val="18"/>
                      <w:highlight w:val="none"/>
                      <w:lang w:eastAsia="zh-CN"/>
                    </w:rPr>
                  </w:pPr>
                  <w:r>
                    <w:rPr>
                      <w:rFonts w:hint="eastAsia"/>
                      <w:bCs/>
                      <w:sz w:val="18"/>
                      <w:szCs w:val="18"/>
                      <w:highlight w:val="none"/>
                      <w:lang w:val="en-US" w:eastAsia="zh-CN"/>
                    </w:rPr>
                    <w:t>7</w:t>
                  </w:r>
                </w:p>
              </w:tc>
              <w:tc>
                <w:tcPr>
                  <w:tcW w:w="914"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缝纫线</w:t>
                  </w:r>
                </w:p>
              </w:tc>
              <w:tc>
                <w:tcPr>
                  <w:tcW w:w="996"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eastAsia="宋体"/>
                      <w:bCs/>
                      <w:sz w:val="18"/>
                      <w:szCs w:val="18"/>
                      <w:lang w:val="en-US" w:eastAsia="zh-CN"/>
                    </w:rPr>
                    <w:t>/</w:t>
                  </w:r>
                </w:p>
              </w:tc>
              <w:tc>
                <w:tcPr>
                  <w:tcW w:w="844" w:type="dxa"/>
                  <w:noWrap w:val="0"/>
                  <w:vAlign w:val="center"/>
                </w:tcPr>
                <w:p>
                  <w:pPr>
                    <w:autoSpaceDE w:val="0"/>
                    <w:autoSpaceDN w:val="0"/>
                    <w:jc w:val="center"/>
                    <w:rPr>
                      <w:rFonts w:hint="eastAsia" w:ascii="Times New Roman" w:hAnsi="Times New Roman" w:eastAsia="楷体" w:cs="Times New Roman"/>
                      <w:kern w:val="2"/>
                      <w:sz w:val="18"/>
                      <w:szCs w:val="18"/>
                      <w:lang w:val="en-US" w:eastAsia="zh-CN" w:bidi="ar-SA"/>
                    </w:rPr>
                  </w:pPr>
                  <w:r>
                    <w:rPr>
                      <w:rFonts w:hint="eastAsia" w:eastAsia="楷体"/>
                      <w:sz w:val="18"/>
                      <w:szCs w:val="18"/>
                      <w:lang w:val="en-US" w:eastAsia="zh-CN"/>
                    </w:rPr>
                    <w:t>0.3</w:t>
                  </w:r>
                </w:p>
              </w:tc>
              <w:tc>
                <w:tcPr>
                  <w:tcW w:w="1077"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eastAsia="宋体"/>
                      <w:bCs/>
                      <w:sz w:val="18"/>
                      <w:szCs w:val="18"/>
                      <w:lang w:val="en-US" w:eastAsia="zh-CN"/>
                    </w:rPr>
                    <w:t>0.3</w:t>
                  </w:r>
                </w:p>
              </w:tc>
              <w:tc>
                <w:tcPr>
                  <w:tcW w:w="1009"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bCs/>
                      <w:sz w:val="18"/>
                      <w:szCs w:val="18"/>
                      <w:highlight w:val="none"/>
                      <w:lang w:eastAsia="zh-CN"/>
                    </w:rPr>
                    <w:t>塑料膜</w:t>
                  </w:r>
                </w:p>
              </w:tc>
              <w:tc>
                <w:tcPr>
                  <w:tcW w:w="888"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eastAsia="宋体"/>
                      <w:bCs/>
                      <w:sz w:val="18"/>
                      <w:szCs w:val="18"/>
                      <w:lang w:val="en-US" w:eastAsia="zh-CN"/>
                    </w:rPr>
                    <w:t>/</w:t>
                  </w:r>
                </w:p>
              </w:tc>
              <w:tc>
                <w:tcPr>
                  <w:tcW w:w="990"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市场采购</w:t>
                  </w:r>
                </w:p>
              </w:tc>
              <w:tc>
                <w:tcPr>
                  <w:tcW w:w="970" w:type="dxa"/>
                  <w:vMerge w:val="continue"/>
                  <w:noWrap w:val="0"/>
                  <w:vAlign w:val="center"/>
                </w:tcPr>
                <w:p>
                  <w:pPr>
                    <w:widowControl/>
                    <w:contextualSpacing/>
                    <w:jc w:val="center"/>
                    <w:textAlignment w:val="center"/>
                    <w:rPr>
                      <w:rFonts w:hint="eastAsia" w:hAnsi="宋体" w:eastAsia="宋体"/>
                      <w:bCs/>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rFonts w:hint="default"/>
                      <w:bCs/>
                      <w:sz w:val="18"/>
                      <w:szCs w:val="18"/>
                      <w:highlight w:val="none"/>
                      <w:lang w:val="en-US" w:eastAsia="zh-CN"/>
                    </w:rPr>
                  </w:pPr>
                  <w:r>
                    <w:rPr>
                      <w:rFonts w:hint="eastAsia"/>
                      <w:bCs/>
                      <w:sz w:val="18"/>
                      <w:szCs w:val="18"/>
                      <w:highlight w:val="none"/>
                      <w:lang w:val="en-US" w:eastAsia="zh-CN"/>
                    </w:rPr>
                    <w:t>8</w:t>
                  </w:r>
                </w:p>
              </w:tc>
              <w:tc>
                <w:tcPr>
                  <w:tcW w:w="914"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机油</w:t>
                  </w:r>
                </w:p>
              </w:tc>
              <w:tc>
                <w:tcPr>
                  <w:tcW w:w="996"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bCs/>
                      <w:sz w:val="18"/>
                      <w:szCs w:val="18"/>
                      <w:lang w:val="en-US" w:eastAsia="zh-CN"/>
                    </w:rPr>
                    <w:t>1</w:t>
                  </w:r>
                </w:p>
              </w:tc>
              <w:tc>
                <w:tcPr>
                  <w:tcW w:w="844" w:type="dxa"/>
                  <w:noWrap w:val="0"/>
                  <w:vAlign w:val="center"/>
                </w:tcPr>
                <w:p>
                  <w:pPr>
                    <w:autoSpaceDE w:val="0"/>
                    <w:autoSpaceDN w:val="0"/>
                    <w:jc w:val="center"/>
                    <w:rPr>
                      <w:rFonts w:hint="default" w:eastAsia="楷体"/>
                      <w:sz w:val="18"/>
                      <w:szCs w:val="18"/>
                      <w:lang w:val="en-US" w:eastAsia="zh-CN"/>
                    </w:rPr>
                  </w:pPr>
                  <w:r>
                    <w:rPr>
                      <w:rFonts w:hint="eastAsia" w:eastAsia="楷体"/>
                      <w:sz w:val="18"/>
                      <w:szCs w:val="18"/>
                      <w:lang w:val="en-US" w:eastAsia="zh-CN"/>
                    </w:rPr>
                    <w:t>1</w:t>
                  </w:r>
                </w:p>
              </w:tc>
              <w:tc>
                <w:tcPr>
                  <w:tcW w:w="1077" w:type="dxa"/>
                  <w:noWrap w:val="0"/>
                  <w:vAlign w:val="center"/>
                </w:tcPr>
                <w:p>
                  <w:pPr>
                    <w:widowControl/>
                    <w:contextualSpacing/>
                    <w:jc w:val="center"/>
                    <w:textAlignment w:val="center"/>
                    <w:rPr>
                      <w:rFonts w:hint="default" w:hAnsi="宋体" w:eastAsia="宋体"/>
                      <w:bCs/>
                      <w:sz w:val="18"/>
                      <w:szCs w:val="18"/>
                      <w:lang w:val="en-US" w:eastAsia="zh-CN"/>
                    </w:rPr>
                  </w:pPr>
                  <w:r>
                    <w:rPr>
                      <w:rFonts w:hint="eastAsia" w:hAnsi="宋体"/>
                      <w:bCs/>
                      <w:sz w:val="18"/>
                      <w:szCs w:val="18"/>
                      <w:lang w:val="en-US" w:eastAsia="zh-CN"/>
                    </w:rPr>
                    <w:t>2</w:t>
                  </w:r>
                </w:p>
              </w:tc>
              <w:tc>
                <w:tcPr>
                  <w:tcW w:w="1009" w:type="dxa"/>
                  <w:noWrap w:val="0"/>
                  <w:vAlign w:val="center"/>
                </w:tcPr>
                <w:p>
                  <w:pPr>
                    <w:widowControl/>
                    <w:contextualSpacing/>
                    <w:jc w:val="center"/>
                    <w:textAlignment w:val="center"/>
                    <w:rPr>
                      <w:rFonts w:hint="eastAsia" w:hAnsi="宋体"/>
                      <w:bCs/>
                      <w:sz w:val="18"/>
                      <w:szCs w:val="18"/>
                      <w:lang w:val="en-US" w:eastAsia="zh-CN"/>
                    </w:rPr>
                  </w:pPr>
                  <w:r>
                    <w:rPr>
                      <w:rFonts w:hint="eastAsia" w:hAnsi="宋体"/>
                      <w:bCs/>
                      <w:sz w:val="18"/>
                      <w:szCs w:val="18"/>
                      <w:lang w:val="en-US" w:eastAsia="zh-CN"/>
                    </w:rPr>
                    <w:t>200kg</w:t>
                  </w:r>
                </w:p>
                <w:p>
                  <w:pPr>
                    <w:widowControl/>
                    <w:contextualSpacing/>
                    <w:jc w:val="center"/>
                    <w:textAlignment w:val="center"/>
                    <w:rPr>
                      <w:rFonts w:hint="default" w:hAnsi="宋体" w:eastAsia="宋体"/>
                      <w:bCs/>
                      <w:sz w:val="18"/>
                      <w:szCs w:val="18"/>
                      <w:lang w:val="en-US" w:eastAsia="zh-CN"/>
                    </w:rPr>
                  </w:pPr>
                  <w:r>
                    <w:rPr>
                      <w:rFonts w:hint="eastAsia" w:hAnsi="宋体"/>
                      <w:bCs/>
                      <w:sz w:val="18"/>
                      <w:szCs w:val="18"/>
                      <w:lang w:val="en-US" w:eastAsia="zh-CN"/>
                    </w:rPr>
                    <w:t>桶装</w:t>
                  </w:r>
                </w:p>
              </w:tc>
              <w:tc>
                <w:tcPr>
                  <w:tcW w:w="888" w:type="dxa"/>
                  <w:noWrap w:val="0"/>
                  <w:vAlign w:val="center"/>
                </w:tcPr>
                <w:p>
                  <w:pPr>
                    <w:widowControl/>
                    <w:contextualSpacing/>
                    <w:jc w:val="center"/>
                    <w:textAlignment w:val="center"/>
                    <w:rPr>
                      <w:rFonts w:hint="eastAsia" w:hAnsi="宋体" w:eastAsia="宋体"/>
                      <w:bCs/>
                      <w:sz w:val="18"/>
                      <w:szCs w:val="18"/>
                      <w:lang w:val="en-US" w:eastAsia="zh-CN"/>
                    </w:rPr>
                  </w:pPr>
                </w:p>
              </w:tc>
              <w:tc>
                <w:tcPr>
                  <w:tcW w:w="990"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eastAsia="宋体"/>
                      <w:bCs/>
                      <w:sz w:val="18"/>
                      <w:szCs w:val="18"/>
                      <w:lang w:val="en-US" w:eastAsia="zh-CN"/>
                    </w:rPr>
                    <w:t>市场采购</w:t>
                  </w:r>
                </w:p>
              </w:tc>
              <w:tc>
                <w:tcPr>
                  <w:tcW w:w="970" w:type="dxa"/>
                  <w:noWrap w:val="0"/>
                  <w:vAlign w:val="center"/>
                </w:tcPr>
                <w:p>
                  <w:pPr>
                    <w:widowControl/>
                    <w:contextualSpacing/>
                    <w:jc w:val="center"/>
                    <w:textAlignment w:val="center"/>
                    <w:rPr>
                      <w:rFonts w:hint="eastAsia" w:hAnsi="宋体" w:eastAsia="宋体"/>
                      <w:bCs/>
                      <w:sz w:val="18"/>
                      <w:szCs w:val="18"/>
                      <w:lang w:val="en-US" w:eastAsia="zh-CN"/>
                    </w:rPr>
                  </w:pPr>
                  <w:r>
                    <w:rPr>
                      <w:rFonts w:hint="eastAsia" w:hAnsi="宋体"/>
                      <w:bCs/>
                      <w:sz w:val="18"/>
                      <w:szCs w:val="18"/>
                      <w:lang w:val="en-US" w:eastAsia="zh-CN"/>
                    </w:rPr>
                    <w:t>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9</w:t>
                  </w:r>
                </w:p>
              </w:tc>
              <w:tc>
                <w:tcPr>
                  <w:tcW w:w="914" w:type="dxa"/>
                  <w:noWrap w:val="0"/>
                  <w:vAlign w:val="center"/>
                </w:tcPr>
                <w:p>
                  <w:pPr>
                    <w:jc w:val="center"/>
                    <w:rPr>
                      <w:bCs/>
                      <w:color w:val="000000"/>
                      <w:sz w:val="18"/>
                      <w:szCs w:val="18"/>
                      <w:highlight w:val="none"/>
                    </w:rPr>
                  </w:pPr>
                  <w:r>
                    <w:rPr>
                      <w:rFonts w:hint="eastAsia"/>
                      <w:bCs/>
                      <w:color w:val="000000"/>
                      <w:sz w:val="18"/>
                      <w:szCs w:val="18"/>
                      <w:highlight w:val="none"/>
                      <w:lang w:eastAsia="zh-CN"/>
                    </w:rPr>
                    <w:t>自来</w:t>
                  </w:r>
                  <w:r>
                    <w:rPr>
                      <w:bCs/>
                      <w:color w:val="000000"/>
                      <w:sz w:val="18"/>
                      <w:szCs w:val="18"/>
                      <w:highlight w:val="none"/>
                    </w:rPr>
                    <w:t>水</w:t>
                  </w:r>
                </w:p>
              </w:tc>
              <w:tc>
                <w:tcPr>
                  <w:tcW w:w="996" w:type="dxa"/>
                  <w:noWrap w:val="0"/>
                  <w:vAlign w:val="center"/>
                </w:tcPr>
                <w:p>
                  <w:pPr>
                    <w:jc w:val="center"/>
                    <w:rPr>
                      <w:rFonts w:hint="default" w:eastAsia="宋体"/>
                      <w:bCs/>
                      <w:color w:val="000000"/>
                      <w:spacing w:val="-1"/>
                      <w:kern w:val="0"/>
                      <w:sz w:val="18"/>
                      <w:szCs w:val="18"/>
                      <w:highlight w:val="none"/>
                      <w:lang w:val="en-US" w:eastAsia="zh-CN"/>
                    </w:rPr>
                  </w:pPr>
                  <w:r>
                    <w:rPr>
                      <w:rFonts w:hint="eastAsia"/>
                      <w:bCs/>
                      <w:color w:val="000000"/>
                      <w:spacing w:val="-1"/>
                      <w:kern w:val="0"/>
                      <w:sz w:val="18"/>
                      <w:szCs w:val="18"/>
                      <w:highlight w:val="none"/>
                      <w:lang w:val="en-US" w:eastAsia="zh-CN"/>
                    </w:rPr>
                    <w:t>9345</w:t>
                  </w:r>
                </w:p>
              </w:tc>
              <w:tc>
                <w:tcPr>
                  <w:tcW w:w="844"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4005</w:t>
                  </w:r>
                </w:p>
              </w:tc>
              <w:tc>
                <w:tcPr>
                  <w:tcW w:w="1077" w:type="dxa"/>
                  <w:noWrap w:val="0"/>
                  <w:vAlign w:val="center"/>
                </w:tcPr>
                <w:p>
                  <w:pPr>
                    <w:jc w:val="center"/>
                    <w:rPr>
                      <w:bCs/>
                      <w:sz w:val="18"/>
                      <w:szCs w:val="18"/>
                      <w:highlight w:val="none"/>
                    </w:rPr>
                  </w:pPr>
                  <w:r>
                    <w:rPr>
                      <w:rFonts w:hint="eastAsia"/>
                      <w:bCs/>
                      <w:sz w:val="18"/>
                      <w:szCs w:val="18"/>
                      <w:highlight w:val="none"/>
                      <w:lang w:val="en-US" w:eastAsia="zh-CN"/>
                    </w:rPr>
                    <w:t>13350</w:t>
                  </w:r>
                  <w:r>
                    <w:rPr>
                      <w:rFonts w:hint="eastAsia"/>
                      <w:bCs/>
                      <w:sz w:val="18"/>
                      <w:szCs w:val="18"/>
                      <w:highlight w:val="none"/>
                    </w:rPr>
                    <w:t>t</w:t>
                  </w:r>
                </w:p>
              </w:tc>
              <w:tc>
                <w:tcPr>
                  <w:tcW w:w="1009" w:type="dxa"/>
                  <w:noWrap w:val="0"/>
                  <w:vAlign w:val="center"/>
                </w:tcPr>
                <w:p>
                  <w:pPr>
                    <w:jc w:val="center"/>
                    <w:rPr>
                      <w:bCs/>
                      <w:sz w:val="18"/>
                      <w:szCs w:val="18"/>
                      <w:highlight w:val="none"/>
                    </w:rPr>
                  </w:pPr>
                  <w:r>
                    <w:rPr>
                      <w:bCs/>
                      <w:sz w:val="18"/>
                      <w:szCs w:val="18"/>
                      <w:highlight w:val="none"/>
                    </w:rPr>
                    <w:t>/</w:t>
                  </w:r>
                </w:p>
              </w:tc>
              <w:tc>
                <w:tcPr>
                  <w:tcW w:w="888" w:type="dxa"/>
                  <w:noWrap w:val="0"/>
                  <w:vAlign w:val="center"/>
                </w:tcPr>
                <w:p>
                  <w:pPr>
                    <w:jc w:val="center"/>
                    <w:rPr>
                      <w:bCs/>
                      <w:sz w:val="18"/>
                      <w:szCs w:val="18"/>
                      <w:highlight w:val="none"/>
                    </w:rPr>
                  </w:pPr>
                  <w:r>
                    <w:rPr>
                      <w:bCs/>
                      <w:sz w:val="18"/>
                      <w:szCs w:val="18"/>
                      <w:highlight w:val="none"/>
                    </w:rPr>
                    <w:t>/</w:t>
                  </w:r>
                </w:p>
              </w:tc>
              <w:tc>
                <w:tcPr>
                  <w:tcW w:w="990" w:type="dxa"/>
                  <w:noWrap w:val="0"/>
                  <w:vAlign w:val="center"/>
                </w:tcPr>
                <w:p>
                  <w:pPr>
                    <w:jc w:val="center"/>
                    <w:rPr>
                      <w:bCs/>
                      <w:sz w:val="18"/>
                      <w:szCs w:val="18"/>
                      <w:highlight w:val="none"/>
                    </w:rPr>
                  </w:pPr>
                  <w:r>
                    <w:rPr>
                      <w:rFonts w:hint="eastAsia"/>
                      <w:bCs/>
                      <w:sz w:val="18"/>
                      <w:szCs w:val="18"/>
                      <w:highlight w:val="none"/>
                      <w:lang w:eastAsia="zh-CN"/>
                    </w:rPr>
                    <w:t>虹星桥镇</w:t>
                  </w:r>
                  <w:r>
                    <w:rPr>
                      <w:bCs/>
                      <w:sz w:val="18"/>
                      <w:szCs w:val="18"/>
                      <w:highlight w:val="none"/>
                    </w:rPr>
                    <w:t>自来水厂</w:t>
                  </w:r>
                </w:p>
              </w:tc>
              <w:tc>
                <w:tcPr>
                  <w:tcW w:w="970" w:type="dxa"/>
                  <w:noWrap w:val="0"/>
                  <w:vAlign w:val="center"/>
                </w:tcPr>
                <w:p>
                  <w:pPr>
                    <w:adjustRightInd w:val="0"/>
                    <w:snapToGrid w:val="0"/>
                    <w:jc w:val="both"/>
                    <w:rPr>
                      <w:bCs/>
                      <w:color w:val="000000"/>
                      <w:sz w:val="18"/>
                      <w:szCs w:val="18"/>
                      <w:highlight w:val="none"/>
                    </w:rPr>
                  </w:pPr>
                  <w:r>
                    <w:rPr>
                      <w:bCs/>
                      <w:color w:val="000000"/>
                      <w:sz w:val="18"/>
                      <w:szCs w:val="18"/>
                      <w:highlight w:val="none"/>
                    </w:rPr>
                    <w:t>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32" w:type="dxa"/>
                  <w:noWrap w:val="0"/>
                  <w:vAlign w:val="center"/>
                </w:tcPr>
                <w:p>
                  <w:pPr>
                    <w:jc w:val="center"/>
                    <w:rPr>
                      <w:rFonts w:hint="default"/>
                      <w:bCs/>
                      <w:sz w:val="18"/>
                      <w:szCs w:val="18"/>
                      <w:highlight w:val="none"/>
                      <w:lang w:val="en-US" w:eastAsia="zh-CN"/>
                    </w:rPr>
                  </w:pPr>
                  <w:r>
                    <w:rPr>
                      <w:rFonts w:hint="eastAsia"/>
                      <w:bCs/>
                      <w:sz w:val="18"/>
                      <w:szCs w:val="18"/>
                      <w:highlight w:val="none"/>
                      <w:lang w:val="en-US" w:eastAsia="zh-CN"/>
                    </w:rPr>
                    <w:t>10</w:t>
                  </w:r>
                </w:p>
              </w:tc>
              <w:tc>
                <w:tcPr>
                  <w:tcW w:w="914" w:type="dxa"/>
                  <w:noWrap w:val="0"/>
                  <w:vAlign w:val="center"/>
                </w:tcPr>
                <w:p>
                  <w:pPr>
                    <w:jc w:val="center"/>
                    <w:rPr>
                      <w:rFonts w:hint="eastAsia" w:eastAsia="宋体"/>
                      <w:bCs/>
                      <w:color w:val="000000"/>
                      <w:sz w:val="18"/>
                      <w:szCs w:val="18"/>
                      <w:highlight w:val="none"/>
                      <w:lang w:eastAsia="zh-CN"/>
                    </w:rPr>
                  </w:pPr>
                  <w:r>
                    <w:rPr>
                      <w:rFonts w:hint="eastAsia"/>
                      <w:bCs/>
                      <w:color w:val="000000"/>
                      <w:sz w:val="18"/>
                      <w:szCs w:val="18"/>
                      <w:highlight w:val="none"/>
                      <w:lang w:eastAsia="zh-CN"/>
                    </w:rPr>
                    <w:t>再生水</w:t>
                  </w:r>
                </w:p>
              </w:tc>
              <w:tc>
                <w:tcPr>
                  <w:tcW w:w="996" w:type="dxa"/>
                  <w:noWrap w:val="0"/>
                  <w:vAlign w:val="center"/>
                </w:tcPr>
                <w:p>
                  <w:pPr>
                    <w:jc w:val="center"/>
                    <w:rPr>
                      <w:rFonts w:hint="default" w:eastAsia="宋体"/>
                      <w:bCs/>
                      <w:color w:val="000000"/>
                      <w:spacing w:val="-1"/>
                      <w:kern w:val="0"/>
                      <w:sz w:val="18"/>
                      <w:szCs w:val="18"/>
                      <w:highlight w:val="none"/>
                      <w:lang w:val="en-US" w:eastAsia="zh-CN"/>
                    </w:rPr>
                  </w:pPr>
                  <w:r>
                    <w:rPr>
                      <w:rFonts w:hint="eastAsia"/>
                      <w:bCs/>
                      <w:color w:val="000000"/>
                      <w:spacing w:val="-1"/>
                      <w:kern w:val="0"/>
                      <w:sz w:val="18"/>
                      <w:szCs w:val="18"/>
                      <w:highlight w:val="none"/>
                      <w:lang w:val="en-US" w:eastAsia="zh-CN"/>
                    </w:rPr>
                    <w:t>186000</w:t>
                  </w:r>
                </w:p>
              </w:tc>
              <w:tc>
                <w:tcPr>
                  <w:tcW w:w="844"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21000</w:t>
                  </w:r>
                </w:p>
              </w:tc>
              <w:tc>
                <w:tcPr>
                  <w:tcW w:w="1077"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207000</w:t>
                  </w:r>
                </w:p>
              </w:tc>
              <w:tc>
                <w:tcPr>
                  <w:tcW w:w="1009" w:type="dxa"/>
                  <w:noWrap w:val="0"/>
                  <w:vAlign w:val="center"/>
                </w:tcPr>
                <w:p>
                  <w:pPr>
                    <w:jc w:val="center"/>
                    <w:rPr>
                      <w:rFonts w:hint="eastAsia" w:eastAsia="宋体"/>
                      <w:bCs/>
                      <w:sz w:val="18"/>
                      <w:szCs w:val="18"/>
                      <w:highlight w:val="none"/>
                      <w:lang w:val="en-US" w:eastAsia="zh-CN"/>
                    </w:rPr>
                  </w:pPr>
                  <w:r>
                    <w:rPr>
                      <w:rFonts w:hint="eastAsia"/>
                      <w:bCs/>
                      <w:sz w:val="18"/>
                      <w:szCs w:val="18"/>
                      <w:highlight w:val="none"/>
                      <w:lang w:val="en-US" w:eastAsia="zh-CN"/>
                    </w:rPr>
                    <w:t>/</w:t>
                  </w:r>
                </w:p>
              </w:tc>
              <w:tc>
                <w:tcPr>
                  <w:tcW w:w="888" w:type="dxa"/>
                  <w:noWrap w:val="0"/>
                  <w:vAlign w:val="center"/>
                </w:tcPr>
                <w:p>
                  <w:pPr>
                    <w:jc w:val="center"/>
                    <w:rPr>
                      <w:rFonts w:hint="eastAsia" w:eastAsia="宋体"/>
                      <w:bCs/>
                      <w:sz w:val="18"/>
                      <w:szCs w:val="18"/>
                      <w:highlight w:val="none"/>
                      <w:lang w:val="en-US" w:eastAsia="zh-CN"/>
                    </w:rPr>
                  </w:pPr>
                  <w:r>
                    <w:rPr>
                      <w:rFonts w:hint="eastAsia"/>
                      <w:bCs/>
                      <w:sz w:val="18"/>
                      <w:szCs w:val="18"/>
                      <w:highlight w:val="none"/>
                      <w:lang w:val="en-US" w:eastAsia="zh-CN"/>
                    </w:rPr>
                    <w:t>/</w:t>
                  </w:r>
                </w:p>
              </w:tc>
              <w:tc>
                <w:tcPr>
                  <w:tcW w:w="990" w:type="dxa"/>
                  <w:noWrap w:val="0"/>
                  <w:vAlign w:val="center"/>
                </w:tcPr>
                <w:p>
                  <w:pPr>
                    <w:jc w:val="center"/>
                    <w:rPr>
                      <w:rFonts w:hint="eastAsia"/>
                      <w:bCs/>
                      <w:sz w:val="18"/>
                      <w:szCs w:val="18"/>
                      <w:highlight w:val="none"/>
                      <w:lang w:eastAsia="zh-CN"/>
                    </w:rPr>
                  </w:pPr>
                  <w:r>
                    <w:rPr>
                      <w:rFonts w:hint="eastAsia"/>
                      <w:bCs/>
                      <w:sz w:val="18"/>
                      <w:szCs w:val="18"/>
                      <w:highlight w:val="none"/>
                      <w:lang w:eastAsia="zh-CN"/>
                    </w:rPr>
                    <w:t>虹星桥镇北片中水回用站</w:t>
                  </w:r>
                </w:p>
              </w:tc>
              <w:tc>
                <w:tcPr>
                  <w:tcW w:w="970" w:type="dxa"/>
                  <w:noWrap w:val="0"/>
                  <w:vAlign w:val="center"/>
                </w:tcPr>
                <w:p>
                  <w:pPr>
                    <w:adjustRightInd w:val="0"/>
                    <w:snapToGrid w:val="0"/>
                    <w:jc w:val="both"/>
                    <w:rPr>
                      <w:rFonts w:hint="eastAsia" w:eastAsia="宋体"/>
                      <w:bCs/>
                      <w:color w:val="000000"/>
                      <w:sz w:val="18"/>
                      <w:szCs w:val="18"/>
                      <w:highlight w:val="none"/>
                      <w:lang w:eastAsia="zh-CN"/>
                    </w:rPr>
                  </w:pPr>
                  <w:r>
                    <w:rPr>
                      <w:rFonts w:hint="eastAsia"/>
                      <w:bCs/>
                      <w:color w:val="000000"/>
                      <w:sz w:val="18"/>
                      <w:szCs w:val="18"/>
                      <w:highlight w:val="none"/>
                      <w:lang w:eastAsia="zh-CN"/>
                    </w:rPr>
                    <w:t>生产用水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11</w:t>
                  </w:r>
                </w:p>
              </w:tc>
              <w:tc>
                <w:tcPr>
                  <w:tcW w:w="914" w:type="dxa"/>
                  <w:noWrap w:val="0"/>
                  <w:vAlign w:val="center"/>
                </w:tcPr>
                <w:p>
                  <w:pPr>
                    <w:jc w:val="center"/>
                    <w:rPr>
                      <w:bCs/>
                      <w:sz w:val="18"/>
                      <w:szCs w:val="18"/>
                      <w:highlight w:val="none"/>
                    </w:rPr>
                  </w:pPr>
                  <w:r>
                    <w:rPr>
                      <w:bCs/>
                      <w:sz w:val="18"/>
                      <w:szCs w:val="18"/>
                      <w:highlight w:val="none"/>
                    </w:rPr>
                    <w:t>电</w:t>
                  </w:r>
                </w:p>
              </w:tc>
              <w:tc>
                <w:tcPr>
                  <w:tcW w:w="996" w:type="dxa"/>
                  <w:noWrap w:val="0"/>
                  <w:vAlign w:val="center"/>
                </w:tcPr>
                <w:p>
                  <w:pPr>
                    <w:jc w:val="center"/>
                    <w:rPr>
                      <w:rFonts w:hint="default" w:eastAsia="宋体"/>
                      <w:bCs/>
                      <w:color w:val="000000"/>
                      <w:spacing w:val="-1"/>
                      <w:kern w:val="0"/>
                      <w:sz w:val="18"/>
                      <w:szCs w:val="18"/>
                      <w:highlight w:val="none"/>
                      <w:lang w:val="en-US" w:eastAsia="zh-CN"/>
                    </w:rPr>
                  </w:pPr>
                  <w:r>
                    <w:rPr>
                      <w:rFonts w:hint="eastAsia"/>
                      <w:bCs/>
                      <w:color w:val="000000"/>
                      <w:spacing w:val="-1"/>
                      <w:kern w:val="0"/>
                      <w:sz w:val="18"/>
                      <w:szCs w:val="18"/>
                      <w:highlight w:val="none"/>
                      <w:lang w:val="en-US" w:eastAsia="zh-CN"/>
                    </w:rPr>
                    <w:t>132</w:t>
                  </w:r>
                  <w:r>
                    <w:rPr>
                      <w:rFonts w:hint="eastAsia"/>
                      <w:color w:val="000000"/>
                      <w:sz w:val="18"/>
                      <w:szCs w:val="18"/>
                      <w:highlight w:val="none"/>
                    </w:rPr>
                    <w:t>万</w:t>
                  </w:r>
                  <w:r>
                    <w:rPr>
                      <w:color w:val="000000"/>
                      <w:sz w:val="18"/>
                      <w:szCs w:val="18"/>
                      <w:highlight w:val="none"/>
                    </w:rPr>
                    <w:t>kwh</w:t>
                  </w:r>
                </w:p>
              </w:tc>
              <w:tc>
                <w:tcPr>
                  <w:tcW w:w="844" w:type="dxa"/>
                  <w:noWrap w:val="0"/>
                  <w:vAlign w:val="center"/>
                </w:tcPr>
                <w:p>
                  <w:pPr>
                    <w:jc w:val="center"/>
                    <w:rPr>
                      <w:bCs/>
                      <w:sz w:val="18"/>
                      <w:szCs w:val="18"/>
                      <w:highlight w:val="none"/>
                    </w:rPr>
                  </w:pPr>
                  <w:r>
                    <w:rPr>
                      <w:rFonts w:hint="eastAsia"/>
                      <w:bCs/>
                      <w:sz w:val="18"/>
                      <w:szCs w:val="18"/>
                      <w:highlight w:val="none"/>
                    </w:rPr>
                    <w:t>50</w:t>
                  </w:r>
                  <w:r>
                    <w:rPr>
                      <w:rFonts w:hint="eastAsia"/>
                      <w:bCs/>
                      <w:sz w:val="18"/>
                      <w:szCs w:val="18"/>
                      <w:highlight w:val="none"/>
                      <w:lang w:val="en-US" w:eastAsia="zh-CN"/>
                    </w:rPr>
                    <w:t>.32</w:t>
                  </w:r>
                  <w:r>
                    <w:rPr>
                      <w:rFonts w:hint="eastAsia"/>
                      <w:color w:val="000000"/>
                      <w:sz w:val="18"/>
                      <w:szCs w:val="18"/>
                      <w:highlight w:val="none"/>
                    </w:rPr>
                    <w:t>万</w:t>
                  </w:r>
                  <w:r>
                    <w:rPr>
                      <w:color w:val="000000"/>
                      <w:sz w:val="18"/>
                      <w:szCs w:val="18"/>
                      <w:highlight w:val="none"/>
                    </w:rPr>
                    <w:t>kwh</w:t>
                  </w:r>
                </w:p>
              </w:tc>
              <w:tc>
                <w:tcPr>
                  <w:tcW w:w="1077" w:type="dxa"/>
                  <w:noWrap w:val="0"/>
                  <w:vAlign w:val="center"/>
                </w:tcPr>
                <w:p>
                  <w:pPr>
                    <w:jc w:val="center"/>
                    <w:rPr>
                      <w:bCs/>
                      <w:sz w:val="18"/>
                      <w:szCs w:val="18"/>
                      <w:highlight w:val="none"/>
                    </w:rPr>
                  </w:pPr>
                  <w:r>
                    <w:rPr>
                      <w:rFonts w:hint="eastAsia"/>
                      <w:bCs/>
                      <w:sz w:val="18"/>
                      <w:szCs w:val="18"/>
                      <w:highlight w:val="none"/>
                      <w:lang w:val="en-US" w:eastAsia="zh-CN"/>
                    </w:rPr>
                    <w:t>182.52</w:t>
                  </w:r>
                  <w:r>
                    <w:rPr>
                      <w:rFonts w:hint="eastAsia"/>
                      <w:color w:val="000000"/>
                      <w:sz w:val="18"/>
                      <w:szCs w:val="18"/>
                      <w:highlight w:val="none"/>
                    </w:rPr>
                    <w:t>万</w:t>
                  </w:r>
                  <w:r>
                    <w:rPr>
                      <w:color w:val="000000"/>
                      <w:sz w:val="18"/>
                      <w:szCs w:val="18"/>
                      <w:highlight w:val="none"/>
                    </w:rPr>
                    <w:t>kwh</w:t>
                  </w:r>
                </w:p>
              </w:tc>
              <w:tc>
                <w:tcPr>
                  <w:tcW w:w="1009" w:type="dxa"/>
                  <w:noWrap w:val="0"/>
                  <w:vAlign w:val="center"/>
                </w:tcPr>
                <w:p>
                  <w:pPr>
                    <w:jc w:val="center"/>
                    <w:rPr>
                      <w:bCs/>
                      <w:color w:val="000000"/>
                      <w:sz w:val="18"/>
                      <w:szCs w:val="18"/>
                      <w:highlight w:val="none"/>
                    </w:rPr>
                  </w:pPr>
                  <w:r>
                    <w:rPr>
                      <w:bCs/>
                      <w:color w:val="000000"/>
                      <w:sz w:val="18"/>
                      <w:szCs w:val="18"/>
                      <w:highlight w:val="none"/>
                    </w:rPr>
                    <w:t>/</w:t>
                  </w:r>
                </w:p>
              </w:tc>
              <w:tc>
                <w:tcPr>
                  <w:tcW w:w="888" w:type="dxa"/>
                  <w:noWrap w:val="0"/>
                  <w:vAlign w:val="center"/>
                </w:tcPr>
                <w:p>
                  <w:pPr>
                    <w:jc w:val="center"/>
                    <w:rPr>
                      <w:bCs/>
                      <w:sz w:val="18"/>
                      <w:szCs w:val="18"/>
                      <w:highlight w:val="none"/>
                    </w:rPr>
                  </w:pPr>
                  <w:r>
                    <w:rPr>
                      <w:bCs/>
                      <w:sz w:val="18"/>
                      <w:szCs w:val="18"/>
                      <w:highlight w:val="none"/>
                    </w:rPr>
                    <w:t>/</w:t>
                  </w:r>
                </w:p>
              </w:tc>
              <w:tc>
                <w:tcPr>
                  <w:tcW w:w="990" w:type="dxa"/>
                  <w:noWrap w:val="0"/>
                  <w:vAlign w:val="center"/>
                </w:tcPr>
                <w:p>
                  <w:pPr>
                    <w:jc w:val="center"/>
                    <w:rPr>
                      <w:bCs/>
                      <w:sz w:val="18"/>
                      <w:szCs w:val="18"/>
                      <w:highlight w:val="none"/>
                    </w:rPr>
                  </w:pPr>
                  <w:r>
                    <w:rPr>
                      <w:bCs/>
                      <w:color w:val="000000"/>
                      <w:sz w:val="18"/>
                      <w:szCs w:val="18"/>
                      <w:highlight w:val="none"/>
                    </w:rPr>
                    <w:t>国电</w:t>
                  </w:r>
                  <w:r>
                    <w:rPr>
                      <w:rFonts w:hint="eastAsia"/>
                      <w:bCs/>
                      <w:sz w:val="18"/>
                      <w:szCs w:val="18"/>
                      <w:highlight w:val="none"/>
                      <w:lang w:eastAsia="zh-CN"/>
                    </w:rPr>
                    <w:t>虹星桥</w:t>
                  </w:r>
                  <w:r>
                    <w:rPr>
                      <w:bCs/>
                      <w:color w:val="000000"/>
                      <w:sz w:val="18"/>
                      <w:szCs w:val="18"/>
                      <w:highlight w:val="none"/>
                    </w:rPr>
                    <w:t>供电所</w:t>
                  </w:r>
                </w:p>
              </w:tc>
              <w:tc>
                <w:tcPr>
                  <w:tcW w:w="970" w:type="dxa"/>
                  <w:noWrap w:val="0"/>
                  <w:vAlign w:val="center"/>
                </w:tcPr>
                <w:p>
                  <w:pPr>
                    <w:adjustRightInd w:val="0"/>
                    <w:snapToGrid w:val="0"/>
                    <w:jc w:val="center"/>
                    <w:rPr>
                      <w:bCs/>
                      <w:color w:val="000000"/>
                      <w:sz w:val="18"/>
                      <w:szCs w:val="18"/>
                      <w:highlight w:val="none"/>
                    </w:rPr>
                  </w:pPr>
                  <w:r>
                    <w:rPr>
                      <w:bCs/>
                      <w:color w:val="000000"/>
                      <w:sz w:val="18"/>
                      <w:szCs w:val="18"/>
                      <w:highlight w:val="none"/>
                    </w:rPr>
                    <w:t>生产、生活用电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dxa"/>
                  <w:noWrap w:val="0"/>
                  <w:vAlign w:val="center"/>
                </w:tcPr>
                <w:p>
                  <w:pPr>
                    <w:jc w:val="center"/>
                    <w:rPr>
                      <w:rFonts w:hint="default"/>
                      <w:bCs/>
                      <w:sz w:val="18"/>
                      <w:szCs w:val="18"/>
                      <w:highlight w:val="none"/>
                      <w:lang w:val="en-US" w:eastAsia="zh-CN"/>
                    </w:rPr>
                  </w:pPr>
                  <w:r>
                    <w:rPr>
                      <w:rFonts w:hint="eastAsia"/>
                      <w:bCs/>
                      <w:sz w:val="18"/>
                      <w:szCs w:val="18"/>
                      <w:highlight w:val="none"/>
                      <w:lang w:val="en-US" w:eastAsia="zh-CN"/>
                    </w:rPr>
                    <w:t>12</w:t>
                  </w:r>
                </w:p>
              </w:tc>
              <w:tc>
                <w:tcPr>
                  <w:tcW w:w="914" w:type="dxa"/>
                  <w:noWrap w:val="0"/>
                  <w:vAlign w:val="center"/>
                </w:tcPr>
                <w:p>
                  <w:pPr>
                    <w:jc w:val="center"/>
                    <w:rPr>
                      <w:rFonts w:hint="eastAsia"/>
                      <w:bCs/>
                      <w:sz w:val="18"/>
                      <w:szCs w:val="18"/>
                      <w:highlight w:val="none"/>
                      <w:lang w:eastAsia="zh-CN"/>
                    </w:rPr>
                  </w:pPr>
                  <w:r>
                    <w:rPr>
                      <w:rFonts w:hint="eastAsia"/>
                      <w:bCs/>
                      <w:sz w:val="18"/>
                      <w:szCs w:val="18"/>
                      <w:highlight w:val="none"/>
                      <w:lang w:eastAsia="zh-CN"/>
                    </w:rPr>
                    <w:t>外供</w:t>
                  </w:r>
                </w:p>
                <w:p>
                  <w:pPr>
                    <w:jc w:val="center"/>
                    <w:rPr>
                      <w:rFonts w:hint="eastAsia" w:eastAsia="宋体"/>
                      <w:bCs/>
                      <w:sz w:val="18"/>
                      <w:szCs w:val="18"/>
                      <w:highlight w:val="none"/>
                      <w:lang w:eastAsia="zh-CN"/>
                    </w:rPr>
                  </w:pPr>
                  <w:r>
                    <w:rPr>
                      <w:rFonts w:hint="eastAsia"/>
                      <w:bCs/>
                      <w:sz w:val="18"/>
                      <w:szCs w:val="18"/>
                      <w:highlight w:val="none"/>
                      <w:lang w:eastAsia="zh-CN"/>
                    </w:rPr>
                    <w:t>蒸汽</w:t>
                  </w:r>
                </w:p>
              </w:tc>
              <w:tc>
                <w:tcPr>
                  <w:tcW w:w="996" w:type="dxa"/>
                  <w:noWrap w:val="0"/>
                  <w:vAlign w:val="center"/>
                </w:tcPr>
                <w:p>
                  <w:pPr>
                    <w:jc w:val="center"/>
                    <w:rPr>
                      <w:rFonts w:hint="eastAsia" w:eastAsia="宋体"/>
                      <w:bCs/>
                      <w:color w:val="000000"/>
                      <w:spacing w:val="-1"/>
                      <w:kern w:val="0"/>
                      <w:sz w:val="18"/>
                      <w:szCs w:val="18"/>
                      <w:highlight w:val="none"/>
                      <w:lang w:val="en-US" w:eastAsia="zh-CN"/>
                    </w:rPr>
                  </w:pPr>
                  <w:r>
                    <w:rPr>
                      <w:rFonts w:hint="eastAsia"/>
                      <w:bCs/>
                      <w:color w:val="000000"/>
                      <w:spacing w:val="-1"/>
                      <w:kern w:val="0"/>
                      <w:sz w:val="18"/>
                      <w:szCs w:val="18"/>
                      <w:highlight w:val="none"/>
                      <w:lang w:val="en-US" w:eastAsia="zh-CN"/>
                    </w:rPr>
                    <w:t>0</w:t>
                  </w:r>
                </w:p>
              </w:tc>
              <w:tc>
                <w:tcPr>
                  <w:tcW w:w="844"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3456</w:t>
                  </w:r>
                </w:p>
              </w:tc>
              <w:tc>
                <w:tcPr>
                  <w:tcW w:w="1077" w:type="dxa"/>
                  <w:noWrap w:val="0"/>
                  <w:vAlign w:val="center"/>
                </w:tcPr>
                <w:p>
                  <w:pPr>
                    <w:jc w:val="center"/>
                    <w:rPr>
                      <w:rFonts w:hint="default" w:eastAsia="宋体"/>
                      <w:bCs/>
                      <w:sz w:val="18"/>
                      <w:szCs w:val="18"/>
                      <w:highlight w:val="none"/>
                      <w:lang w:val="en-US" w:eastAsia="zh-CN"/>
                    </w:rPr>
                  </w:pPr>
                  <w:r>
                    <w:rPr>
                      <w:rFonts w:hint="eastAsia"/>
                      <w:bCs/>
                      <w:sz w:val="18"/>
                      <w:szCs w:val="18"/>
                      <w:highlight w:val="none"/>
                      <w:lang w:val="en-US" w:eastAsia="zh-CN"/>
                    </w:rPr>
                    <w:t>3456</w:t>
                  </w:r>
                </w:p>
              </w:tc>
              <w:tc>
                <w:tcPr>
                  <w:tcW w:w="1009" w:type="dxa"/>
                  <w:noWrap w:val="0"/>
                  <w:vAlign w:val="center"/>
                </w:tcPr>
                <w:p>
                  <w:pPr>
                    <w:jc w:val="center"/>
                    <w:rPr>
                      <w:rFonts w:hint="eastAsia" w:eastAsia="宋体"/>
                      <w:bCs/>
                      <w:color w:val="000000"/>
                      <w:sz w:val="18"/>
                      <w:szCs w:val="18"/>
                      <w:highlight w:val="none"/>
                      <w:lang w:val="en-US" w:eastAsia="zh-CN"/>
                    </w:rPr>
                  </w:pPr>
                  <w:r>
                    <w:rPr>
                      <w:rFonts w:hint="eastAsia"/>
                      <w:bCs/>
                      <w:color w:val="000000"/>
                      <w:sz w:val="18"/>
                      <w:szCs w:val="18"/>
                      <w:highlight w:val="none"/>
                      <w:lang w:val="en-US" w:eastAsia="zh-CN"/>
                    </w:rPr>
                    <w:t>/</w:t>
                  </w:r>
                </w:p>
              </w:tc>
              <w:tc>
                <w:tcPr>
                  <w:tcW w:w="888" w:type="dxa"/>
                  <w:noWrap w:val="0"/>
                  <w:vAlign w:val="center"/>
                </w:tcPr>
                <w:p>
                  <w:pPr>
                    <w:jc w:val="center"/>
                    <w:rPr>
                      <w:rFonts w:hint="eastAsia" w:eastAsia="宋体"/>
                      <w:bCs/>
                      <w:sz w:val="18"/>
                      <w:szCs w:val="18"/>
                      <w:highlight w:val="none"/>
                      <w:lang w:val="en-US" w:eastAsia="zh-CN"/>
                    </w:rPr>
                  </w:pPr>
                  <w:r>
                    <w:rPr>
                      <w:rFonts w:hint="eastAsia"/>
                      <w:bCs/>
                      <w:sz w:val="18"/>
                      <w:szCs w:val="18"/>
                      <w:highlight w:val="none"/>
                      <w:lang w:val="en-US" w:eastAsia="zh-CN"/>
                    </w:rPr>
                    <w:t>/</w:t>
                  </w:r>
                </w:p>
              </w:tc>
              <w:tc>
                <w:tcPr>
                  <w:tcW w:w="990" w:type="dxa"/>
                  <w:noWrap w:val="0"/>
                  <w:vAlign w:val="center"/>
                </w:tcPr>
                <w:p>
                  <w:pPr>
                    <w:jc w:val="center"/>
                    <w:rPr>
                      <w:rFonts w:hint="eastAsia" w:eastAsia="宋体"/>
                      <w:bCs/>
                      <w:color w:val="000000"/>
                      <w:sz w:val="18"/>
                      <w:szCs w:val="18"/>
                      <w:highlight w:val="none"/>
                      <w:lang w:eastAsia="zh-CN"/>
                    </w:rPr>
                  </w:pPr>
                  <w:r>
                    <w:rPr>
                      <w:rFonts w:hint="eastAsia"/>
                      <w:bCs/>
                      <w:color w:val="000000"/>
                      <w:sz w:val="18"/>
                      <w:szCs w:val="18"/>
                      <w:highlight w:val="none"/>
                      <w:lang w:eastAsia="zh-CN"/>
                    </w:rPr>
                    <w:t>供气公司</w:t>
                  </w:r>
                </w:p>
              </w:tc>
              <w:tc>
                <w:tcPr>
                  <w:tcW w:w="970" w:type="dxa"/>
                  <w:noWrap w:val="0"/>
                  <w:vAlign w:val="center"/>
                </w:tcPr>
                <w:p>
                  <w:pPr>
                    <w:adjustRightInd w:val="0"/>
                    <w:snapToGrid w:val="0"/>
                    <w:jc w:val="center"/>
                    <w:rPr>
                      <w:rFonts w:hint="eastAsia" w:eastAsia="宋体"/>
                      <w:bCs/>
                      <w:color w:val="000000"/>
                      <w:sz w:val="18"/>
                      <w:szCs w:val="18"/>
                      <w:highlight w:val="none"/>
                      <w:lang w:eastAsia="zh-CN"/>
                    </w:rPr>
                  </w:pPr>
                  <w:r>
                    <w:rPr>
                      <w:rFonts w:hint="eastAsia"/>
                      <w:bCs/>
                      <w:color w:val="000000"/>
                      <w:sz w:val="18"/>
                      <w:szCs w:val="18"/>
                      <w:highlight w:val="none"/>
                      <w:lang w:eastAsia="zh-CN"/>
                    </w:rPr>
                    <w:t>烘干</w:t>
                  </w:r>
                </w:p>
              </w:tc>
            </w:tr>
          </w:tbl>
          <w:p>
            <w:pPr>
              <w:spacing w:line="500" w:lineRule="exact"/>
              <w:rPr>
                <w:bCs/>
                <w:sz w:val="24"/>
              </w:rPr>
            </w:pPr>
            <w:r>
              <w:rPr>
                <w:rFonts w:hAnsi="宋体"/>
                <w:b/>
                <w:sz w:val="24"/>
              </w:rPr>
              <w:t>主要原辅材料介绍：</w:t>
            </w:r>
          </w:p>
          <w:bookmarkEnd w:id="9"/>
          <w:p>
            <w:pPr>
              <w:spacing w:line="500" w:lineRule="exact"/>
              <w:ind w:firstLine="480"/>
              <w:jc w:val="left"/>
              <w:rPr>
                <w:rFonts w:hint="eastAsia" w:eastAsia="宋体"/>
                <w:bCs/>
                <w:sz w:val="24"/>
                <w:highlight w:val="none"/>
                <w:lang w:eastAsia="zh-CN"/>
              </w:rPr>
            </w:pPr>
            <w:r>
              <w:rPr>
                <w:bCs/>
                <w:sz w:val="24"/>
                <w:highlight w:val="none"/>
              </w:rPr>
              <w:t>（1）</w:t>
            </w:r>
            <w:r>
              <w:rPr>
                <w:rFonts w:hint="eastAsia"/>
                <w:bCs/>
                <w:sz w:val="24"/>
                <w:highlight w:val="none"/>
                <w:lang w:eastAsia="zh-CN"/>
              </w:rPr>
              <w:t>聚酯水浆</w:t>
            </w:r>
          </w:p>
          <w:p>
            <w:pPr>
              <w:spacing w:line="500" w:lineRule="exact"/>
              <w:ind w:firstLine="480"/>
              <w:rPr>
                <w:bCs/>
                <w:sz w:val="24"/>
                <w:highlight w:val="none"/>
              </w:rPr>
            </w:pPr>
            <w:r>
              <w:rPr>
                <w:bCs/>
                <w:sz w:val="24"/>
                <w:highlight w:val="none"/>
              </w:rPr>
              <w:t>项目</w:t>
            </w:r>
            <w:r>
              <w:rPr>
                <w:rFonts w:hint="eastAsia"/>
                <w:bCs/>
                <w:sz w:val="24"/>
                <w:highlight w:val="none"/>
                <w:lang w:eastAsia="zh-CN"/>
              </w:rPr>
              <w:t>聚酯水浆组成</w:t>
            </w:r>
            <w:r>
              <w:rPr>
                <w:bCs/>
                <w:sz w:val="24"/>
                <w:highlight w:val="none"/>
              </w:rPr>
              <w:t>（来源于</w:t>
            </w:r>
            <w:r>
              <w:rPr>
                <w:rFonts w:hint="eastAsia"/>
                <w:bCs/>
                <w:sz w:val="24"/>
                <w:highlight w:val="none"/>
                <w:lang w:eastAsia="zh-CN"/>
              </w:rPr>
              <w:t>聚酯水浆</w:t>
            </w:r>
            <w:r>
              <w:rPr>
                <w:bCs/>
                <w:sz w:val="24"/>
                <w:highlight w:val="none"/>
              </w:rPr>
              <w:t>MSDS）见表2.1-</w:t>
            </w:r>
            <w:r>
              <w:rPr>
                <w:rFonts w:hint="eastAsia"/>
                <w:bCs/>
                <w:sz w:val="24"/>
                <w:highlight w:val="none"/>
                <w:lang w:val="en-US" w:eastAsia="zh-CN"/>
              </w:rPr>
              <w:t>11</w:t>
            </w:r>
            <w:r>
              <w:rPr>
                <w:bCs/>
                <w:sz w:val="24"/>
                <w:highlight w:val="none"/>
              </w:rPr>
              <w:t>。</w:t>
            </w:r>
          </w:p>
          <w:p>
            <w:pPr>
              <w:spacing w:line="460" w:lineRule="exact"/>
              <w:jc w:val="center"/>
              <w:rPr>
                <w:b/>
                <w:szCs w:val="21"/>
                <w:highlight w:val="none"/>
              </w:rPr>
            </w:pPr>
          </w:p>
          <w:p>
            <w:pPr>
              <w:spacing w:line="460" w:lineRule="exact"/>
              <w:jc w:val="center"/>
              <w:rPr>
                <w:b/>
                <w:szCs w:val="21"/>
                <w:highlight w:val="none"/>
              </w:rPr>
            </w:pPr>
          </w:p>
          <w:p>
            <w:pPr>
              <w:spacing w:line="460" w:lineRule="exact"/>
              <w:jc w:val="center"/>
              <w:rPr>
                <w:b/>
                <w:szCs w:val="21"/>
                <w:highlight w:val="none"/>
              </w:rPr>
            </w:pPr>
            <w:r>
              <w:rPr>
                <w:b/>
                <w:szCs w:val="21"/>
                <w:highlight w:val="none"/>
              </w:rPr>
              <w:t>表2.1-</w:t>
            </w:r>
            <w:r>
              <w:rPr>
                <w:rFonts w:hint="eastAsia"/>
                <w:b/>
                <w:szCs w:val="21"/>
                <w:highlight w:val="none"/>
                <w:lang w:val="en-US" w:eastAsia="zh-CN"/>
              </w:rPr>
              <w:t>11  聚酯水浆</w:t>
            </w:r>
            <w:r>
              <w:rPr>
                <w:b/>
                <w:szCs w:val="21"/>
                <w:highlight w:val="none"/>
              </w:rPr>
              <w:t>成分清单</w:t>
            </w:r>
          </w:p>
          <w:tbl>
            <w:tblPr>
              <w:tblStyle w:val="4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3744"/>
              <w:gridCol w:w="1932"/>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序号</w:t>
                  </w:r>
                </w:p>
              </w:tc>
              <w:tc>
                <w:tcPr>
                  <w:tcW w:w="3744"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成分</w:t>
                  </w:r>
                </w:p>
              </w:tc>
              <w:tc>
                <w:tcPr>
                  <w:tcW w:w="1932"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CAS号</w:t>
                  </w:r>
                </w:p>
              </w:tc>
              <w:tc>
                <w:tcPr>
                  <w:tcW w:w="1688"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w:t>
                  </w:r>
                </w:p>
              </w:tc>
              <w:tc>
                <w:tcPr>
                  <w:tcW w:w="3744"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水</w:t>
                  </w:r>
                </w:p>
              </w:tc>
              <w:tc>
                <w:tcPr>
                  <w:tcW w:w="1932"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7732-18-5</w:t>
                  </w:r>
                </w:p>
              </w:tc>
              <w:tc>
                <w:tcPr>
                  <w:tcW w:w="1688"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69.9~89.9%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w:t>
                  </w:r>
                </w:p>
              </w:tc>
              <w:tc>
                <w:tcPr>
                  <w:tcW w:w="3744"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eastAsia="zh-CN"/>
                    </w:rPr>
                    <w:t>聚对苯二甲酸乙二酯树脂</w:t>
                  </w:r>
                  <w:r>
                    <w:rPr>
                      <w:rFonts w:hint="eastAsia"/>
                      <w:sz w:val="21"/>
                      <w:szCs w:val="21"/>
                      <w:vertAlign w:val="baseline"/>
                      <w:lang w:val="en-US" w:eastAsia="zh-CN"/>
                    </w:rPr>
                    <w:t>B型（PETF-61-BR）</w:t>
                  </w:r>
                </w:p>
              </w:tc>
              <w:tc>
                <w:tcPr>
                  <w:tcW w:w="1932"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25038-59-9</w:t>
                  </w:r>
                </w:p>
              </w:tc>
              <w:tc>
                <w:tcPr>
                  <w:tcW w:w="1688"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3744"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聚二甲基硅氧烷</w:t>
                  </w:r>
                </w:p>
              </w:tc>
              <w:tc>
                <w:tcPr>
                  <w:tcW w:w="1932"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9006-65-9</w:t>
                  </w:r>
                </w:p>
              </w:tc>
              <w:tc>
                <w:tcPr>
                  <w:tcW w:w="1688" w:type="dxa"/>
                  <w:vAlign w:val="center"/>
                </w:tcPr>
                <w:p>
                  <w:pPr>
                    <w:pStyle w:val="3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0.1%</w:t>
                  </w:r>
                </w:p>
              </w:tc>
            </w:tr>
          </w:tbl>
          <w:p>
            <w:pPr>
              <w:spacing w:line="500" w:lineRule="exact"/>
              <w:rPr>
                <w:bCs/>
                <w:sz w:val="24"/>
              </w:rPr>
            </w:pPr>
            <w:r>
              <w:rPr>
                <w:rFonts w:hint="eastAsia" w:hAnsi="宋体"/>
                <w:b/>
                <w:sz w:val="24"/>
              </w:rPr>
              <w:t>主要物质理化性质</w:t>
            </w:r>
            <w:r>
              <w:rPr>
                <w:rFonts w:hAnsi="宋体"/>
                <w:b/>
                <w:sz w:val="24"/>
              </w:rPr>
              <w:t>：</w:t>
            </w:r>
          </w:p>
          <w:p>
            <w:pPr>
              <w:spacing w:line="460" w:lineRule="exact"/>
              <w:jc w:val="center"/>
              <w:rPr>
                <w:b/>
                <w:szCs w:val="21"/>
                <w:highlight w:val="none"/>
              </w:rPr>
            </w:pPr>
            <w:r>
              <w:rPr>
                <w:b/>
                <w:szCs w:val="21"/>
                <w:highlight w:val="none"/>
              </w:rPr>
              <w:t>表2.1-1</w:t>
            </w:r>
            <w:r>
              <w:rPr>
                <w:rFonts w:hint="eastAsia"/>
                <w:b/>
                <w:szCs w:val="21"/>
                <w:highlight w:val="none"/>
                <w:lang w:val="en-US" w:eastAsia="zh-CN"/>
              </w:rPr>
              <w:t xml:space="preserve">2 </w:t>
            </w:r>
            <w:r>
              <w:rPr>
                <w:rFonts w:hint="eastAsia"/>
                <w:b/>
                <w:szCs w:val="21"/>
                <w:highlight w:val="none"/>
              </w:rPr>
              <w:t xml:space="preserve"> 主要原辅料</w:t>
            </w:r>
            <w:r>
              <w:rPr>
                <w:b/>
                <w:szCs w:val="21"/>
                <w:highlight w:val="none"/>
              </w:rPr>
              <w:t>理化性质分析</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96"/>
              <w:gridCol w:w="5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dxa"/>
                  <w:noWrap w:val="0"/>
                  <w:vAlign w:val="center"/>
                </w:tcPr>
                <w:p>
                  <w:pPr>
                    <w:jc w:val="center"/>
                    <w:rPr>
                      <w:sz w:val="21"/>
                      <w:szCs w:val="21"/>
                      <w:highlight w:val="none"/>
                    </w:rPr>
                  </w:pPr>
                  <w:r>
                    <w:rPr>
                      <w:sz w:val="21"/>
                      <w:szCs w:val="21"/>
                      <w:highlight w:val="none"/>
                    </w:rPr>
                    <w:t>序号</w:t>
                  </w:r>
                </w:p>
              </w:tc>
              <w:tc>
                <w:tcPr>
                  <w:tcW w:w="1696" w:type="dxa"/>
                  <w:noWrap w:val="0"/>
                  <w:vAlign w:val="center"/>
                </w:tcPr>
                <w:p>
                  <w:pPr>
                    <w:jc w:val="center"/>
                    <w:rPr>
                      <w:sz w:val="21"/>
                      <w:szCs w:val="21"/>
                      <w:highlight w:val="none"/>
                    </w:rPr>
                  </w:pPr>
                  <w:r>
                    <w:rPr>
                      <w:sz w:val="21"/>
                      <w:szCs w:val="21"/>
                      <w:highlight w:val="none"/>
                    </w:rPr>
                    <w:t>物质名称</w:t>
                  </w:r>
                </w:p>
              </w:tc>
              <w:tc>
                <w:tcPr>
                  <w:tcW w:w="5876" w:type="dxa"/>
                  <w:noWrap w:val="0"/>
                  <w:vAlign w:val="center"/>
                </w:tcPr>
                <w:p>
                  <w:pPr>
                    <w:jc w:val="center"/>
                    <w:rPr>
                      <w:sz w:val="21"/>
                      <w:szCs w:val="21"/>
                      <w:highlight w:val="none"/>
                    </w:rPr>
                  </w:pPr>
                  <w:r>
                    <w:rPr>
                      <w:sz w:val="21"/>
                      <w:szCs w:val="21"/>
                      <w:highlight w:val="none"/>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dxa"/>
                  <w:noWrap w:val="0"/>
                  <w:vAlign w:val="center"/>
                </w:tcPr>
                <w:p>
                  <w:pPr>
                    <w:jc w:val="center"/>
                    <w:rPr>
                      <w:sz w:val="21"/>
                      <w:szCs w:val="21"/>
                      <w:highlight w:val="none"/>
                    </w:rPr>
                  </w:pPr>
                  <w:r>
                    <w:rPr>
                      <w:sz w:val="21"/>
                      <w:szCs w:val="21"/>
                      <w:highlight w:val="none"/>
                    </w:rPr>
                    <w:t>1</w:t>
                  </w:r>
                </w:p>
              </w:tc>
              <w:tc>
                <w:tcPr>
                  <w:tcW w:w="1696" w:type="dxa"/>
                  <w:noWrap w:val="0"/>
                  <w:vAlign w:val="center"/>
                </w:tcPr>
                <w:p>
                  <w:pPr>
                    <w:jc w:val="center"/>
                    <w:rPr>
                      <w:rFonts w:hint="eastAsia" w:eastAsia="宋体"/>
                      <w:kern w:val="0"/>
                      <w:sz w:val="21"/>
                      <w:szCs w:val="21"/>
                      <w:highlight w:val="none"/>
                      <w:lang w:eastAsia="zh-CN"/>
                    </w:rPr>
                  </w:pPr>
                  <w:r>
                    <w:rPr>
                      <w:rFonts w:hint="eastAsia"/>
                      <w:kern w:val="0"/>
                      <w:sz w:val="21"/>
                      <w:szCs w:val="21"/>
                      <w:highlight w:val="none"/>
                      <w:lang w:eastAsia="zh-CN"/>
                    </w:rPr>
                    <w:t>加弹油</w:t>
                  </w:r>
                </w:p>
              </w:tc>
              <w:tc>
                <w:tcPr>
                  <w:tcW w:w="5876" w:type="dxa"/>
                  <w:noWrap w:val="0"/>
                  <w:vAlign w:val="center"/>
                </w:tcPr>
                <w:p>
                  <w:pPr>
                    <w:rPr>
                      <w:rFonts w:hint="eastAsia" w:eastAsia="宋体"/>
                      <w:sz w:val="21"/>
                      <w:szCs w:val="21"/>
                      <w:highlight w:val="none"/>
                      <w:lang w:eastAsia="zh-CN"/>
                    </w:rPr>
                  </w:pPr>
                  <w:r>
                    <w:rPr>
                      <w:rFonts w:hint="eastAsia" w:ascii="Times New Roman" w:hAnsi="Times New Roman" w:eastAsia="宋体" w:cs="Times New Roman"/>
                      <w:color w:val="auto"/>
                      <w:sz w:val="21"/>
                      <w:szCs w:val="21"/>
                    </w:rPr>
                    <w:t>为无色透明油状液体，没有气味，主要成分为 C</w:t>
                  </w:r>
                  <w:r>
                    <w:rPr>
                      <w:rFonts w:hint="eastAsia" w:ascii="Times New Roman" w:hAnsi="Times New Roman" w:eastAsia="宋体" w:cs="Times New Roman"/>
                      <w:color w:val="auto"/>
                      <w:sz w:val="21"/>
                      <w:szCs w:val="21"/>
                      <w:vertAlign w:val="subscript"/>
                    </w:rPr>
                    <w:t>16</w:t>
                  </w:r>
                  <w:r>
                    <w:rPr>
                      <w:rFonts w:hint="eastAsia" w:ascii="Times New Roman" w:hAnsi="Times New Roman" w:eastAsia="宋体" w:cs="Times New Roman"/>
                      <w:color w:val="auto"/>
                      <w:sz w:val="21"/>
                      <w:szCs w:val="21"/>
                    </w:rPr>
                    <w:t>-C</w:t>
                  </w:r>
                  <w:r>
                    <w:rPr>
                      <w:rFonts w:hint="eastAsia" w:ascii="Times New Roman" w:hAnsi="Times New Roman" w:eastAsia="宋体" w:cs="Times New Roman"/>
                      <w:color w:val="auto"/>
                      <w:sz w:val="21"/>
                      <w:szCs w:val="21"/>
                      <w:vertAlign w:val="subscript"/>
                    </w:rPr>
                    <w:t>31</w:t>
                  </w:r>
                  <w:r>
                    <w:rPr>
                      <w:rFonts w:hint="eastAsia" w:ascii="Times New Roman" w:hAnsi="Times New Roman" w:eastAsia="宋体" w:cs="Times New Roman"/>
                      <w:color w:val="auto"/>
                      <w:sz w:val="21"/>
                      <w:szCs w:val="21"/>
                    </w:rPr>
                    <w:t>的正异构烷烃的混合物，相对密度0.831-0.883，闪点为164-223℃，沸点＞250℃，无毒</w:t>
                  </w:r>
                  <w:r>
                    <w:rPr>
                      <w:rFonts w:hint="eastAsia"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dxa"/>
                  <w:noWrap w:val="0"/>
                  <w:vAlign w:val="center"/>
                </w:tcPr>
                <w:p>
                  <w:pPr>
                    <w:jc w:val="center"/>
                    <w:rPr>
                      <w:sz w:val="21"/>
                      <w:szCs w:val="21"/>
                      <w:highlight w:val="none"/>
                    </w:rPr>
                  </w:pPr>
                  <w:r>
                    <w:rPr>
                      <w:sz w:val="21"/>
                      <w:szCs w:val="21"/>
                      <w:highlight w:val="none"/>
                    </w:rPr>
                    <w:t>2</w:t>
                  </w:r>
                </w:p>
              </w:tc>
              <w:tc>
                <w:tcPr>
                  <w:tcW w:w="1696" w:type="dxa"/>
                  <w:noWrap w:val="0"/>
                  <w:vAlign w:val="center"/>
                </w:tcPr>
                <w:p>
                  <w:pPr>
                    <w:jc w:val="center"/>
                    <w:rPr>
                      <w:rFonts w:hint="eastAsia"/>
                      <w:sz w:val="21"/>
                      <w:szCs w:val="21"/>
                      <w:highlight w:val="none"/>
                      <w:shd w:val="clear" w:color="auto" w:fill="FFFFFF"/>
                    </w:rPr>
                  </w:pPr>
                  <w:r>
                    <w:rPr>
                      <w:rFonts w:hint="eastAsia"/>
                      <w:sz w:val="21"/>
                      <w:szCs w:val="21"/>
                      <w:vertAlign w:val="baseline"/>
                      <w:lang w:eastAsia="zh-CN"/>
                    </w:rPr>
                    <w:t>聚对苯二甲酸乙二酯树脂</w:t>
                  </w:r>
                  <w:r>
                    <w:rPr>
                      <w:rFonts w:hint="eastAsia"/>
                      <w:sz w:val="21"/>
                      <w:szCs w:val="21"/>
                      <w:vertAlign w:val="baseline"/>
                      <w:lang w:val="en-US" w:eastAsia="zh-CN"/>
                    </w:rPr>
                    <w:t>B型</w:t>
                  </w:r>
                </w:p>
              </w:tc>
              <w:tc>
                <w:tcPr>
                  <w:tcW w:w="5876" w:type="dxa"/>
                  <w:noWrap w:val="0"/>
                  <w:vAlign w:val="center"/>
                </w:tcPr>
                <w:p>
                  <w:pPr>
                    <w:pStyle w:val="35"/>
                    <w:shd w:val="clear" w:color="auto" w:fill="FFFFFF"/>
                    <w:spacing w:beforeAutospacing="0" w:afterAutospacing="0" w:line="220" w:lineRule="atLeast"/>
                    <w:jc w:val="both"/>
                    <w:rPr>
                      <w:rFonts w:ascii="Times New Roman" w:hAnsi="Times New Roman"/>
                      <w:kern w:val="2"/>
                      <w:sz w:val="21"/>
                      <w:szCs w:val="21"/>
                      <w:highlight w:val="none"/>
                      <w:lang w:val="en-US" w:eastAsia="zh-CN"/>
                    </w:rPr>
                  </w:pPr>
                  <w:r>
                    <w:rPr>
                      <w:rFonts w:hint="eastAsia" w:ascii="Times New Roman" w:hAnsi="Times New Roman"/>
                      <w:kern w:val="2"/>
                      <w:sz w:val="21"/>
                      <w:szCs w:val="21"/>
                      <w:highlight w:val="none"/>
                      <w:lang w:val="en-US" w:eastAsia="zh-CN"/>
                    </w:rPr>
                    <w:t>是生活中常见的一种树脂，为乳白色或浅黄色、高度结晶的聚合物，表面平滑有光泽。在较宽的温度范围内具有优良的物理机械性能，长期使用温度可达120℃，电绝缘性优良，甚至在高温高频下，其电性能仍较好，但耐电晕性较差，抗蠕变性，耐疲劳性，耐摩擦性、尺寸稳定性都很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8" w:type="dxa"/>
                  <w:noWrap w:val="0"/>
                  <w:vAlign w:val="center"/>
                </w:tcPr>
                <w:p>
                  <w:pPr>
                    <w:jc w:val="center"/>
                    <w:rPr>
                      <w:rFonts w:hint="eastAsia" w:eastAsia="宋体"/>
                      <w:sz w:val="21"/>
                      <w:szCs w:val="21"/>
                      <w:highlight w:val="none"/>
                      <w:lang w:val="en-US" w:eastAsia="zh-CN"/>
                    </w:rPr>
                  </w:pPr>
                  <w:r>
                    <w:rPr>
                      <w:rFonts w:hint="eastAsia"/>
                      <w:sz w:val="21"/>
                      <w:szCs w:val="21"/>
                      <w:highlight w:val="none"/>
                      <w:lang w:val="en-US" w:eastAsia="zh-CN"/>
                    </w:rPr>
                    <w:t>3</w:t>
                  </w:r>
                </w:p>
              </w:tc>
              <w:tc>
                <w:tcPr>
                  <w:tcW w:w="1696" w:type="dxa"/>
                  <w:noWrap w:val="0"/>
                  <w:vAlign w:val="center"/>
                </w:tcPr>
                <w:p>
                  <w:pPr>
                    <w:jc w:val="center"/>
                    <w:rPr>
                      <w:rFonts w:hint="eastAsia"/>
                      <w:sz w:val="21"/>
                      <w:szCs w:val="21"/>
                      <w:vertAlign w:val="baseline"/>
                      <w:lang w:eastAsia="zh-CN"/>
                    </w:rPr>
                  </w:pPr>
                  <w:r>
                    <w:rPr>
                      <w:rFonts w:hint="eastAsia"/>
                      <w:sz w:val="21"/>
                      <w:szCs w:val="21"/>
                      <w:vertAlign w:val="baseline"/>
                      <w:lang w:eastAsia="zh-CN"/>
                    </w:rPr>
                    <w:t>聚二甲基硅氧烷</w:t>
                  </w:r>
                </w:p>
              </w:tc>
              <w:tc>
                <w:tcPr>
                  <w:tcW w:w="5876" w:type="dxa"/>
                  <w:noWrap w:val="0"/>
                  <w:vAlign w:val="center"/>
                </w:tcPr>
                <w:p>
                  <w:pPr>
                    <w:pStyle w:val="35"/>
                    <w:shd w:val="clear" w:color="auto" w:fill="FFFFFF"/>
                    <w:spacing w:beforeAutospacing="0" w:afterAutospacing="0" w:line="220" w:lineRule="atLeast"/>
                    <w:jc w:val="both"/>
                    <w:rPr>
                      <w:rFonts w:hint="default" w:ascii="Times New Roman" w:hAnsi="Times New Roman"/>
                      <w:kern w:val="2"/>
                      <w:sz w:val="21"/>
                      <w:szCs w:val="21"/>
                      <w:highlight w:val="none"/>
                      <w:lang w:val="en-US" w:eastAsia="zh-CN"/>
                    </w:rPr>
                  </w:pPr>
                  <w:r>
                    <w:rPr>
                      <w:rFonts w:hint="eastAsia" w:ascii="Times New Roman" w:hAnsi="Times New Roman"/>
                      <w:kern w:val="2"/>
                      <w:sz w:val="21"/>
                      <w:szCs w:val="21"/>
                      <w:highlight w:val="none"/>
                      <w:lang w:val="en-US" w:eastAsia="zh-CN"/>
                    </w:rPr>
                    <w:t>是一种疏水类的有机硅物料。在药品、日化用品、食品、建筑等各领域均有应用。化学式：(C</w:t>
                  </w:r>
                  <w:r>
                    <w:rPr>
                      <w:rFonts w:hint="eastAsia" w:ascii="Times New Roman" w:hAnsi="Times New Roman"/>
                      <w:kern w:val="2"/>
                      <w:sz w:val="21"/>
                      <w:szCs w:val="21"/>
                      <w:highlight w:val="none"/>
                      <w:vertAlign w:val="subscript"/>
                      <w:lang w:val="en-US" w:eastAsia="zh-CN"/>
                    </w:rPr>
                    <w:t>2</w:t>
                  </w:r>
                  <w:r>
                    <w:rPr>
                      <w:rFonts w:hint="eastAsia" w:ascii="Times New Roman" w:hAnsi="Times New Roman"/>
                      <w:kern w:val="2"/>
                      <w:sz w:val="21"/>
                      <w:szCs w:val="21"/>
                      <w:highlight w:val="none"/>
                      <w:lang w:val="en-US" w:eastAsia="zh-CN"/>
                    </w:rPr>
                    <w:t>H</w:t>
                  </w:r>
                  <w:r>
                    <w:rPr>
                      <w:rFonts w:hint="eastAsia" w:ascii="Times New Roman" w:hAnsi="Times New Roman"/>
                      <w:kern w:val="2"/>
                      <w:sz w:val="21"/>
                      <w:szCs w:val="21"/>
                      <w:highlight w:val="none"/>
                      <w:vertAlign w:val="subscript"/>
                      <w:lang w:val="en-US" w:eastAsia="zh-CN"/>
                    </w:rPr>
                    <w:t>6</w:t>
                  </w:r>
                  <w:r>
                    <w:rPr>
                      <w:rFonts w:hint="eastAsia" w:ascii="Times New Roman" w:hAnsi="Times New Roman"/>
                      <w:kern w:val="2"/>
                      <w:sz w:val="21"/>
                      <w:szCs w:val="21"/>
                      <w:highlight w:val="none"/>
                      <w:lang w:val="en-US" w:eastAsia="zh-CN"/>
                    </w:rPr>
                    <w:t>OSi)n，无色无味，密度为1g/mL  at  20℃，熔点为-35℃，可用作润滑油、防振油、绝缘油、消泡剂、脱模剂。</w:t>
                  </w:r>
                </w:p>
              </w:tc>
            </w:tr>
          </w:tbl>
          <w:p>
            <w:pPr>
              <w:pStyle w:val="330"/>
              <w:rPr>
                <w:rFonts w:hAnsi="Times New Roman"/>
              </w:rPr>
            </w:pPr>
            <w:r>
              <w:t>（</w:t>
            </w:r>
            <w:r>
              <w:rPr>
                <w:rFonts w:hAnsi="Times New Roman"/>
              </w:rPr>
              <w:t>3</w:t>
            </w:r>
            <w:r>
              <w:t>）水平衡</w:t>
            </w:r>
          </w:p>
          <w:p>
            <w:pPr>
              <w:pStyle w:val="39"/>
              <w:spacing w:line="500" w:lineRule="exact"/>
              <w:ind w:firstLine="480"/>
            </w:pPr>
            <w:r>
              <w:rPr>
                <w:rFonts w:hAnsi="宋体"/>
                <w:b w:val="0"/>
                <w:bCs w:val="0"/>
              </w:rPr>
              <w:t>项目水平衡图见图</w:t>
            </w:r>
            <w:r>
              <w:rPr>
                <w:b w:val="0"/>
                <w:bCs w:val="0"/>
              </w:rPr>
              <w:t>2.1-</w:t>
            </w:r>
            <w:r>
              <w:rPr>
                <w:rFonts w:hint="eastAsia"/>
                <w:b w:val="0"/>
                <w:bCs w:val="0"/>
                <w:lang w:val="en-US" w:eastAsia="zh-CN"/>
              </w:rPr>
              <w:t>1</w:t>
            </w:r>
            <w:r>
              <w:rPr>
                <w:rFonts w:hAnsi="宋体"/>
                <w:b w:val="0"/>
                <w:bCs w:val="0"/>
              </w:rPr>
              <w:t>。</w:t>
            </w:r>
          </w:p>
          <w:p>
            <w:pPr>
              <w:pStyle w:val="39"/>
              <w:tabs>
                <w:tab w:val="left" w:pos="345"/>
                <w:tab w:val="center" w:pos="4281"/>
              </w:tabs>
              <w:spacing w:line="240" w:lineRule="auto"/>
              <w:ind w:firstLine="0" w:firstLineChars="0"/>
              <w:jc w:val="center"/>
            </w:pPr>
            <w:r>
              <w:object>
                <v:shape id="_x0000_i1025" o:spt="75" type="#_x0000_t75" style="height:173.9pt;width:402.2pt;" o:ole="t" filled="f" o:preferrelative="t" stroked="f" coordsize="21600,21600">
                  <v:path/>
                  <v:fill on="f" focussize="0,0"/>
                  <v:stroke on="f"/>
                  <v:imagedata r:id="rId27" o:title=""/>
                  <o:lock v:ext="edit" aspectratio="f"/>
                  <w10:wrap type="none"/>
                  <w10:anchorlock/>
                </v:shape>
                <o:OLEObject Type="Embed" ProgID="Visio.Drawing.11" ShapeID="_x0000_i1025" DrawAspect="Content" ObjectID="_1468075725" r:id="rId26">
                  <o:LockedField>false</o:LockedField>
                </o:OLEObject>
              </w:object>
            </w:r>
          </w:p>
          <w:p>
            <w:pPr>
              <w:pStyle w:val="2"/>
              <w:keepNext/>
              <w:pageBreakBefore w:val="0"/>
              <w:snapToGrid/>
              <w:spacing w:line="460" w:lineRule="exact"/>
              <w:jc w:val="center"/>
              <w:rPr>
                <w:bCs/>
                <w:color w:val="auto"/>
              </w:rPr>
            </w:pPr>
            <w:r>
              <w:rPr>
                <w:rFonts w:hAnsi="宋体"/>
                <w:color w:val="auto"/>
                <w:sz w:val="21"/>
                <w:szCs w:val="21"/>
              </w:rPr>
              <w:t>图</w:t>
            </w:r>
            <w:r>
              <w:rPr>
                <w:color w:val="auto"/>
                <w:sz w:val="21"/>
                <w:szCs w:val="21"/>
              </w:rPr>
              <w:t xml:space="preserve">2.1-1  </w:t>
            </w:r>
            <w:r>
              <w:rPr>
                <w:rFonts w:hAnsi="宋体"/>
                <w:color w:val="auto"/>
                <w:sz w:val="21"/>
                <w:szCs w:val="21"/>
              </w:rPr>
              <w:t>水平衡图</w:t>
            </w:r>
          </w:p>
          <w:p>
            <w:pPr>
              <w:pStyle w:val="5"/>
              <w:spacing w:line="500" w:lineRule="exact"/>
              <w:ind w:firstLine="0" w:firstLineChars="0"/>
              <w:rPr>
                <w:b/>
                <w:bCs/>
              </w:rPr>
            </w:pPr>
            <w:r>
              <w:rPr>
                <w:b/>
                <w:bCs/>
              </w:rPr>
              <w:t>2.1.5</w:t>
            </w:r>
            <w:r>
              <w:rPr>
                <w:rFonts w:hAnsi="宋体"/>
                <w:b/>
                <w:bCs/>
              </w:rPr>
              <w:t>劳动定员及工作制度</w:t>
            </w:r>
          </w:p>
          <w:p>
            <w:pPr>
              <w:spacing w:line="500" w:lineRule="exact"/>
              <w:ind w:firstLine="480" w:firstLineChars="200"/>
              <w:rPr>
                <w:b/>
                <w:bCs/>
              </w:rPr>
            </w:pPr>
            <w:r>
              <w:rPr>
                <w:rFonts w:hAnsi="宋体"/>
                <w:sz w:val="24"/>
              </w:rPr>
              <w:t>企业</w:t>
            </w:r>
            <w:r>
              <w:rPr>
                <w:rFonts w:hint="eastAsia" w:hAnsi="宋体"/>
                <w:sz w:val="24"/>
                <w:lang w:eastAsia="zh-CN"/>
              </w:rPr>
              <w:t>不新增</w:t>
            </w:r>
            <w:r>
              <w:rPr>
                <w:rFonts w:hAnsi="宋体"/>
                <w:sz w:val="24"/>
              </w:rPr>
              <w:t>员工，项目生产实行三班制生产，年生产天数</w:t>
            </w:r>
            <w:r>
              <w:rPr>
                <w:sz w:val="24"/>
              </w:rPr>
              <w:t>3</w:t>
            </w:r>
            <w:r>
              <w:rPr>
                <w:rFonts w:hint="eastAsia"/>
                <w:sz w:val="24"/>
                <w:lang w:val="en-US" w:eastAsia="zh-CN"/>
              </w:rPr>
              <w:t>0</w:t>
            </w:r>
            <w:r>
              <w:rPr>
                <w:sz w:val="24"/>
              </w:rPr>
              <w:t>0d</w:t>
            </w:r>
            <w:r>
              <w:rPr>
                <w:rFonts w:hAnsi="宋体"/>
                <w:sz w:val="24"/>
              </w:rPr>
              <w:t>，不设</w:t>
            </w:r>
            <w:r>
              <w:rPr>
                <w:rFonts w:hint="eastAsia" w:hAnsi="宋体"/>
                <w:sz w:val="24"/>
                <w:lang w:eastAsia="zh-CN"/>
              </w:rPr>
              <w:t>食宿</w:t>
            </w:r>
            <w:r>
              <w:rPr>
                <w:rFonts w:hAnsi="宋体"/>
                <w:sz w:val="24"/>
              </w:rPr>
              <w:t>。</w:t>
            </w:r>
          </w:p>
          <w:p>
            <w:pPr>
              <w:pStyle w:val="5"/>
              <w:spacing w:line="500" w:lineRule="exact"/>
              <w:ind w:firstLine="0" w:firstLineChars="0"/>
              <w:rPr>
                <w:b/>
                <w:bCs/>
              </w:rPr>
            </w:pPr>
            <w:r>
              <w:rPr>
                <w:b/>
                <w:bCs/>
              </w:rPr>
              <w:t>2.2</w:t>
            </w:r>
            <w:r>
              <w:rPr>
                <w:rFonts w:hAnsi="宋体"/>
                <w:b/>
                <w:bCs/>
              </w:rPr>
              <w:t>平面布置及合理性分析</w:t>
            </w:r>
          </w:p>
          <w:p>
            <w:pPr>
              <w:spacing w:line="500" w:lineRule="exact"/>
              <w:ind w:firstLine="480"/>
              <w:contextualSpacing/>
              <w:rPr>
                <w:rFonts w:hint="eastAsia" w:hAnsi="宋体"/>
                <w:sz w:val="24"/>
              </w:rPr>
            </w:pPr>
            <w:r>
              <w:rPr>
                <w:rFonts w:hint="eastAsia" w:hAnsi="宋体"/>
                <w:sz w:val="24"/>
                <w:lang w:eastAsia="zh-CN"/>
              </w:rPr>
              <w:t>长兴钱宇纺织有限公司</w:t>
            </w:r>
            <w:r>
              <w:rPr>
                <w:rFonts w:hAnsi="宋体"/>
                <w:sz w:val="24"/>
              </w:rPr>
              <w:t>选址于</w:t>
            </w:r>
            <w:r>
              <w:rPr>
                <w:rFonts w:hint="eastAsia" w:hAnsi="宋体"/>
                <w:sz w:val="24"/>
                <w:lang w:eastAsia="zh-CN"/>
              </w:rPr>
              <w:t xml:space="preserve">浙江省长兴县虹星桥镇工业集中区 </w:t>
            </w:r>
            <w:r>
              <w:rPr>
                <w:rFonts w:hAnsi="宋体"/>
                <w:sz w:val="24"/>
              </w:rPr>
              <w:t>。本</w:t>
            </w:r>
            <w:r>
              <w:rPr>
                <w:rFonts w:hint="eastAsia" w:hAnsi="宋体"/>
                <w:sz w:val="24"/>
              </w:rPr>
              <w:t>利用存</w:t>
            </w:r>
          </w:p>
          <w:p>
            <w:pPr>
              <w:spacing w:line="500" w:lineRule="exact"/>
              <w:contextualSpacing/>
              <w:rPr>
                <w:bCs/>
                <w:sz w:val="24"/>
              </w:rPr>
            </w:pPr>
            <w:r>
              <w:rPr>
                <w:rFonts w:hint="eastAsia" w:hAnsi="宋体"/>
                <w:sz w:val="24"/>
              </w:rPr>
              <w:t>量用地21亩，对厂区实施“低改高”，新建厂房2.1万平方米</w:t>
            </w:r>
            <w:r>
              <w:rPr>
                <w:rFonts w:hAnsi="宋体"/>
                <w:sz w:val="24"/>
              </w:rPr>
              <w:t>，其厂区内构筑物主要为办公楼、生产厂房、配电房以及门卫室</w:t>
            </w:r>
            <w:r>
              <w:rPr>
                <w:rFonts w:hAnsi="宋体"/>
                <w:bCs/>
                <w:sz w:val="24"/>
              </w:rPr>
              <w:t>。</w:t>
            </w:r>
            <w:r>
              <w:rPr>
                <w:rFonts w:hint="eastAsia" w:hAnsi="宋体"/>
                <w:bCs/>
                <w:sz w:val="24"/>
              </w:rPr>
              <w:t>织造车间和加弹车间位置位于厂区中部，共布置345台喷水织机和2台加弹机；整浆并车间位于厂区东南角，布置2条整浆并生产线。</w:t>
            </w:r>
            <w:r>
              <w:rPr>
                <w:rFonts w:hAnsi="宋体"/>
                <w:bCs/>
                <w:sz w:val="24"/>
              </w:rPr>
              <w:t>危废仓库</w:t>
            </w:r>
            <w:r>
              <w:rPr>
                <w:rFonts w:hint="eastAsia" w:hAnsi="宋体"/>
                <w:bCs/>
                <w:sz w:val="24"/>
                <w:lang w:eastAsia="zh-CN"/>
              </w:rPr>
              <w:t>和一般固废仓库均</w:t>
            </w:r>
            <w:r>
              <w:rPr>
                <w:rFonts w:hAnsi="宋体"/>
                <w:bCs/>
                <w:sz w:val="24"/>
              </w:rPr>
              <w:t>位于厂区内</w:t>
            </w:r>
            <w:r>
              <w:rPr>
                <w:rFonts w:hint="eastAsia" w:hAnsi="宋体"/>
                <w:bCs/>
                <w:sz w:val="24"/>
                <w:lang w:eastAsia="zh-CN"/>
              </w:rPr>
              <w:t>西</w:t>
            </w:r>
            <w:r>
              <w:rPr>
                <w:rFonts w:hAnsi="宋体"/>
                <w:bCs/>
                <w:sz w:val="24"/>
              </w:rPr>
              <w:t>南</w:t>
            </w:r>
            <w:r>
              <w:rPr>
                <w:rFonts w:hint="eastAsia" w:hAnsi="宋体"/>
                <w:bCs/>
                <w:sz w:val="24"/>
                <w:lang w:eastAsia="zh-CN"/>
              </w:rPr>
              <w:t>侧。</w:t>
            </w:r>
          </w:p>
          <w:p>
            <w:pPr>
              <w:spacing w:line="500" w:lineRule="exact"/>
              <w:ind w:firstLine="480"/>
              <w:contextualSpacing/>
              <w:rPr>
                <w:color w:val="FF0000"/>
                <w:sz w:val="24"/>
                <w:szCs w:val="22"/>
              </w:rPr>
            </w:pPr>
            <w:r>
              <w:rPr>
                <w:rFonts w:hAnsi="宋体"/>
                <w:sz w:val="24"/>
                <w:szCs w:val="22"/>
              </w:rPr>
              <w:t>项目生产区相对密闭，隔声效果较好，整个厂区内布局按照工艺流程的前后顺序排列，企业项目生产加工区主要位于厂区内中部及</w:t>
            </w:r>
            <w:r>
              <w:rPr>
                <w:rFonts w:hint="eastAsia" w:hAnsi="宋体"/>
                <w:sz w:val="24"/>
                <w:szCs w:val="22"/>
                <w:lang w:eastAsia="zh-CN"/>
              </w:rPr>
              <w:t>东南</w:t>
            </w:r>
            <w:r>
              <w:rPr>
                <w:rFonts w:hAnsi="宋体"/>
                <w:sz w:val="24"/>
                <w:szCs w:val="22"/>
              </w:rPr>
              <w:t>侧，相对各个生产环节之间紧密衔接，功能分区明确，有效提高生产效率。</w:t>
            </w:r>
          </w:p>
          <w:p>
            <w:pPr>
              <w:adjustRightInd w:val="0"/>
              <w:snapToGrid w:val="0"/>
              <w:spacing w:line="500" w:lineRule="exact"/>
              <w:ind w:firstLine="480" w:firstLineChars="200"/>
              <w:jc w:val="left"/>
              <w:rPr>
                <w:sz w:val="24"/>
                <w:szCs w:val="22"/>
              </w:rPr>
            </w:pPr>
            <w:r>
              <w:rPr>
                <w:rFonts w:hAnsi="宋体"/>
                <w:sz w:val="24"/>
                <w:szCs w:val="22"/>
              </w:rPr>
              <w:t>因此，评价认为项目厂区平面布置合理可行。具体见图</w:t>
            </w:r>
            <w:r>
              <w:rPr>
                <w:sz w:val="24"/>
                <w:szCs w:val="22"/>
              </w:rPr>
              <w:t>2.2-</w:t>
            </w:r>
            <w:r>
              <w:rPr>
                <w:rFonts w:hint="eastAsia"/>
                <w:sz w:val="24"/>
                <w:szCs w:val="22"/>
                <w:lang w:val="en-US" w:eastAsia="zh-CN"/>
              </w:rPr>
              <w:t>2</w:t>
            </w:r>
            <w:r>
              <w:rPr>
                <w:rFonts w:hAnsi="宋体"/>
                <w:sz w:val="24"/>
                <w:szCs w:val="22"/>
              </w:rPr>
              <w:t>。</w:t>
            </w:r>
          </w:p>
          <w:p>
            <w:pPr>
              <w:pStyle w:val="49"/>
              <w:ind w:left="0" w:leftChars="0" w:firstLine="0" w:firstLineChars="0"/>
              <w:jc w:val="center"/>
              <w:rPr>
                <w:rFonts w:eastAsia="宋体"/>
                <w:szCs w:val="22"/>
              </w:rPr>
            </w:pPr>
            <w:r>
              <w:drawing>
                <wp:inline distT="0" distB="0" distL="114300" distR="114300">
                  <wp:extent cx="5229860" cy="2922270"/>
                  <wp:effectExtent l="0" t="0" r="12700" b="381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8"/>
                          <a:stretch>
                            <a:fillRect/>
                          </a:stretch>
                        </pic:blipFill>
                        <pic:spPr>
                          <a:xfrm>
                            <a:off x="0" y="0"/>
                            <a:ext cx="5229860" cy="2922270"/>
                          </a:xfrm>
                          <a:prstGeom prst="rect">
                            <a:avLst/>
                          </a:prstGeom>
                          <a:noFill/>
                          <a:ln>
                            <a:noFill/>
                          </a:ln>
                        </pic:spPr>
                      </pic:pic>
                    </a:graphicData>
                  </a:graphic>
                </wp:inline>
              </w:drawing>
            </w:r>
          </w:p>
          <w:p>
            <w:pPr>
              <w:adjustRightInd w:val="0"/>
              <w:snapToGrid w:val="0"/>
              <w:spacing w:line="500" w:lineRule="exact"/>
              <w:jc w:val="center"/>
              <w:rPr>
                <w:rFonts w:hAnsi="宋体"/>
                <w:b/>
                <w:szCs w:val="21"/>
              </w:rPr>
            </w:pPr>
            <w:r>
              <w:rPr>
                <w:rFonts w:hAnsi="宋体"/>
                <w:b/>
                <w:szCs w:val="21"/>
              </w:rPr>
              <w:t>图</w:t>
            </w:r>
            <w:r>
              <w:rPr>
                <w:b/>
                <w:szCs w:val="21"/>
              </w:rPr>
              <w:t>2.2-</w:t>
            </w:r>
            <w:r>
              <w:rPr>
                <w:rFonts w:hint="eastAsia"/>
                <w:b/>
                <w:szCs w:val="21"/>
                <w:lang w:val="en-US" w:eastAsia="zh-CN"/>
              </w:rPr>
              <w:t>2</w:t>
            </w:r>
            <w:r>
              <w:rPr>
                <w:b/>
                <w:szCs w:val="21"/>
              </w:rPr>
              <w:t xml:space="preserve">  </w:t>
            </w:r>
            <w:r>
              <w:rPr>
                <w:rFonts w:hAnsi="宋体"/>
                <w:b/>
                <w:szCs w:val="21"/>
              </w:rPr>
              <w:t>厂区平面布置图</w:t>
            </w:r>
          </w:p>
          <w:p>
            <w:pPr>
              <w:pStyle w:val="49"/>
              <w:rPr>
                <w:rFonts w:eastAsia="宋体"/>
                <w:szCs w:val="22"/>
              </w:rPr>
            </w:pPr>
          </w:p>
          <w:p>
            <w:pPr>
              <w:pStyle w:val="49"/>
              <w:rPr>
                <w:rFonts w:eastAsia="宋体"/>
                <w:szCs w:val="22"/>
              </w:rPr>
            </w:pPr>
          </w:p>
          <w:p>
            <w:pPr>
              <w:pStyle w:val="49"/>
              <w:rPr>
                <w:rFonts w:eastAsia="宋体"/>
                <w:szCs w:val="22"/>
              </w:rPr>
            </w:pPr>
          </w:p>
          <w:p>
            <w:pPr>
              <w:pStyle w:val="49"/>
              <w:rPr>
                <w:rFonts w:eastAsia="宋体"/>
                <w:szCs w:val="22"/>
              </w:rPr>
            </w:pPr>
          </w:p>
          <w:p>
            <w:pPr>
              <w:pStyle w:val="49"/>
              <w:rPr>
                <w:rFonts w:eastAsia="宋体"/>
                <w:szCs w:val="22"/>
              </w:rPr>
            </w:pPr>
          </w:p>
          <w:p>
            <w:pPr>
              <w:pStyle w:val="49"/>
              <w:rPr>
                <w:rFonts w:eastAsia="宋体"/>
                <w:szCs w:val="22"/>
              </w:rPr>
            </w:pPr>
          </w:p>
          <w:p>
            <w:pPr>
              <w:pStyle w:val="49"/>
              <w:rPr>
                <w:rFonts w:eastAsia="宋体"/>
                <w:szCs w:val="22"/>
              </w:rPr>
            </w:pPr>
          </w:p>
          <w:p>
            <w:pPr>
              <w:pStyle w:val="49"/>
              <w:rPr>
                <w:rFonts w:eastAsia="宋体"/>
                <w:szCs w:val="22"/>
              </w:rPr>
            </w:pPr>
          </w:p>
          <w:p>
            <w:pPr>
              <w:pStyle w:val="49"/>
              <w:rPr>
                <w:rFonts w:eastAsia="宋体"/>
                <w:szCs w:val="22"/>
              </w:rPr>
            </w:pPr>
          </w:p>
          <w:p>
            <w:pPr>
              <w:adjustRightInd w:val="0"/>
              <w:snapToGrid w:val="0"/>
              <w:spacing w:line="500" w:lineRule="exact"/>
              <w:jc w:val="both"/>
              <w:rPr>
                <w:rFonts w:hint="eastAsia" w:eastAsia="宋体"/>
                <w:b/>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2" w:hRule="atLeast"/>
          <w:jc w:val="center"/>
        </w:trPr>
        <w:tc>
          <w:tcPr>
            <w:tcW w:w="412" w:type="dxa"/>
            <w:noWrap/>
            <w:tcMar>
              <w:top w:w="0" w:type="dxa"/>
              <w:left w:w="108" w:type="dxa"/>
              <w:bottom w:w="0" w:type="dxa"/>
              <w:right w:w="108" w:type="dxa"/>
            </w:tcMar>
            <w:vAlign w:val="center"/>
          </w:tcPr>
          <w:p>
            <w:pPr>
              <w:widowControl/>
              <w:wordWrap w:val="0"/>
              <w:jc w:val="center"/>
              <w:rPr>
                <w:b w:val="0"/>
                <w:bCs w:val="0"/>
                <w:kern w:val="0"/>
                <w:sz w:val="21"/>
                <w:szCs w:val="21"/>
              </w:rPr>
            </w:pPr>
            <w:r>
              <w:rPr>
                <w:rFonts w:hAnsi="宋体"/>
                <w:b w:val="0"/>
                <w:bCs w:val="0"/>
                <w:kern w:val="0"/>
                <w:sz w:val="21"/>
                <w:szCs w:val="21"/>
              </w:rPr>
              <w:t>工艺流程和产排污环节</w:t>
            </w:r>
          </w:p>
        </w:tc>
        <w:tc>
          <w:tcPr>
            <w:tcW w:w="8659" w:type="dxa"/>
            <w:noWrap/>
            <w:tcMar>
              <w:top w:w="0" w:type="dxa"/>
              <w:left w:w="108" w:type="dxa"/>
              <w:bottom w:w="0" w:type="dxa"/>
              <w:right w:w="108" w:type="dxa"/>
            </w:tcMar>
            <w:vAlign w:val="center"/>
          </w:tcPr>
          <w:p>
            <w:pPr>
              <w:pStyle w:val="5"/>
              <w:spacing w:line="500" w:lineRule="exact"/>
              <w:ind w:firstLine="0" w:firstLineChars="0"/>
              <w:rPr>
                <w:szCs w:val="22"/>
              </w:rPr>
            </w:pPr>
            <w:r>
              <w:rPr>
                <w:b/>
                <w:bCs/>
              </w:rPr>
              <w:t>2.3</w:t>
            </w:r>
            <w:r>
              <w:rPr>
                <w:rFonts w:hAnsi="宋体"/>
                <w:b/>
                <w:bCs/>
              </w:rPr>
              <w:t>工艺流程简述</w:t>
            </w:r>
          </w:p>
          <w:p>
            <w:pPr>
              <w:adjustRightInd w:val="0"/>
              <w:snapToGrid w:val="0"/>
              <w:spacing w:line="500" w:lineRule="exact"/>
              <w:rPr>
                <w:color w:val="auto"/>
                <w:szCs w:val="22"/>
              </w:rPr>
            </w:pPr>
            <w:r>
              <w:rPr>
                <w:b/>
                <w:color w:val="auto"/>
                <w:sz w:val="24"/>
              </w:rPr>
              <w:t>2.3.</w:t>
            </w:r>
            <w:r>
              <w:rPr>
                <w:rFonts w:hint="eastAsia"/>
                <w:b/>
                <w:color w:val="auto"/>
                <w:sz w:val="24"/>
                <w:lang w:val="en-US" w:eastAsia="zh-CN"/>
              </w:rPr>
              <w:t>1</w:t>
            </w:r>
            <w:r>
              <w:rPr>
                <w:rFonts w:hAnsi="宋体"/>
                <w:b/>
                <w:color w:val="auto"/>
                <w:sz w:val="24"/>
              </w:rPr>
              <w:t>营运期工艺流程</w:t>
            </w:r>
          </w:p>
          <w:p>
            <w:pPr>
              <w:pStyle w:val="39"/>
              <w:adjustRightInd w:val="0"/>
              <w:snapToGrid w:val="0"/>
              <w:spacing w:line="500" w:lineRule="exact"/>
              <w:ind w:firstLine="480"/>
              <w:rPr>
                <w:rFonts w:hint="default" w:hAnsi="宋体" w:eastAsia="宋体"/>
                <w:b w:val="0"/>
                <w:bCs w:val="0"/>
                <w:sz w:val="24"/>
                <w:szCs w:val="24"/>
                <w:lang w:val="en-US" w:eastAsia="zh-CN"/>
              </w:rPr>
            </w:pPr>
            <w:r>
              <w:rPr>
                <w:rFonts w:hint="eastAsia" w:hAnsi="宋体"/>
                <w:b w:val="0"/>
                <w:bCs w:val="0"/>
                <w:sz w:val="24"/>
                <w:szCs w:val="24"/>
                <w:lang w:eastAsia="zh-CN"/>
              </w:rPr>
              <w:t>本项目高档纺织面料生产主要采用两种工艺，加弹工艺后喷水织造、或整浆并后喷水织造，加弹和整浆并两种工艺不同时进行。具体见图</w:t>
            </w:r>
            <w:r>
              <w:rPr>
                <w:rFonts w:hint="eastAsia" w:hAnsi="宋体"/>
                <w:b w:val="0"/>
                <w:bCs w:val="0"/>
                <w:sz w:val="24"/>
                <w:szCs w:val="24"/>
                <w:lang w:val="en-US" w:eastAsia="zh-CN"/>
              </w:rPr>
              <w:t>2.3-1~2.3-2。</w:t>
            </w:r>
          </w:p>
          <w:p>
            <w:pPr>
              <w:pStyle w:val="39"/>
              <w:adjustRightInd w:val="0"/>
              <w:snapToGrid w:val="0"/>
              <w:spacing w:line="500" w:lineRule="exact"/>
              <w:ind w:firstLine="480"/>
              <w:rPr>
                <w:b w:val="0"/>
                <w:bCs w:val="0"/>
                <w:sz w:val="24"/>
                <w:szCs w:val="24"/>
              </w:rPr>
            </w:pPr>
            <w:r>
              <w:rPr>
                <w:rFonts w:hAnsi="宋体"/>
                <w:b w:val="0"/>
                <w:bCs w:val="0"/>
                <w:sz w:val="24"/>
                <w:szCs w:val="24"/>
              </w:rPr>
              <w:t>（</w:t>
            </w:r>
            <w:r>
              <w:rPr>
                <w:b w:val="0"/>
                <w:bCs w:val="0"/>
                <w:sz w:val="24"/>
                <w:szCs w:val="24"/>
              </w:rPr>
              <w:t>1</w:t>
            </w:r>
            <w:r>
              <w:rPr>
                <w:rFonts w:hAnsi="宋体"/>
                <w:b w:val="0"/>
                <w:bCs w:val="0"/>
                <w:sz w:val="24"/>
                <w:szCs w:val="24"/>
              </w:rPr>
              <w:t>）</w:t>
            </w:r>
            <w:r>
              <w:rPr>
                <w:rFonts w:hint="eastAsia" w:hAnsi="宋体"/>
                <w:b w:val="0"/>
                <w:bCs w:val="0"/>
                <w:sz w:val="24"/>
                <w:szCs w:val="24"/>
              </w:rPr>
              <w:t>高档纺织面料</w:t>
            </w:r>
            <w:r>
              <w:rPr>
                <w:rFonts w:hAnsi="宋体"/>
                <w:b w:val="0"/>
                <w:bCs w:val="0"/>
                <w:sz w:val="24"/>
                <w:szCs w:val="24"/>
              </w:rPr>
              <w:t>生产工艺</w:t>
            </w:r>
          </w:p>
          <w:p>
            <w:pPr>
              <w:pStyle w:val="3"/>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pPr>
            <w:r>
              <w:object>
                <v:shape id="_x0000_i1026" o:spt="75" type="#_x0000_t75" style="height:405.6pt;width:331.8pt;" o:ole="t" filled="f" o:preferrelative="t" stroked="f" coordsize="21600,21600">
                  <v:path/>
                  <v:fill on="f" focussize="0,0"/>
                  <v:stroke on="f"/>
                  <v:imagedata r:id="rId30" o:title=""/>
                  <o:lock v:ext="edit" aspectratio="f"/>
                  <w10:wrap type="none"/>
                  <w10:anchorlock/>
                </v:shape>
                <o:OLEObject Type="Embed" ProgID="Visio.Drawing.11" ShapeID="_x0000_i1026" DrawAspect="Content" ObjectID="_1468075726" r:id="rId29">
                  <o:LockedField>false</o:LockedField>
                </o:OLEObject>
              </w:object>
            </w:r>
          </w:p>
          <w:p>
            <w:pPr>
              <w:pStyle w:val="3"/>
              <w:spacing w:line="460" w:lineRule="exact"/>
              <w:ind w:firstLine="0"/>
              <w:jc w:val="center"/>
              <w:outlineLvl w:val="3"/>
              <w:rPr>
                <w:rFonts w:hAnsi="宋体"/>
                <w:b/>
                <w:bCs/>
                <w:spacing w:val="-4"/>
                <w:szCs w:val="21"/>
              </w:rPr>
            </w:pPr>
            <w:r>
              <w:rPr>
                <w:rFonts w:hAnsi="宋体"/>
                <w:b/>
                <w:bCs/>
                <w:spacing w:val="-4"/>
                <w:szCs w:val="21"/>
              </w:rPr>
              <w:t>图</w:t>
            </w:r>
            <w:r>
              <w:rPr>
                <w:b/>
                <w:bCs/>
                <w:spacing w:val="-4"/>
                <w:szCs w:val="21"/>
              </w:rPr>
              <w:t xml:space="preserve">2.3-1  </w:t>
            </w:r>
            <w:r>
              <w:rPr>
                <w:rFonts w:hint="eastAsia"/>
                <w:b/>
                <w:bCs/>
                <w:spacing w:val="-4"/>
                <w:szCs w:val="21"/>
                <w:lang w:eastAsia="zh-CN"/>
              </w:rPr>
              <w:t>高档纺织面料</w:t>
            </w:r>
            <w:r>
              <w:rPr>
                <w:rFonts w:hAnsi="宋体"/>
                <w:b/>
                <w:bCs/>
                <w:spacing w:val="-4"/>
                <w:szCs w:val="21"/>
              </w:rPr>
              <w:t>生产工艺流程及产污环节示意图（</w:t>
            </w:r>
            <w:r>
              <w:rPr>
                <w:rFonts w:hint="eastAsia" w:hAnsi="宋体"/>
                <w:b/>
                <w:bCs/>
                <w:spacing w:val="-4"/>
                <w:szCs w:val="21"/>
                <w:lang w:eastAsia="zh-CN"/>
              </w:rPr>
              <w:t>加弹</w:t>
            </w:r>
            <w:r>
              <w:rPr>
                <w:rFonts w:hint="eastAsia" w:hAnsi="宋体"/>
                <w:b/>
                <w:bCs/>
                <w:spacing w:val="-4"/>
                <w:szCs w:val="21"/>
                <w:lang w:val="en-US" w:eastAsia="zh-CN"/>
              </w:rPr>
              <w:t>+喷水织造</w:t>
            </w:r>
            <w:r>
              <w:rPr>
                <w:rFonts w:hAnsi="宋体"/>
                <w:b/>
                <w:bCs/>
                <w:spacing w:val="-4"/>
                <w:szCs w:val="21"/>
              </w:rPr>
              <w:t>）</w:t>
            </w:r>
          </w:p>
          <w:p>
            <w:pPr>
              <w:pStyle w:val="3"/>
              <w:spacing w:line="500" w:lineRule="exact"/>
              <w:ind w:left="0" w:leftChars="0" w:firstLine="0" w:firstLineChars="0"/>
              <w:jc w:val="left"/>
              <w:rPr>
                <w:b/>
                <w:bCs/>
                <w:sz w:val="24"/>
              </w:rPr>
            </w:pPr>
            <w:r>
              <w:rPr>
                <w:rFonts w:hAnsi="宋体"/>
                <w:b/>
                <w:bCs/>
                <w:sz w:val="24"/>
              </w:rPr>
              <w:t>生产工艺流程说明：</w:t>
            </w:r>
          </w:p>
          <w:p>
            <w:pPr>
              <w:spacing w:line="460" w:lineRule="exact"/>
              <w:jc w:val="center"/>
              <w:rPr>
                <w:rFonts w:hAnsi="宋体"/>
                <w:b/>
                <w:bCs/>
                <w:szCs w:val="21"/>
              </w:rPr>
            </w:pPr>
          </w:p>
          <w:p>
            <w:pPr>
              <w:spacing w:line="460" w:lineRule="exact"/>
              <w:jc w:val="center"/>
              <w:rPr>
                <w:rFonts w:hAnsi="宋体"/>
                <w:b/>
                <w:bCs/>
                <w:szCs w:val="21"/>
              </w:rPr>
            </w:pPr>
          </w:p>
          <w:p>
            <w:pPr>
              <w:spacing w:line="460" w:lineRule="exact"/>
              <w:jc w:val="center"/>
              <w:rPr>
                <w:rFonts w:hAnsi="宋体"/>
                <w:b/>
                <w:bCs/>
                <w:szCs w:val="21"/>
              </w:rPr>
            </w:pPr>
          </w:p>
          <w:p>
            <w:pPr>
              <w:spacing w:line="460" w:lineRule="exact"/>
              <w:jc w:val="center"/>
              <w:rPr>
                <w:rFonts w:hAnsi="宋体"/>
                <w:b/>
                <w:bCs/>
                <w:szCs w:val="21"/>
              </w:rPr>
            </w:pPr>
          </w:p>
          <w:p>
            <w:pPr>
              <w:spacing w:line="460" w:lineRule="exact"/>
              <w:jc w:val="center"/>
              <w:rPr>
                <w:b/>
                <w:bCs/>
                <w:szCs w:val="21"/>
              </w:rPr>
            </w:pPr>
            <w:r>
              <w:rPr>
                <w:rFonts w:hAnsi="宋体"/>
                <w:b/>
                <w:bCs/>
                <w:szCs w:val="21"/>
              </w:rPr>
              <w:t>表</w:t>
            </w:r>
            <w:r>
              <w:rPr>
                <w:b/>
                <w:bCs/>
                <w:szCs w:val="21"/>
              </w:rPr>
              <w:t xml:space="preserve">2.3-1  </w:t>
            </w:r>
            <w:r>
              <w:rPr>
                <w:rFonts w:hint="eastAsia"/>
                <w:b/>
                <w:bCs/>
                <w:spacing w:val="-4"/>
                <w:szCs w:val="21"/>
                <w:lang w:eastAsia="zh-CN"/>
              </w:rPr>
              <w:t>高档纺织面料</w:t>
            </w:r>
            <w:r>
              <w:rPr>
                <w:rFonts w:hint="eastAsia" w:hAnsi="宋体"/>
                <w:b/>
                <w:bCs/>
                <w:color w:val="auto"/>
                <w:szCs w:val="21"/>
                <w:lang w:val="en-US" w:eastAsia="zh-CN"/>
              </w:rPr>
              <w:t>生产</w:t>
            </w:r>
            <w:r>
              <w:rPr>
                <w:rFonts w:hAnsi="宋体"/>
                <w:b/>
                <w:bCs/>
                <w:color w:val="auto"/>
                <w:szCs w:val="21"/>
              </w:rPr>
              <w:t>工艺流程</w:t>
            </w:r>
            <w:r>
              <w:rPr>
                <w:rFonts w:hAnsi="宋体"/>
                <w:b/>
                <w:bCs/>
                <w:szCs w:val="21"/>
              </w:rPr>
              <w:t>说明</w:t>
            </w:r>
          </w:p>
          <w:tbl>
            <w:tblPr>
              <w:tblStyle w:val="40"/>
              <w:tblW w:w="82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47"/>
              <w:gridCol w:w="730"/>
              <w:gridCol w:w="4719"/>
              <w:gridCol w:w="232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7" w:type="dxa"/>
                  <w:vAlign w:val="center"/>
                </w:tcPr>
                <w:p>
                  <w:pPr>
                    <w:adjustRightInd w:val="0"/>
                    <w:snapToGrid w:val="0"/>
                    <w:jc w:val="center"/>
                    <w:rPr>
                      <w:szCs w:val="21"/>
                    </w:rPr>
                  </w:pPr>
                  <w:r>
                    <w:rPr>
                      <w:rFonts w:hAnsi="宋体"/>
                      <w:szCs w:val="21"/>
                    </w:rPr>
                    <w:t>序号</w:t>
                  </w:r>
                </w:p>
              </w:tc>
              <w:tc>
                <w:tcPr>
                  <w:tcW w:w="730" w:type="dxa"/>
                  <w:vAlign w:val="center"/>
                </w:tcPr>
                <w:p>
                  <w:pPr>
                    <w:adjustRightInd w:val="0"/>
                    <w:snapToGrid w:val="0"/>
                    <w:jc w:val="center"/>
                    <w:rPr>
                      <w:szCs w:val="21"/>
                    </w:rPr>
                  </w:pPr>
                  <w:r>
                    <w:rPr>
                      <w:rFonts w:hAnsi="宋体"/>
                      <w:szCs w:val="21"/>
                    </w:rPr>
                    <w:t>工序名称</w:t>
                  </w:r>
                </w:p>
              </w:tc>
              <w:tc>
                <w:tcPr>
                  <w:tcW w:w="4719" w:type="dxa"/>
                  <w:vAlign w:val="center"/>
                </w:tcPr>
                <w:p>
                  <w:pPr>
                    <w:jc w:val="center"/>
                    <w:rPr>
                      <w:szCs w:val="21"/>
                    </w:rPr>
                  </w:pPr>
                  <w:r>
                    <w:rPr>
                      <w:rFonts w:hAnsi="宋体"/>
                      <w:bCs/>
                      <w:szCs w:val="21"/>
                    </w:rPr>
                    <w:t>工艺流程</w:t>
                  </w:r>
                </w:p>
              </w:tc>
              <w:tc>
                <w:tcPr>
                  <w:tcW w:w="2324" w:type="dxa"/>
                  <w:vAlign w:val="center"/>
                </w:tcPr>
                <w:p>
                  <w:pPr>
                    <w:jc w:val="center"/>
                    <w:rPr>
                      <w:szCs w:val="21"/>
                    </w:rPr>
                  </w:pPr>
                  <w:r>
                    <w:rPr>
                      <w:rFonts w:hAnsi="宋体"/>
                      <w:bCs/>
                      <w:szCs w:val="21"/>
                    </w:rPr>
                    <w:t>产污状况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7" w:type="dxa"/>
                  <w:vAlign w:val="center"/>
                </w:tcPr>
                <w:p>
                  <w:pPr>
                    <w:adjustRightInd w:val="0"/>
                    <w:snapToGrid w:val="0"/>
                    <w:jc w:val="center"/>
                    <w:rPr>
                      <w:bCs/>
                      <w:szCs w:val="21"/>
                    </w:rPr>
                  </w:pPr>
                  <w:r>
                    <w:rPr>
                      <w:bCs/>
                      <w:szCs w:val="21"/>
                    </w:rPr>
                    <w:t>1</w:t>
                  </w:r>
                </w:p>
              </w:tc>
              <w:tc>
                <w:tcPr>
                  <w:tcW w:w="730" w:type="dxa"/>
                  <w:vAlign w:val="center"/>
                </w:tcPr>
                <w:p>
                  <w:pPr>
                    <w:adjustRightInd w:val="0"/>
                    <w:snapToGrid w:val="0"/>
                    <w:jc w:val="center"/>
                    <w:rPr>
                      <w:rFonts w:hint="eastAsia" w:eastAsia="宋体"/>
                      <w:szCs w:val="21"/>
                      <w:lang w:eastAsia="zh-CN"/>
                    </w:rPr>
                  </w:pPr>
                  <w:r>
                    <w:rPr>
                      <w:rFonts w:hint="eastAsia"/>
                      <w:szCs w:val="21"/>
                      <w:lang w:eastAsia="zh-CN"/>
                    </w:rPr>
                    <w:t>加弹</w:t>
                  </w:r>
                </w:p>
              </w:tc>
              <w:tc>
                <w:tcPr>
                  <w:tcW w:w="4719" w:type="dxa"/>
                  <w:vAlign w:val="center"/>
                </w:tcPr>
                <w:p>
                  <w:pPr>
                    <w:adjustRightInd w:val="0"/>
                    <w:snapToGrid w:val="0"/>
                    <w:jc w:val="both"/>
                    <w:rPr>
                      <w:rFonts w:hint="eastAsia" w:eastAsia="宋体"/>
                      <w:szCs w:val="21"/>
                      <w:lang w:eastAsia="zh-CN"/>
                    </w:rPr>
                  </w:pPr>
                  <w:r>
                    <w:rPr>
                      <w:rFonts w:hint="eastAsia"/>
                      <w:szCs w:val="21"/>
                      <w:lang w:eastAsia="zh-CN"/>
                    </w:rPr>
                    <w:t>加弹通过</w:t>
                  </w:r>
                  <w:r>
                    <w:rPr>
                      <w:rFonts w:hint="eastAsia"/>
                      <w:szCs w:val="21"/>
                    </w:rPr>
                    <w:t>加热器（电加热，180℃）作用下，加热丝条，降低拉伸变形应力，</w:t>
                  </w:r>
                  <w:r>
                    <w:rPr>
                      <w:rFonts w:hint="eastAsia"/>
                      <w:szCs w:val="21"/>
                      <w:lang w:eastAsia="zh-CN"/>
                    </w:rPr>
                    <w:t>将</w:t>
                  </w:r>
                  <w:r>
                    <w:rPr>
                      <w:rFonts w:hint="eastAsia"/>
                      <w:szCs w:val="21"/>
                    </w:rPr>
                    <w:t>化纤丝的卷曲性和膨松性提高，加热后的原料化纤丝自然冷却，为加强弹性，将一根原料化纤丝向同一方向捻回变形，然后在通过拉伸进入上油辊，并通过油槽给低弹丝加上适当油剂</w:t>
                  </w:r>
                  <w:r>
                    <w:rPr>
                      <w:rFonts w:hint="eastAsia"/>
                      <w:szCs w:val="21"/>
                      <w:lang w:eastAsia="zh-CN"/>
                    </w:rPr>
                    <w:t>。</w:t>
                  </w:r>
                </w:p>
              </w:tc>
              <w:tc>
                <w:tcPr>
                  <w:tcW w:w="2324" w:type="dxa"/>
                  <w:vAlign w:val="center"/>
                </w:tcPr>
                <w:p>
                  <w:pPr>
                    <w:adjustRightInd w:val="0"/>
                    <w:snapToGrid w:val="0"/>
                    <w:jc w:val="center"/>
                    <w:rPr>
                      <w:rFonts w:hint="default" w:eastAsia="宋体"/>
                      <w:szCs w:val="21"/>
                      <w:lang w:val="en-US" w:eastAsia="zh-CN"/>
                    </w:rPr>
                  </w:pPr>
                  <w:r>
                    <w:rPr>
                      <w:rFonts w:hint="eastAsia"/>
                      <w:szCs w:val="21"/>
                      <w:lang w:val="en-US" w:eastAsia="zh-CN"/>
                    </w:rPr>
                    <w:t>S2废包装材料、G2加弹废气、S10吨桶、S8喷淋废液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7" w:type="dxa"/>
                  <w:vAlign w:val="center"/>
                </w:tcPr>
                <w:p>
                  <w:pPr>
                    <w:adjustRightInd w:val="0"/>
                    <w:snapToGrid w:val="0"/>
                    <w:jc w:val="center"/>
                    <w:rPr>
                      <w:bCs/>
                      <w:szCs w:val="21"/>
                    </w:rPr>
                  </w:pPr>
                  <w:r>
                    <w:rPr>
                      <w:bCs/>
                      <w:szCs w:val="21"/>
                    </w:rPr>
                    <w:t>2</w:t>
                  </w:r>
                </w:p>
              </w:tc>
              <w:tc>
                <w:tcPr>
                  <w:tcW w:w="730" w:type="dxa"/>
                  <w:vAlign w:val="center"/>
                </w:tcPr>
                <w:p>
                  <w:pPr>
                    <w:adjustRightInd w:val="0"/>
                    <w:snapToGrid w:val="0"/>
                    <w:jc w:val="center"/>
                    <w:rPr>
                      <w:rFonts w:hint="eastAsia" w:eastAsia="宋体"/>
                      <w:color w:val="auto"/>
                      <w:szCs w:val="21"/>
                      <w:lang w:eastAsia="zh-CN"/>
                    </w:rPr>
                  </w:pPr>
                  <w:r>
                    <w:rPr>
                      <w:rFonts w:hint="eastAsia"/>
                      <w:color w:val="auto"/>
                      <w:szCs w:val="21"/>
                      <w:lang w:eastAsia="zh-CN"/>
                    </w:rPr>
                    <w:t>整经</w:t>
                  </w:r>
                </w:p>
              </w:tc>
              <w:tc>
                <w:tcPr>
                  <w:tcW w:w="4719" w:type="dxa"/>
                  <w:vAlign w:val="center"/>
                </w:tcPr>
                <w:p>
                  <w:pPr>
                    <w:adjustRightInd w:val="0"/>
                    <w:snapToGrid w:val="0"/>
                    <w:jc w:val="both"/>
                    <w:rPr>
                      <w:rFonts w:hint="eastAsia" w:eastAsia="宋体"/>
                      <w:color w:val="auto"/>
                      <w:szCs w:val="21"/>
                      <w:lang w:eastAsia="zh-CN"/>
                    </w:rPr>
                  </w:pPr>
                  <w:r>
                    <w:rPr>
                      <w:rFonts w:hint="eastAsia" w:eastAsia="宋体"/>
                      <w:color w:val="auto"/>
                      <w:szCs w:val="21"/>
                      <w:lang w:eastAsia="zh-CN"/>
                    </w:rPr>
                    <w:t>整经是将一定根数的</w:t>
                  </w:r>
                  <w:r>
                    <w:rPr>
                      <w:rFonts w:hint="eastAsia"/>
                      <w:color w:val="auto"/>
                      <w:szCs w:val="21"/>
                      <w:lang w:eastAsia="zh-CN"/>
                    </w:rPr>
                    <w:t>化纤丝</w:t>
                  </w:r>
                  <w:r>
                    <w:rPr>
                      <w:rFonts w:hint="eastAsia" w:eastAsia="宋体"/>
                      <w:color w:val="auto"/>
                      <w:szCs w:val="21"/>
                      <w:lang w:eastAsia="zh-CN"/>
                    </w:rPr>
                    <w:t>按规定的长度和宽度平行卷绕在</w:t>
                  </w:r>
                  <w:r>
                    <w:rPr>
                      <w:rFonts w:hint="eastAsia"/>
                      <w:color w:val="auto"/>
                      <w:szCs w:val="21"/>
                      <w:lang w:eastAsia="zh-CN"/>
                    </w:rPr>
                    <w:t>经</w:t>
                  </w:r>
                  <w:r>
                    <w:rPr>
                      <w:rFonts w:hint="eastAsia" w:eastAsia="宋体"/>
                      <w:color w:val="auto"/>
                      <w:szCs w:val="21"/>
                      <w:lang w:eastAsia="zh-CN"/>
                    </w:rPr>
                    <w:t>轴或织轴上的工艺过程。整经要求各根经纱张力相等</w:t>
                  </w:r>
                  <w:r>
                    <w:rPr>
                      <w:rFonts w:hint="eastAsia"/>
                      <w:color w:val="auto"/>
                      <w:szCs w:val="21"/>
                      <w:lang w:eastAsia="zh-CN"/>
                    </w:rPr>
                    <w:t>。该过程不添加其他辅料。</w:t>
                  </w:r>
                </w:p>
              </w:tc>
              <w:tc>
                <w:tcPr>
                  <w:tcW w:w="2324" w:type="dxa"/>
                  <w:vAlign w:val="center"/>
                </w:tcPr>
                <w:p>
                  <w:pPr>
                    <w:adjustRightInd w:val="0"/>
                    <w:snapToGrid w:val="0"/>
                    <w:jc w:val="center"/>
                    <w:rPr>
                      <w:rFonts w:hint="default" w:eastAsia="宋体"/>
                      <w:szCs w:val="21"/>
                      <w:lang w:val="en-US" w:eastAsia="zh-CN"/>
                    </w:rPr>
                  </w:pPr>
                  <w:r>
                    <w:rPr>
                      <w:rFonts w:hint="eastAsia"/>
                      <w:szCs w:val="21"/>
                      <w:lang w:val="en-US" w:eastAsia="zh-CN"/>
                    </w:rPr>
                    <w:t>S1废丝、废布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7" w:type="dxa"/>
                  <w:vAlign w:val="center"/>
                </w:tcPr>
                <w:p>
                  <w:pPr>
                    <w:adjustRightInd w:val="0"/>
                    <w:snapToGrid w:val="0"/>
                    <w:jc w:val="center"/>
                    <w:rPr>
                      <w:bCs/>
                      <w:szCs w:val="21"/>
                    </w:rPr>
                  </w:pPr>
                  <w:r>
                    <w:rPr>
                      <w:bCs/>
                      <w:szCs w:val="21"/>
                    </w:rPr>
                    <w:t>3</w:t>
                  </w:r>
                </w:p>
              </w:tc>
              <w:tc>
                <w:tcPr>
                  <w:tcW w:w="730" w:type="dxa"/>
                  <w:vAlign w:val="center"/>
                </w:tcPr>
                <w:p>
                  <w:pPr>
                    <w:adjustRightInd w:val="0"/>
                    <w:snapToGrid w:val="0"/>
                    <w:jc w:val="center"/>
                    <w:rPr>
                      <w:rFonts w:hint="eastAsia" w:hAnsi="宋体" w:eastAsia="宋体"/>
                      <w:color w:val="auto"/>
                      <w:szCs w:val="21"/>
                      <w:highlight w:val="none"/>
                      <w:lang w:eastAsia="zh-CN"/>
                    </w:rPr>
                  </w:pPr>
                  <w:r>
                    <w:rPr>
                      <w:rFonts w:hint="eastAsia" w:hAnsi="宋体"/>
                      <w:color w:val="auto"/>
                      <w:szCs w:val="21"/>
                      <w:highlight w:val="none"/>
                      <w:lang w:eastAsia="zh-CN"/>
                    </w:rPr>
                    <w:t>喷水织造</w:t>
                  </w:r>
                </w:p>
              </w:tc>
              <w:tc>
                <w:tcPr>
                  <w:tcW w:w="4719" w:type="dxa"/>
                  <w:vAlign w:val="center"/>
                </w:tcPr>
                <w:p>
                  <w:pPr>
                    <w:adjustRightInd w:val="0"/>
                    <w:snapToGrid w:val="0"/>
                    <w:jc w:val="both"/>
                    <w:rPr>
                      <w:rFonts w:hint="eastAsia" w:hAnsi="宋体" w:eastAsia="宋体"/>
                      <w:color w:val="auto"/>
                      <w:szCs w:val="21"/>
                      <w:highlight w:val="none"/>
                      <w:lang w:eastAsia="zh-CN"/>
                    </w:rPr>
                  </w:pPr>
                  <w:r>
                    <w:rPr>
                      <w:rFonts w:hint="eastAsia" w:hAnsi="宋体"/>
                      <w:color w:val="auto"/>
                      <w:szCs w:val="21"/>
                      <w:highlight w:val="none"/>
                    </w:rPr>
                    <w:t>通过织布机根据织物规格要求，按照一定的工艺设计交织成织物（织造工序一般都需要由开口、引纬、打纬、送经、卷取等五大运动的有机配合以及其他辅助运动的配合，才能得以</w:t>
                  </w:r>
                  <w:r>
                    <w:rPr>
                      <w:rFonts w:hint="eastAsia" w:hAnsi="宋体"/>
                      <w:color w:val="auto"/>
                      <w:szCs w:val="21"/>
                      <w:highlight w:val="none"/>
                      <w:lang w:eastAsia="zh-CN"/>
                    </w:rPr>
                    <w:t>完</w:t>
                  </w:r>
                  <w:r>
                    <w:rPr>
                      <w:rFonts w:hint="eastAsia" w:hAnsi="宋体"/>
                      <w:color w:val="auto"/>
                      <w:szCs w:val="21"/>
                      <w:highlight w:val="none"/>
                    </w:rPr>
                    <w:t>成</w:t>
                  </w:r>
                  <w:r>
                    <w:rPr>
                      <w:rFonts w:hint="eastAsia" w:hAnsi="宋体"/>
                      <w:color w:val="auto"/>
                      <w:szCs w:val="21"/>
                      <w:highlight w:val="none"/>
                      <w:lang w:eastAsia="zh-CN"/>
                    </w:rPr>
                    <w:t>。该过程需要定期清洗棕丝和滤网。</w:t>
                  </w:r>
                </w:p>
              </w:tc>
              <w:tc>
                <w:tcPr>
                  <w:tcW w:w="2324" w:type="dxa"/>
                  <w:vAlign w:val="center"/>
                </w:tcPr>
                <w:p>
                  <w:pPr>
                    <w:adjustRightInd w:val="0"/>
                    <w:snapToGrid w:val="0"/>
                    <w:jc w:val="center"/>
                    <w:rPr>
                      <w:rFonts w:hint="default" w:hAnsi="宋体" w:eastAsia="宋体"/>
                      <w:szCs w:val="21"/>
                      <w:lang w:val="en-US" w:eastAsia="zh-CN"/>
                    </w:rPr>
                  </w:pPr>
                  <w:r>
                    <w:rPr>
                      <w:rFonts w:hint="default" w:hAnsi="宋体" w:eastAsia="宋体"/>
                      <w:szCs w:val="21"/>
                      <w:lang w:val="en-US" w:eastAsia="zh-CN"/>
                    </w:rPr>
                    <w:t>G1织造粉尘、S1废丝、废布、S4废机油、S5废棕丝、S6废滤网、S7废弃的含油抹布、劳保用品、W2织造废水（含清洗废水、码布废水）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7" w:type="dxa"/>
                  <w:vAlign w:val="center"/>
                </w:tcPr>
                <w:p>
                  <w:pPr>
                    <w:adjustRightInd w:val="0"/>
                    <w:snapToGrid w:val="0"/>
                    <w:jc w:val="center"/>
                    <w:rPr>
                      <w:bCs/>
                      <w:szCs w:val="21"/>
                    </w:rPr>
                  </w:pPr>
                  <w:r>
                    <w:rPr>
                      <w:bCs/>
                      <w:szCs w:val="21"/>
                    </w:rPr>
                    <w:t>4</w:t>
                  </w:r>
                </w:p>
              </w:tc>
              <w:tc>
                <w:tcPr>
                  <w:tcW w:w="730" w:type="dxa"/>
                  <w:vAlign w:val="center"/>
                </w:tcPr>
                <w:p>
                  <w:pPr>
                    <w:adjustRightInd w:val="0"/>
                    <w:snapToGrid w:val="0"/>
                    <w:jc w:val="center"/>
                    <w:rPr>
                      <w:rFonts w:hint="eastAsia" w:eastAsia="宋体"/>
                      <w:szCs w:val="21"/>
                      <w:lang w:eastAsia="zh-CN"/>
                    </w:rPr>
                  </w:pPr>
                  <w:r>
                    <w:rPr>
                      <w:rFonts w:hint="eastAsia"/>
                      <w:szCs w:val="21"/>
                      <w:lang w:eastAsia="zh-CN"/>
                    </w:rPr>
                    <w:t>检验打卷</w:t>
                  </w:r>
                </w:p>
              </w:tc>
              <w:tc>
                <w:tcPr>
                  <w:tcW w:w="4719" w:type="dxa"/>
                  <w:vAlign w:val="center"/>
                </w:tcPr>
                <w:p>
                  <w:pPr>
                    <w:adjustRightInd w:val="0"/>
                    <w:snapToGrid w:val="0"/>
                    <w:jc w:val="left"/>
                    <w:rPr>
                      <w:rFonts w:hint="eastAsia" w:eastAsia="宋体"/>
                      <w:szCs w:val="21"/>
                      <w:lang w:eastAsia="zh-CN"/>
                    </w:rPr>
                  </w:pPr>
                  <w:r>
                    <w:rPr>
                      <w:rFonts w:hint="eastAsia"/>
                      <w:szCs w:val="21"/>
                    </w:rPr>
                    <w:t>将成品化纤布进行检验，检验合格后的布料利用打卷机进行打卷，即为成品</w:t>
                  </w:r>
                  <w:r>
                    <w:rPr>
                      <w:rFonts w:hint="eastAsia"/>
                      <w:szCs w:val="21"/>
                      <w:lang w:eastAsia="zh-CN"/>
                    </w:rPr>
                    <w:t>，等待销售。</w:t>
                  </w:r>
                </w:p>
              </w:tc>
              <w:tc>
                <w:tcPr>
                  <w:tcW w:w="2324" w:type="dxa"/>
                  <w:vAlign w:val="center"/>
                </w:tcPr>
                <w:p>
                  <w:pPr>
                    <w:adjustRightInd w:val="0"/>
                    <w:snapToGrid w:val="0"/>
                    <w:jc w:val="center"/>
                    <w:rPr>
                      <w:rFonts w:hint="default" w:eastAsia="宋体"/>
                      <w:szCs w:val="21"/>
                      <w:lang w:val="en-US" w:eastAsia="zh-CN"/>
                    </w:rPr>
                  </w:pPr>
                  <w:r>
                    <w:rPr>
                      <w:rFonts w:hint="default" w:eastAsia="宋体"/>
                      <w:szCs w:val="21"/>
                      <w:lang w:val="en-US" w:eastAsia="zh-CN"/>
                    </w:rPr>
                    <w:t>S1废丝、废布、W2织造废水（含清洗废水、码布废水）</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r>
              <w:rPr>
                <w:rFonts w:hint="eastAsia"/>
                <w:lang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lang w:eastAsia="zh-CN"/>
              </w:rPr>
            </w:pPr>
            <w:r>
              <w:object>
                <v:shape id="_x0000_i1027" o:spt="75" type="#_x0000_t75" style="height:504.6pt;width:363pt;" o:ole="t" filled="f" o:preferrelative="t" stroked="f" coordsize="21600,21600">
                  <v:path/>
                  <v:fill on="f" focussize="0,0"/>
                  <v:stroke on="f"/>
                  <v:imagedata r:id="rId32" o:title=""/>
                  <o:lock v:ext="edit" aspectratio="f"/>
                  <w10:wrap type="none"/>
                  <w10:anchorlock/>
                </v:shape>
                <o:OLEObject Type="Embed" ProgID="Visio.Drawing.11" ShapeID="_x0000_i1027" DrawAspect="Content" ObjectID="_1468075727" r:id="rId31">
                  <o:LockedField>false</o:LockedField>
                </o:OLEObject>
              </w:object>
            </w:r>
          </w:p>
          <w:p>
            <w:pPr>
              <w:pStyle w:val="3"/>
              <w:spacing w:line="460" w:lineRule="exact"/>
              <w:ind w:firstLine="0"/>
              <w:jc w:val="center"/>
              <w:outlineLvl w:val="3"/>
              <w:rPr>
                <w:rFonts w:hAnsi="宋体"/>
                <w:b/>
                <w:bCs/>
                <w:spacing w:val="-4"/>
                <w:szCs w:val="21"/>
              </w:rPr>
            </w:pPr>
            <w:r>
              <w:rPr>
                <w:rFonts w:hAnsi="宋体"/>
                <w:b/>
                <w:bCs/>
                <w:spacing w:val="-4"/>
                <w:szCs w:val="21"/>
              </w:rPr>
              <w:t>图</w:t>
            </w:r>
            <w:r>
              <w:rPr>
                <w:b/>
                <w:bCs/>
                <w:spacing w:val="-4"/>
                <w:szCs w:val="21"/>
              </w:rPr>
              <w:t>2.3-</w:t>
            </w:r>
            <w:r>
              <w:rPr>
                <w:rFonts w:hint="eastAsia"/>
                <w:b/>
                <w:bCs/>
                <w:spacing w:val="-4"/>
                <w:szCs w:val="21"/>
                <w:lang w:val="en-US" w:eastAsia="zh-CN"/>
              </w:rPr>
              <w:t>2</w:t>
            </w:r>
            <w:r>
              <w:rPr>
                <w:b/>
                <w:bCs/>
                <w:spacing w:val="-4"/>
                <w:szCs w:val="21"/>
              </w:rPr>
              <w:t xml:space="preserve">  </w:t>
            </w:r>
            <w:r>
              <w:rPr>
                <w:rFonts w:hint="eastAsia"/>
                <w:b/>
                <w:bCs/>
                <w:spacing w:val="-4"/>
                <w:szCs w:val="21"/>
                <w:lang w:eastAsia="zh-CN"/>
              </w:rPr>
              <w:t>高档纺织面料</w:t>
            </w:r>
            <w:r>
              <w:rPr>
                <w:rFonts w:hAnsi="宋体"/>
                <w:b/>
                <w:bCs/>
                <w:spacing w:val="-4"/>
                <w:szCs w:val="21"/>
              </w:rPr>
              <w:t>生产工艺流程及产污环节示意图（</w:t>
            </w:r>
            <w:r>
              <w:rPr>
                <w:rFonts w:hint="eastAsia" w:hAnsi="宋体"/>
                <w:b/>
                <w:bCs/>
                <w:spacing w:val="-4"/>
                <w:szCs w:val="21"/>
                <w:lang w:eastAsia="zh-CN"/>
              </w:rPr>
              <w:t>整浆并</w:t>
            </w:r>
            <w:r>
              <w:rPr>
                <w:rFonts w:hint="eastAsia" w:hAnsi="宋体"/>
                <w:b/>
                <w:bCs/>
                <w:spacing w:val="-4"/>
                <w:szCs w:val="21"/>
                <w:lang w:val="en-US" w:eastAsia="zh-CN"/>
              </w:rPr>
              <w:t>+喷水织造</w:t>
            </w:r>
            <w:r>
              <w:rPr>
                <w:rFonts w:hAnsi="宋体"/>
                <w:b/>
                <w:bCs/>
                <w:spacing w:val="-4"/>
                <w:szCs w:val="21"/>
              </w:rPr>
              <w:t>）</w:t>
            </w:r>
          </w:p>
          <w:p>
            <w:pPr>
              <w:pStyle w:val="3"/>
              <w:spacing w:line="500" w:lineRule="exact"/>
              <w:ind w:left="0" w:leftChars="0" w:firstLine="0" w:firstLineChars="0"/>
              <w:jc w:val="left"/>
              <w:rPr>
                <w:b/>
                <w:bCs/>
                <w:sz w:val="24"/>
              </w:rPr>
            </w:pPr>
            <w:r>
              <w:rPr>
                <w:rFonts w:hAnsi="宋体"/>
                <w:b/>
                <w:bCs/>
                <w:sz w:val="24"/>
              </w:rPr>
              <w:t>生产工艺流程说明：</w:t>
            </w:r>
          </w:p>
          <w:p>
            <w:pPr>
              <w:spacing w:line="460" w:lineRule="exact"/>
              <w:jc w:val="center"/>
              <w:rPr>
                <w:rFonts w:hAnsi="宋体"/>
                <w:b/>
                <w:bCs/>
                <w:szCs w:val="21"/>
              </w:rPr>
            </w:pPr>
          </w:p>
          <w:p>
            <w:pPr>
              <w:spacing w:line="460" w:lineRule="exact"/>
              <w:jc w:val="center"/>
              <w:rPr>
                <w:rFonts w:hAnsi="宋体"/>
                <w:b/>
                <w:bCs/>
                <w:szCs w:val="21"/>
              </w:rPr>
            </w:pPr>
          </w:p>
          <w:p>
            <w:pPr>
              <w:spacing w:line="460" w:lineRule="exact"/>
              <w:jc w:val="center"/>
              <w:rPr>
                <w:rFonts w:hAnsi="宋体"/>
                <w:b/>
                <w:bCs/>
                <w:szCs w:val="21"/>
              </w:rPr>
            </w:pPr>
          </w:p>
          <w:p>
            <w:pPr>
              <w:spacing w:line="460" w:lineRule="exact"/>
              <w:jc w:val="center"/>
              <w:rPr>
                <w:rFonts w:hAnsi="宋体"/>
                <w:b/>
                <w:bCs/>
                <w:szCs w:val="21"/>
              </w:rPr>
            </w:pPr>
          </w:p>
          <w:p>
            <w:pPr>
              <w:spacing w:line="460" w:lineRule="exact"/>
              <w:jc w:val="center"/>
              <w:rPr>
                <w:rFonts w:hAnsi="宋体"/>
                <w:b/>
                <w:bCs/>
                <w:szCs w:val="21"/>
              </w:rPr>
            </w:pPr>
          </w:p>
          <w:p>
            <w:pPr>
              <w:spacing w:line="460" w:lineRule="exact"/>
              <w:jc w:val="center"/>
              <w:rPr>
                <w:b/>
                <w:bCs/>
                <w:szCs w:val="21"/>
              </w:rPr>
            </w:pPr>
            <w:r>
              <w:rPr>
                <w:rFonts w:hAnsi="宋体"/>
                <w:b/>
                <w:bCs/>
                <w:szCs w:val="21"/>
              </w:rPr>
              <w:t>表</w:t>
            </w:r>
            <w:r>
              <w:rPr>
                <w:b/>
                <w:bCs/>
                <w:szCs w:val="21"/>
              </w:rPr>
              <w:t xml:space="preserve">2.3-2  </w:t>
            </w:r>
            <w:r>
              <w:rPr>
                <w:rFonts w:hint="eastAsia"/>
                <w:b/>
                <w:bCs/>
                <w:szCs w:val="21"/>
              </w:rPr>
              <w:t>高档纺织面料</w:t>
            </w:r>
            <w:r>
              <w:rPr>
                <w:rFonts w:hint="eastAsia" w:hAnsi="宋体"/>
                <w:b/>
                <w:bCs/>
                <w:color w:val="auto"/>
                <w:szCs w:val="21"/>
                <w:lang w:val="en-US" w:eastAsia="zh-CN"/>
              </w:rPr>
              <w:t>生产</w:t>
            </w:r>
            <w:r>
              <w:rPr>
                <w:rFonts w:hAnsi="宋体"/>
                <w:b/>
                <w:bCs/>
                <w:color w:val="auto"/>
                <w:szCs w:val="21"/>
              </w:rPr>
              <w:t>工艺流</w:t>
            </w:r>
            <w:r>
              <w:rPr>
                <w:rFonts w:hAnsi="宋体"/>
                <w:b/>
                <w:bCs/>
                <w:szCs w:val="21"/>
              </w:rPr>
              <w:t>程说明</w:t>
            </w:r>
          </w:p>
          <w:tbl>
            <w:tblPr>
              <w:tblStyle w:val="40"/>
              <w:tblW w:w="82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4"/>
              <w:gridCol w:w="644"/>
              <w:gridCol w:w="4753"/>
              <w:gridCol w:w="24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4" w:type="dxa"/>
                  <w:vAlign w:val="center"/>
                </w:tcPr>
                <w:p>
                  <w:pPr>
                    <w:adjustRightInd w:val="0"/>
                    <w:snapToGrid w:val="0"/>
                    <w:jc w:val="center"/>
                    <w:rPr>
                      <w:szCs w:val="21"/>
                    </w:rPr>
                  </w:pPr>
                  <w:r>
                    <w:rPr>
                      <w:rFonts w:hAnsi="宋体"/>
                      <w:szCs w:val="21"/>
                    </w:rPr>
                    <w:t>序号</w:t>
                  </w:r>
                </w:p>
              </w:tc>
              <w:tc>
                <w:tcPr>
                  <w:tcW w:w="644" w:type="dxa"/>
                  <w:vAlign w:val="center"/>
                </w:tcPr>
                <w:p>
                  <w:pPr>
                    <w:adjustRightInd w:val="0"/>
                    <w:snapToGrid w:val="0"/>
                    <w:jc w:val="center"/>
                    <w:rPr>
                      <w:szCs w:val="21"/>
                    </w:rPr>
                  </w:pPr>
                  <w:r>
                    <w:rPr>
                      <w:rFonts w:hAnsi="宋体"/>
                      <w:szCs w:val="21"/>
                    </w:rPr>
                    <w:t>工序名称</w:t>
                  </w:r>
                </w:p>
              </w:tc>
              <w:tc>
                <w:tcPr>
                  <w:tcW w:w="4753" w:type="dxa"/>
                  <w:vAlign w:val="center"/>
                </w:tcPr>
                <w:p>
                  <w:pPr>
                    <w:jc w:val="center"/>
                    <w:rPr>
                      <w:szCs w:val="21"/>
                    </w:rPr>
                  </w:pPr>
                  <w:r>
                    <w:rPr>
                      <w:rFonts w:hAnsi="宋体"/>
                      <w:bCs/>
                      <w:szCs w:val="21"/>
                    </w:rPr>
                    <w:t>工艺流程</w:t>
                  </w:r>
                </w:p>
              </w:tc>
              <w:tc>
                <w:tcPr>
                  <w:tcW w:w="2419" w:type="dxa"/>
                  <w:vAlign w:val="center"/>
                </w:tcPr>
                <w:p>
                  <w:pPr>
                    <w:jc w:val="center"/>
                    <w:rPr>
                      <w:szCs w:val="21"/>
                    </w:rPr>
                  </w:pPr>
                  <w:r>
                    <w:rPr>
                      <w:rFonts w:hAnsi="宋体"/>
                      <w:bCs/>
                      <w:szCs w:val="21"/>
                    </w:rPr>
                    <w:t>产污状况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4" w:type="dxa"/>
                  <w:vAlign w:val="center"/>
                </w:tcPr>
                <w:p>
                  <w:pPr>
                    <w:adjustRightInd w:val="0"/>
                    <w:snapToGrid w:val="0"/>
                    <w:jc w:val="center"/>
                    <w:rPr>
                      <w:bCs/>
                      <w:szCs w:val="21"/>
                    </w:rPr>
                  </w:pPr>
                  <w:r>
                    <w:rPr>
                      <w:bCs/>
                      <w:szCs w:val="21"/>
                    </w:rPr>
                    <w:t>1</w:t>
                  </w:r>
                </w:p>
              </w:tc>
              <w:tc>
                <w:tcPr>
                  <w:tcW w:w="644" w:type="dxa"/>
                  <w:vAlign w:val="center"/>
                </w:tcPr>
                <w:p>
                  <w:pPr>
                    <w:adjustRightInd w:val="0"/>
                    <w:snapToGrid w:val="0"/>
                    <w:jc w:val="center"/>
                    <w:rPr>
                      <w:rFonts w:hint="eastAsia" w:eastAsia="宋体"/>
                      <w:szCs w:val="21"/>
                      <w:lang w:eastAsia="zh-CN"/>
                    </w:rPr>
                  </w:pPr>
                  <w:r>
                    <w:rPr>
                      <w:rFonts w:hint="eastAsia"/>
                      <w:szCs w:val="21"/>
                      <w:lang w:eastAsia="zh-CN"/>
                    </w:rPr>
                    <w:t>整经</w:t>
                  </w:r>
                </w:p>
              </w:tc>
              <w:tc>
                <w:tcPr>
                  <w:tcW w:w="4753" w:type="dxa"/>
                  <w:vAlign w:val="center"/>
                </w:tcPr>
                <w:p>
                  <w:pPr>
                    <w:adjustRightInd w:val="0"/>
                    <w:snapToGrid w:val="0"/>
                    <w:jc w:val="left"/>
                    <w:rPr>
                      <w:szCs w:val="21"/>
                    </w:rPr>
                  </w:pPr>
                  <w:r>
                    <w:rPr>
                      <w:rFonts w:hint="eastAsia"/>
                      <w:szCs w:val="21"/>
                    </w:rPr>
                    <w:t>整经是将一定根数的化纤丝按规定的长度和宽度平行卷绕在经轴或织轴上的工艺过程。整经要求各根经纱张力相等。该过程不添加其他辅料。</w:t>
                  </w:r>
                </w:p>
              </w:tc>
              <w:tc>
                <w:tcPr>
                  <w:tcW w:w="241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S1废丝、废布、S2废包装材料、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4" w:type="dxa"/>
                  <w:vAlign w:val="center"/>
                </w:tcPr>
                <w:p>
                  <w:pPr>
                    <w:adjustRightInd w:val="0"/>
                    <w:snapToGrid w:val="0"/>
                    <w:jc w:val="center"/>
                    <w:rPr>
                      <w:bCs/>
                      <w:szCs w:val="21"/>
                    </w:rPr>
                  </w:pPr>
                  <w:r>
                    <w:rPr>
                      <w:bCs/>
                      <w:szCs w:val="21"/>
                    </w:rPr>
                    <w:t>2</w:t>
                  </w:r>
                </w:p>
              </w:tc>
              <w:tc>
                <w:tcPr>
                  <w:tcW w:w="644" w:type="dxa"/>
                  <w:vAlign w:val="center"/>
                </w:tcPr>
                <w:p>
                  <w:pPr>
                    <w:adjustRightInd w:val="0"/>
                    <w:snapToGrid w:val="0"/>
                    <w:jc w:val="center"/>
                    <w:rPr>
                      <w:rFonts w:hint="eastAsia" w:eastAsia="宋体"/>
                      <w:szCs w:val="21"/>
                      <w:lang w:eastAsia="zh-CN"/>
                    </w:rPr>
                  </w:pPr>
                  <w:r>
                    <w:rPr>
                      <w:rFonts w:hint="eastAsia"/>
                      <w:szCs w:val="21"/>
                      <w:lang w:eastAsia="zh-CN"/>
                    </w:rPr>
                    <w:t>上浆</w:t>
                  </w:r>
                </w:p>
              </w:tc>
              <w:tc>
                <w:tcPr>
                  <w:tcW w:w="4753" w:type="dxa"/>
                  <w:vAlign w:val="center"/>
                </w:tcPr>
                <w:p>
                  <w:pPr>
                    <w:adjustRightInd w:val="0"/>
                    <w:snapToGrid w:val="0"/>
                    <w:jc w:val="left"/>
                    <w:rPr>
                      <w:color w:val="auto"/>
                      <w:szCs w:val="21"/>
                    </w:rPr>
                  </w:pPr>
                  <w:r>
                    <w:rPr>
                      <w:szCs w:val="21"/>
                    </w:rPr>
                    <w:t>为减少经纱的断头率，要经过浆纱过程，使经纱具有较大的光滑度、坚牢度。</w:t>
                  </w:r>
                  <w:r>
                    <w:rPr>
                      <w:rFonts w:hint="eastAsia"/>
                      <w:szCs w:val="21"/>
                    </w:rPr>
                    <w:t>上浆前浆料</w:t>
                  </w:r>
                  <w:r>
                    <w:rPr>
                      <w:rFonts w:hint="eastAsia"/>
                      <w:szCs w:val="21"/>
                      <w:lang w:eastAsia="zh-CN"/>
                    </w:rPr>
                    <w:t>无需调配，直接</w:t>
                  </w:r>
                  <w:r>
                    <w:rPr>
                      <w:rFonts w:hint="eastAsia"/>
                      <w:szCs w:val="21"/>
                    </w:rPr>
                    <w:t>抽至</w:t>
                  </w:r>
                  <w:r>
                    <w:rPr>
                      <w:szCs w:val="21"/>
                    </w:rPr>
                    <w:t>浆料槽</w:t>
                  </w:r>
                  <w:r>
                    <w:rPr>
                      <w:rFonts w:hint="eastAsia"/>
                      <w:szCs w:val="21"/>
                    </w:rPr>
                    <w:t>，浆料为水性浆料，</w:t>
                  </w:r>
                  <w:r>
                    <w:rPr>
                      <w:szCs w:val="21"/>
                    </w:rPr>
                    <w:t>上浆工序就是经轴上的</w:t>
                  </w:r>
                  <w:r>
                    <w:rPr>
                      <w:rFonts w:hint="eastAsia"/>
                      <w:szCs w:val="21"/>
                      <w:lang w:eastAsia="zh-CN"/>
                    </w:rPr>
                    <w:t>化纤丝</w:t>
                  </w:r>
                  <w:r>
                    <w:rPr>
                      <w:szCs w:val="21"/>
                    </w:rPr>
                    <w:t>浸入浆液中以获得手感厚实和硬挺效果的整理过程。上浆过程在浆料槽内完成，耗损浆料定期添加补充。</w:t>
                  </w:r>
                </w:p>
              </w:tc>
              <w:tc>
                <w:tcPr>
                  <w:tcW w:w="2419" w:type="dxa"/>
                  <w:vAlign w:val="center"/>
                </w:tcPr>
                <w:p>
                  <w:pPr>
                    <w:adjustRightInd w:val="0"/>
                    <w:snapToGrid w:val="0"/>
                    <w:jc w:val="center"/>
                    <w:rPr>
                      <w:rFonts w:hint="default" w:ascii="Times New Roman" w:hAnsi="宋体" w:eastAsia="宋体" w:cs="Times New Roman"/>
                      <w:kern w:val="2"/>
                      <w:sz w:val="21"/>
                      <w:szCs w:val="21"/>
                      <w:lang w:val="en-US" w:eastAsia="zh-CN" w:bidi="ar-SA"/>
                    </w:rPr>
                  </w:pPr>
                  <w:r>
                    <w:rPr>
                      <w:rFonts w:hint="eastAsia" w:hAnsi="宋体" w:cs="Times New Roman"/>
                      <w:kern w:val="2"/>
                      <w:sz w:val="21"/>
                      <w:szCs w:val="21"/>
                      <w:lang w:val="en-US" w:eastAsia="zh-CN" w:bidi="ar-SA"/>
                    </w:rPr>
                    <w:t>S10吨桶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4" w:type="dxa"/>
                  <w:vAlign w:val="center"/>
                </w:tcPr>
                <w:p>
                  <w:pPr>
                    <w:adjustRightInd w:val="0"/>
                    <w:snapToGrid w:val="0"/>
                    <w:jc w:val="center"/>
                    <w:rPr>
                      <w:bCs/>
                      <w:szCs w:val="21"/>
                    </w:rPr>
                  </w:pPr>
                  <w:r>
                    <w:rPr>
                      <w:bCs/>
                      <w:szCs w:val="21"/>
                    </w:rPr>
                    <w:t>3</w:t>
                  </w:r>
                </w:p>
              </w:tc>
              <w:tc>
                <w:tcPr>
                  <w:tcW w:w="644" w:type="dxa"/>
                  <w:vAlign w:val="center"/>
                </w:tcPr>
                <w:p>
                  <w:pPr>
                    <w:adjustRightInd w:val="0"/>
                    <w:snapToGrid w:val="0"/>
                    <w:jc w:val="center"/>
                    <w:rPr>
                      <w:rFonts w:hint="eastAsia" w:eastAsia="宋体"/>
                      <w:szCs w:val="21"/>
                      <w:lang w:eastAsia="zh-CN"/>
                    </w:rPr>
                  </w:pPr>
                  <w:r>
                    <w:rPr>
                      <w:rFonts w:hint="eastAsia"/>
                      <w:szCs w:val="21"/>
                      <w:lang w:eastAsia="zh-CN"/>
                    </w:rPr>
                    <w:t>烘干</w:t>
                  </w:r>
                </w:p>
              </w:tc>
              <w:tc>
                <w:tcPr>
                  <w:tcW w:w="4753" w:type="dxa"/>
                  <w:vAlign w:val="center"/>
                </w:tcPr>
                <w:p>
                  <w:pPr>
                    <w:adjustRightInd w:val="0"/>
                    <w:snapToGrid w:val="0"/>
                    <w:jc w:val="left"/>
                    <w:rPr>
                      <w:color w:val="auto"/>
                      <w:szCs w:val="21"/>
                    </w:rPr>
                  </w:pPr>
                  <w:r>
                    <w:rPr>
                      <w:rFonts w:hint="eastAsia"/>
                      <w:color w:val="auto"/>
                      <w:szCs w:val="21"/>
                    </w:rPr>
                    <w:t>使用滚筒烘干机对上浆后的织物进行烘干处理。使用蒸汽间接烘干（加热温度为150℃左右），织物上的浆料主要为聚对苯二甲酸乙二酯树脂等，加热过程中会有</w:t>
                  </w:r>
                  <w:r>
                    <w:rPr>
                      <w:rFonts w:hint="eastAsia"/>
                      <w:color w:val="auto"/>
                      <w:szCs w:val="21"/>
                      <w:lang w:eastAsia="zh-CN"/>
                    </w:rPr>
                    <w:t>少量有机物</w:t>
                  </w:r>
                  <w:r>
                    <w:rPr>
                      <w:rFonts w:hint="eastAsia"/>
                      <w:color w:val="auto"/>
                      <w:szCs w:val="21"/>
                    </w:rPr>
                    <w:t>挥发，由于烘干温度较低，挥发量很少</w:t>
                  </w:r>
                </w:p>
              </w:tc>
              <w:tc>
                <w:tcPr>
                  <w:tcW w:w="241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hAnsi="宋体" w:eastAsia="宋体" w:cs="Times New Roman"/>
                      <w:kern w:val="2"/>
                      <w:sz w:val="21"/>
                      <w:szCs w:val="21"/>
                      <w:lang w:val="en-US" w:eastAsia="zh-CN" w:bidi="ar-SA"/>
                    </w:rPr>
                    <w:t>G1有机废气</w:t>
                  </w:r>
                  <w:r>
                    <w:rPr>
                      <w:rFonts w:hint="eastAsia" w:hAnsi="宋体" w:cs="Times New Roman"/>
                      <w:kern w:val="2"/>
                      <w:sz w:val="21"/>
                      <w:szCs w:val="21"/>
                      <w:lang w:val="en-US" w:eastAsia="zh-CN" w:bidi="ar-SA"/>
                    </w:rPr>
                    <w:t>、S8喷淋废液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4" w:type="dxa"/>
                  <w:vAlign w:val="center"/>
                </w:tcPr>
                <w:p>
                  <w:pPr>
                    <w:adjustRightInd w:val="0"/>
                    <w:snapToGrid w:val="0"/>
                    <w:jc w:val="center"/>
                    <w:rPr>
                      <w:bCs/>
                      <w:szCs w:val="21"/>
                    </w:rPr>
                  </w:pPr>
                  <w:r>
                    <w:rPr>
                      <w:bCs/>
                      <w:szCs w:val="21"/>
                    </w:rPr>
                    <w:t>4</w:t>
                  </w:r>
                </w:p>
              </w:tc>
              <w:tc>
                <w:tcPr>
                  <w:tcW w:w="644" w:type="dxa"/>
                  <w:vAlign w:val="center"/>
                </w:tcPr>
                <w:p>
                  <w:pPr>
                    <w:adjustRightInd w:val="0"/>
                    <w:snapToGrid w:val="0"/>
                    <w:jc w:val="center"/>
                    <w:rPr>
                      <w:rFonts w:hint="eastAsia" w:eastAsia="宋体"/>
                      <w:szCs w:val="21"/>
                      <w:lang w:eastAsia="zh-CN"/>
                    </w:rPr>
                  </w:pPr>
                  <w:r>
                    <w:rPr>
                      <w:rFonts w:hint="eastAsia"/>
                      <w:szCs w:val="21"/>
                      <w:lang w:eastAsia="zh-CN"/>
                    </w:rPr>
                    <w:t>并线</w:t>
                  </w:r>
                </w:p>
              </w:tc>
              <w:tc>
                <w:tcPr>
                  <w:tcW w:w="4753" w:type="dxa"/>
                  <w:vAlign w:val="center"/>
                </w:tcPr>
                <w:p>
                  <w:pPr>
                    <w:adjustRightInd w:val="0"/>
                    <w:snapToGrid w:val="0"/>
                    <w:jc w:val="left"/>
                    <w:rPr>
                      <w:rFonts w:hint="default" w:eastAsia="宋体"/>
                      <w:color w:val="auto"/>
                      <w:szCs w:val="21"/>
                      <w:lang w:val="en-US" w:eastAsia="zh-CN"/>
                    </w:rPr>
                  </w:pPr>
                  <w:r>
                    <w:rPr>
                      <w:rFonts w:hint="eastAsia"/>
                      <w:color w:val="auto"/>
                      <w:szCs w:val="21"/>
                    </w:rPr>
                    <w:t>并</w:t>
                  </w:r>
                  <w:r>
                    <w:rPr>
                      <w:rFonts w:hint="eastAsia"/>
                      <w:color w:val="auto"/>
                      <w:szCs w:val="21"/>
                      <w:lang w:eastAsia="zh-CN"/>
                    </w:rPr>
                    <w:t>线</w:t>
                  </w:r>
                  <w:r>
                    <w:rPr>
                      <w:rFonts w:hint="eastAsia"/>
                      <w:color w:val="auto"/>
                      <w:szCs w:val="21"/>
                    </w:rPr>
                    <w:t>是将经过整经与上浆后的数个轴按产品需求合并成一个轴，增加头纹条数</w:t>
                  </w:r>
                  <w:r>
                    <w:rPr>
                      <w:rFonts w:hint="eastAsia"/>
                      <w:color w:val="auto"/>
                      <w:szCs w:val="21"/>
                      <w:lang w:eastAsia="zh-CN"/>
                    </w:rPr>
                    <w:t>，方便后续织造。</w:t>
                  </w:r>
                </w:p>
              </w:tc>
              <w:tc>
                <w:tcPr>
                  <w:tcW w:w="2419" w:type="dxa"/>
                  <w:vAlign w:val="center"/>
                </w:tcPr>
                <w:p>
                  <w:pPr>
                    <w:adjustRightInd w:val="0"/>
                    <w:snapToGrid w:val="0"/>
                    <w:jc w:val="center"/>
                    <w:rPr>
                      <w:rFonts w:hint="eastAsia" w:eastAsia="宋体"/>
                      <w:szCs w:val="21"/>
                      <w:lang w:val="en-US" w:eastAsia="zh-CN"/>
                    </w:rPr>
                  </w:pPr>
                  <w:r>
                    <w:rPr>
                      <w:rFonts w:hint="eastAsia"/>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4" w:type="dxa"/>
                  <w:vAlign w:val="center"/>
                </w:tcPr>
                <w:p>
                  <w:pPr>
                    <w:adjustRightInd w:val="0"/>
                    <w:snapToGrid w:val="0"/>
                    <w:jc w:val="center"/>
                    <w:rPr>
                      <w:bCs/>
                      <w:szCs w:val="21"/>
                    </w:rPr>
                  </w:pPr>
                  <w:r>
                    <w:rPr>
                      <w:bCs/>
                      <w:szCs w:val="21"/>
                    </w:rPr>
                    <w:t>5</w:t>
                  </w:r>
                </w:p>
              </w:tc>
              <w:tc>
                <w:tcPr>
                  <w:tcW w:w="644" w:type="dxa"/>
                  <w:vAlign w:val="center"/>
                </w:tcPr>
                <w:p>
                  <w:pPr>
                    <w:adjustRightInd w:val="0"/>
                    <w:snapToGrid w:val="0"/>
                    <w:jc w:val="center"/>
                    <w:rPr>
                      <w:rFonts w:hint="eastAsia" w:eastAsia="宋体"/>
                      <w:bCs/>
                      <w:szCs w:val="21"/>
                      <w:lang w:eastAsia="zh-CN"/>
                    </w:rPr>
                  </w:pPr>
                  <w:r>
                    <w:rPr>
                      <w:rFonts w:hint="eastAsia"/>
                      <w:bCs/>
                      <w:szCs w:val="21"/>
                      <w:lang w:eastAsia="zh-CN"/>
                    </w:rPr>
                    <w:t>喷水织造</w:t>
                  </w:r>
                </w:p>
              </w:tc>
              <w:tc>
                <w:tcPr>
                  <w:tcW w:w="4753" w:type="dxa"/>
                  <w:vAlign w:val="center"/>
                </w:tcPr>
                <w:p>
                  <w:pPr>
                    <w:adjustRightInd w:val="0"/>
                    <w:snapToGrid w:val="0"/>
                    <w:jc w:val="both"/>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通过织布机根据织物规格要求，按照一定的工艺设计交织成织物（织造工序一般都需要由开口、引纬、打纬、送经、卷取等五大运动的有机配合以及其他辅助运动的配合，才能得以</w:t>
                  </w:r>
                  <w:r>
                    <w:rPr>
                      <w:rFonts w:hint="eastAsia" w:hAnsi="宋体"/>
                      <w:color w:val="auto"/>
                      <w:szCs w:val="21"/>
                      <w:highlight w:val="none"/>
                      <w:lang w:eastAsia="zh-CN"/>
                    </w:rPr>
                    <w:t>完</w:t>
                  </w:r>
                  <w:r>
                    <w:rPr>
                      <w:rFonts w:hint="eastAsia" w:hAnsi="宋体"/>
                      <w:color w:val="auto"/>
                      <w:szCs w:val="21"/>
                      <w:highlight w:val="none"/>
                    </w:rPr>
                    <w:t>成</w:t>
                  </w:r>
                  <w:r>
                    <w:rPr>
                      <w:rFonts w:hint="eastAsia" w:hAnsi="宋体"/>
                      <w:color w:val="auto"/>
                      <w:szCs w:val="21"/>
                      <w:highlight w:val="none"/>
                      <w:lang w:eastAsia="zh-CN"/>
                    </w:rPr>
                    <w:t>。该过程需要定期清洗棕丝和滤网。</w:t>
                  </w:r>
                </w:p>
              </w:tc>
              <w:tc>
                <w:tcPr>
                  <w:tcW w:w="2419" w:type="dxa"/>
                  <w:vAlign w:val="center"/>
                </w:tcPr>
                <w:p>
                  <w:pPr>
                    <w:adjustRightInd w:val="0"/>
                    <w:snapToGrid w:val="0"/>
                    <w:jc w:val="center"/>
                    <w:rPr>
                      <w:rFonts w:hint="default" w:ascii="Times New Roman" w:hAnsi="宋体" w:eastAsia="宋体" w:cs="Times New Roman"/>
                      <w:kern w:val="2"/>
                      <w:sz w:val="21"/>
                      <w:szCs w:val="21"/>
                      <w:lang w:val="en-US" w:eastAsia="zh-CN" w:bidi="ar-SA"/>
                    </w:rPr>
                  </w:pPr>
                  <w:r>
                    <w:rPr>
                      <w:rFonts w:hint="default" w:hAnsi="宋体" w:eastAsia="宋体"/>
                      <w:szCs w:val="21"/>
                      <w:lang w:val="en-US" w:eastAsia="zh-CN"/>
                    </w:rPr>
                    <w:t>G1织造粉尘、S1废丝、废布、S4废机油、S5废棕丝、S6废滤网、S7废弃的含油抹布、劳保用品、W2织造废水（含清洗废水、码布废水）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04" w:type="dxa"/>
                  <w:vAlign w:val="center"/>
                </w:tcPr>
                <w:p>
                  <w:pPr>
                    <w:adjustRightInd w:val="0"/>
                    <w:snapToGrid w:val="0"/>
                    <w:jc w:val="center"/>
                    <w:rPr>
                      <w:bCs/>
                      <w:szCs w:val="21"/>
                    </w:rPr>
                  </w:pPr>
                  <w:r>
                    <w:rPr>
                      <w:bCs/>
                      <w:szCs w:val="21"/>
                    </w:rPr>
                    <w:t>6</w:t>
                  </w:r>
                </w:p>
              </w:tc>
              <w:tc>
                <w:tcPr>
                  <w:tcW w:w="644"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eastAsia="zh-CN"/>
                    </w:rPr>
                    <w:t>检验打卷</w:t>
                  </w:r>
                </w:p>
              </w:tc>
              <w:tc>
                <w:tcPr>
                  <w:tcW w:w="4753" w:type="dxa"/>
                  <w:vAlign w:val="center"/>
                </w:tcPr>
                <w:p>
                  <w:pPr>
                    <w:adjustRightInd w:val="0"/>
                    <w:snapToGrid w:val="0"/>
                    <w:jc w:val="left"/>
                    <w:rPr>
                      <w:rFonts w:hint="eastAsia" w:ascii="Times New Roman" w:hAnsi="Times New Roman" w:eastAsia="宋体" w:cs="Times New Roman"/>
                      <w:kern w:val="2"/>
                      <w:sz w:val="21"/>
                      <w:szCs w:val="21"/>
                      <w:lang w:val="en-US" w:eastAsia="zh-CN" w:bidi="ar-SA"/>
                    </w:rPr>
                  </w:pPr>
                  <w:r>
                    <w:rPr>
                      <w:rFonts w:hint="eastAsia"/>
                      <w:szCs w:val="21"/>
                    </w:rPr>
                    <w:t>将成品化纤布进行检验，检验合格后的布料利用打卷机进行打卷，即为成品</w:t>
                  </w:r>
                  <w:r>
                    <w:rPr>
                      <w:rFonts w:hint="eastAsia"/>
                      <w:szCs w:val="21"/>
                      <w:lang w:eastAsia="zh-CN"/>
                    </w:rPr>
                    <w:t>，等待销售。</w:t>
                  </w:r>
                </w:p>
              </w:tc>
              <w:tc>
                <w:tcPr>
                  <w:tcW w:w="241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eastAsia="宋体"/>
                      <w:szCs w:val="21"/>
                      <w:lang w:val="en-US" w:eastAsia="zh-CN"/>
                    </w:rPr>
                    <w:t>S1废丝、废布、W2织造废水（含清洗废水、码布废水）</w:t>
                  </w:r>
                </w:p>
              </w:tc>
            </w:tr>
          </w:tbl>
          <w:p>
            <w:pPr>
              <w:pStyle w:val="39"/>
              <w:adjustRightInd w:val="0"/>
              <w:snapToGrid w:val="0"/>
              <w:ind w:firstLine="480"/>
              <w:rPr>
                <w:b w:val="0"/>
                <w:bCs w:val="0"/>
                <w:sz w:val="24"/>
                <w:szCs w:val="24"/>
              </w:rPr>
            </w:pPr>
            <w:r>
              <w:rPr>
                <w:rFonts w:hAnsi="宋体"/>
                <w:b w:val="0"/>
                <w:bCs w:val="0"/>
                <w:sz w:val="24"/>
                <w:szCs w:val="24"/>
              </w:rPr>
              <w:t>项目营运期主要污染工序见表</w:t>
            </w:r>
            <w:r>
              <w:rPr>
                <w:b w:val="0"/>
                <w:bCs w:val="0"/>
                <w:sz w:val="24"/>
                <w:szCs w:val="24"/>
              </w:rPr>
              <w:t>2.3-3</w:t>
            </w:r>
            <w:r>
              <w:rPr>
                <w:rFonts w:hAnsi="宋体"/>
                <w:b w:val="0"/>
                <w:bCs w:val="0"/>
                <w:sz w:val="24"/>
                <w:szCs w:val="24"/>
              </w:rPr>
              <w:t>。</w:t>
            </w:r>
          </w:p>
          <w:p>
            <w:pPr>
              <w:pStyle w:val="39"/>
              <w:adjustRightInd w:val="0"/>
              <w:snapToGrid w:val="0"/>
              <w:ind w:firstLine="0" w:firstLineChars="0"/>
              <w:jc w:val="center"/>
              <w:rPr>
                <w:b/>
                <w:bCs/>
                <w:sz w:val="21"/>
                <w:szCs w:val="21"/>
              </w:rPr>
            </w:pPr>
            <w:r>
              <w:rPr>
                <w:rFonts w:hAnsi="宋体"/>
                <w:b/>
                <w:bCs/>
                <w:sz w:val="21"/>
                <w:szCs w:val="21"/>
              </w:rPr>
              <w:t>表</w:t>
            </w:r>
            <w:r>
              <w:rPr>
                <w:b/>
                <w:bCs/>
                <w:sz w:val="21"/>
                <w:szCs w:val="21"/>
              </w:rPr>
              <w:t xml:space="preserve">2.3-3  </w:t>
            </w:r>
            <w:r>
              <w:rPr>
                <w:rFonts w:hAnsi="宋体"/>
                <w:b/>
                <w:bCs/>
                <w:sz w:val="21"/>
                <w:szCs w:val="21"/>
              </w:rPr>
              <w:t>营运期主要污染工序一览表</w:t>
            </w:r>
          </w:p>
          <w:tbl>
            <w:tblPr>
              <w:tblStyle w:val="40"/>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776"/>
              <w:gridCol w:w="2586"/>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noWrap/>
                  <w:vAlign w:val="center"/>
                </w:tcPr>
                <w:p>
                  <w:pPr>
                    <w:adjustRightInd w:val="0"/>
                    <w:snapToGrid w:val="0"/>
                    <w:jc w:val="center"/>
                    <w:rPr>
                      <w:bCs/>
                      <w:szCs w:val="21"/>
                    </w:rPr>
                  </w:pPr>
                  <w:r>
                    <w:rPr>
                      <w:rFonts w:hAnsi="宋体"/>
                      <w:bCs/>
                      <w:szCs w:val="21"/>
                    </w:rPr>
                    <w:t>污染类别</w:t>
                  </w:r>
                </w:p>
              </w:tc>
              <w:tc>
                <w:tcPr>
                  <w:tcW w:w="1776" w:type="dxa"/>
                  <w:noWrap/>
                  <w:vAlign w:val="center"/>
                </w:tcPr>
                <w:p>
                  <w:pPr>
                    <w:adjustRightInd w:val="0"/>
                    <w:snapToGrid w:val="0"/>
                    <w:jc w:val="center"/>
                    <w:rPr>
                      <w:bCs/>
                      <w:szCs w:val="21"/>
                    </w:rPr>
                  </w:pPr>
                  <w:r>
                    <w:rPr>
                      <w:rFonts w:hAnsi="宋体"/>
                      <w:bCs/>
                      <w:szCs w:val="21"/>
                    </w:rPr>
                    <w:t>污染源名称</w:t>
                  </w:r>
                </w:p>
              </w:tc>
              <w:tc>
                <w:tcPr>
                  <w:tcW w:w="2586" w:type="dxa"/>
                  <w:noWrap/>
                  <w:vAlign w:val="center"/>
                </w:tcPr>
                <w:p>
                  <w:pPr>
                    <w:adjustRightInd w:val="0"/>
                    <w:snapToGrid w:val="0"/>
                    <w:jc w:val="center"/>
                    <w:rPr>
                      <w:bCs/>
                      <w:szCs w:val="21"/>
                    </w:rPr>
                  </w:pPr>
                  <w:r>
                    <w:rPr>
                      <w:rFonts w:hAnsi="宋体"/>
                      <w:bCs/>
                      <w:szCs w:val="21"/>
                    </w:rPr>
                    <w:t>产生工序</w:t>
                  </w:r>
                </w:p>
              </w:tc>
              <w:tc>
                <w:tcPr>
                  <w:tcW w:w="2694" w:type="dxa"/>
                  <w:noWrap/>
                  <w:vAlign w:val="center"/>
                </w:tcPr>
                <w:p>
                  <w:pPr>
                    <w:adjustRightInd w:val="0"/>
                    <w:snapToGrid w:val="0"/>
                    <w:jc w:val="center"/>
                    <w:rPr>
                      <w:bCs/>
                      <w:szCs w:val="21"/>
                    </w:rPr>
                  </w:pPr>
                  <w:r>
                    <w:rPr>
                      <w:rFonts w:hAnsi="宋体"/>
                      <w:bCs/>
                      <w:szCs w:val="21"/>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restart"/>
                  <w:noWrap/>
                  <w:vAlign w:val="center"/>
                </w:tcPr>
                <w:p>
                  <w:pPr>
                    <w:adjustRightInd w:val="0"/>
                    <w:snapToGrid w:val="0"/>
                    <w:jc w:val="center"/>
                    <w:rPr>
                      <w:color w:val="auto"/>
                      <w:szCs w:val="21"/>
                    </w:rPr>
                  </w:pPr>
                  <w:r>
                    <w:rPr>
                      <w:rFonts w:hAnsi="宋体"/>
                      <w:color w:val="auto"/>
                      <w:szCs w:val="21"/>
                    </w:rPr>
                    <w:t>废气</w:t>
                  </w:r>
                </w:p>
              </w:tc>
              <w:tc>
                <w:tcPr>
                  <w:tcW w:w="1776" w:type="dxa"/>
                  <w:noWrap/>
                  <w:vAlign w:val="center"/>
                </w:tcPr>
                <w:p>
                  <w:pPr>
                    <w:adjustRightInd w:val="0"/>
                    <w:snapToGrid w:val="0"/>
                    <w:jc w:val="center"/>
                    <w:rPr>
                      <w:rFonts w:hint="eastAsia" w:hAnsi="宋体" w:eastAsia="宋体"/>
                      <w:bCs/>
                      <w:szCs w:val="21"/>
                      <w:lang w:eastAsia="zh-CN"/>
                    </w:rPr>
                  </w:pPr>
                  <w:r>
                    <w:rPr>
                      <w:rFonts w:hint="eastAsia" w:hAnsi="宋体"/>
                      <w:bCs/>
                      <w:szCs w:val="21"/>
                      <w:lang w:eastAsia="zh-CN"/>
                    </w:rPr>
                    <w:t>织造粉尘</w:t>
                  </w:r>
                </w:p>
              </w:tc>
              <w:tc>
                <w:tcPr>
                  <w:tcW w:w="2586" w:type="dxa"/>
                  <w:noWrap/>
                  <w:vAlign w:val="center"/>
                </w:tcPr>
                <w:p>
                  <w:pPr>
                    <w:adjustRightInd w:val="0"/>
                    <w:snapToGrid w:val="0"/>
                    <w:jc w:val="center"/>
                    <w:rPr>
                      <w:rFonts w:hint="eastAsia" w:hAnsi="宋体" w:eastAsia="宋体"/>
                      <w:bCs/>
                      <w:szCs w:val="21"/>
                      <w:lang w:eastAsia="zh-CN"/>
                    </w:rPr>
                  </w:pPr>
                  <w:r>
                    <w:rPr>
                      <w:rFonts w:hint="eastAsia" w:hAnsi="宋体"/>
                      <w:bCs/>
                      <w:szCs w:val="21"/>
                      <w:lang w:eastAsia="zh-CN"/>
                    </w:rPr>
                    <w:t>织造</w:t>
                  </w:r>
                </w:p>
              </w:tc>
              <w:tc>
                <w:tcPr>
                  <w:tcW w:w="2694" w:type="dxa"/>
                  <w:noWrap/>
                  <w:vAlign w:val="center"/>
                </w:tcPr>
                <w:p>
                  <w:pPr>
                    <w:adjustRightInd w:val="0"/>
                    <w:snapToGrid w:val="0"/>
                    <w:jc w:val="center"/>
                    <w:rPr>
                      <w:rFonts w:hint="eastAsia" w:hAnsi="宋体" w:eastAsia="宋体"/>
                      <w:bCs/>
                      <w:szCs w:val="21"/>
                      <w:lang w:eastAsia="zh-CN"/>
                    </w:rPr>
                  </w:pPr>
                  <w:r>
                    <w:rPr>
                      <w:rFonts w:hint="eastAsia" w:hAnsi="宋体"/>
                      <w:bCs/>
                      <w:szCs w:val="21"/>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color w:val="auto"/>
                      <w:szCs w:val="21"/>
                    </w:rPr>
                  </w:pPr>
                </w:p>
              </w:tc>
              <w:tc>
                <w:tcPr>
                  <w:tcW w:w="1776" w:type="dxa"/>
                  <w:noWrap/>
                  <w:vAlign w:val="center"/>
                </w:tcPr>
                <w:p>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加弹废气</w:t>
                  </w:r>
                </w:p>
              </w:tc>
              <w:tc>
                <w:tcPr>
                  <w:tcW w:w="2586" w:type="dxa"/>
                  <w:noWrap/>
                  <w:vAlign w:val="center"/>
                </w:tcPr>
                <w:p>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bCs/>
                      <w:color w:val="auto"/>
                      <w:szCs w:val="21"/>
                    </w:rPr>
                    <w:t>加弹</w:t>
                  </w:r>
                </w:p>
              </w:tc>
              <w:tc>
                <w:tcPr>
                  <w:tcW w:w="2694" w:type="dxa"/>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非甲烷总烃</w:t>
                  </w:r>
                  <w:r>
                    <w:rPr>
                      <w:rFonts w:hint="eastAsia"/>
                      <w:color w:val="auto"/>
                      <w:szCs w:val="21"/>
                      <w:lang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noWrap/>
                  <w:vAlign w:val="center"/>
                </w:tcPr>
                <w:p>
                  <w:pPr>
                    <w:adjustRightInd w:val="0"/>
                    <w:snapToGrid w:val="0"/>
                    <w:jc w:val="center"/>
                    <w:rPr>
                      <w:rFonts w:hint="eastAsia" w:eastAsia="宋体"/>
                      <w:szCs w:val="21"/>
                      <w:lang w:eastAsia="zh-CN"/>
                    </w:rPr>
                  </w:pPr>
                  <w:r>
                    <w:rPr>
                      <w:rFonts w:hint="eastAsia"/>
                      <w:szCs w:val="21"/>
                      <w:lang w:eastAsia="zh-CN"/>
                    </w:rPr>
                    <w:t>有机废气</w:t>
                  </w:r>
                </w:p>
              </w:tc>
              <w:tc>
                <w:tcPr>
                  <w:tcW w:w="2586" w:type="dxa"/>
                  <w:noWrap/>
                  <w:vAlign w:val="center"/>
                </w:tcPr>
                <w:p>
                  <w:pPr>
                    <w:adjustRightInd w:val="0"/>
                    <w:snapToGrid w:val="0"/>
                    <w:jc w:val="center"/>
                    <w:rPr>
                      <w:rFonts w:hint="eastAsia" w:eastAsia="宋体"/>
                      <w:bCs/>
                      <w:szCs w:val="21"/>
                      <w:lang w:eastAsia="zh-CN"/>
                    </w:rPr>
                  </w:pPr>
                  <w:r>
                    <w:rPr>
                      <w:rFonts w:hint="eastAsia"/>
                      <w:bCs/>
                      <w:szCs w:val="21"/>
                      <w:lang w:eastAsia="zh-CN"/>
                    </w:rPr>
                    <w:t>上浆、烘干</w:t>
                  </w:r>
                </w:p>
              </w:tc>
              <w:tc>
                <w:tcPr>
                  <w:tcW w:w="2694" w:type="dxa"/>
                  <w:noWrap/>
                  <w:vAlign w:val="center"/>
                </w:tcPr>
                <w:p>
                  <w:pPr>
                    <w:adjustRightInd w:val="0"/>
                    <w:snapToGrid w:val="0"/>
                    <w:jc w:val="center"/>
                    <w:rPr>
                      <w:rFonts w:hint="eastAsia" w:eastAsia="宋体"/>
                      <w:bCs/>
                      <w:szCs w:val="21"/>
                      <w:lang w:eastAsia="zh-CN"/>
                    </w:rPr>
                  </w:pPr>
                  <w:r>
                    <w:rPr>
                      <w:rFonts w:hint="eastAsia"/>
                      <w:bCs/>
                      <w:szCs w:val="21"/>
                      <w:lang w:eastAsia="zh-CN"/>
                    </w:rPr>
                    <w:t>非甲烷总烃、臭气浓度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restart"/>
                  <w:noWrap/>
                  <w:vAlign w:val="center"/>
                </w:tcPr>
                <w:p>
                  <w:pPr>
                    <w:adjustRightInd w:val="0"/>
                    <w:snapToGrid w:val="0"/>
                    <w:jc w:val="center"/>
                    <w:rPr>
                      <w:szCs w:val="21"/>
                    </w:rPr>
                  </w:pPr>
                  <w:r>
                    <w:rPr>
                      <w:rFonts w:hAnsi="宋体"/>
                      <w:szCs w:val="21"/>
                    </w:rPr>
                    <w:t>废水</w:t>
                  </w:r>
                </w:p>
              </w:tc>
              <w:tc>
                <w:tcPr>
                  <w:tcW w:w="1776" w:type="dxa"/>
                  <w:noWrap/>
                  <w:vAlign w:val="center"/>
                </w:tcPr>
                <w:p>
                  <w:pPr>
                    <w:adjustRightInd w:val="0"/>
                    <w:snapToGrid w:val="0"/>
                    <w:jc w:val="center"/>
                    <w:rPr>
                      <w:rFonts w:ascii="Times New Roman" w:hAnsi="Times New Roman" w:eastAsia="宋体" w:cs="Times New Roman"/>
                      <w:bCs/>
                      <w:kern w:val="2"/>
                      <w:sz w:val="21"/>
                      <w:szCs w:val="21"/>
                      <w:lang w:val="en-US" w:eastAsia="zh-CN" w:bidi="ar-SA"/>
                    </w:rPr>
                  </w:pPr>
                  <w:r>
                    <w:rPr>
                      <w:rFonts w:hAnsi="宋体"/>
                      <w:bCs/>
                      <w:szCs w:val="21"/>
                    </w:rPr>
                    <w:t>织造废水</w:t>
                  </w:r>
                </w:p>
              </w:tc>
              <w:tc>
                <w:tcPr>
                  <w:tcW w:w="2586" w:type="dxa"/>
                  <w:noWrap/>
                  <w:vAlign w:val="center"/>
                </w:tcPr>
                <w:p>
                  <w:pPr>
                    <w:adjustRightInd w:val="0"/>
                    <w:snapToGrid w:val="0"/>
                    <w:jc w:val="center"/>
                    <w:rPr>
                      <w:rFonts w:ascii="Times New Roman" w:hAnsi="Times New Roman" w:eastAsia="宋体" w:cs="Times New Roman"/>
                      <w:bCs/>
                      <w:kern w:val="2"/>
                      <w:sz w:val="21"/>
                      <w:szCs w:val="21"/>
                      <w:lang w:val="en-US" w:eastAsia="zh-CN" w:bidi="ar-SA"/>
                    </w:rPr>
                  </w:pPr>
                  <w:r>
                    <w:rPr>
                      <w:rFonts w:hAnsi="宋体"/>
                      <w:bCs/>
                      <w:szCs w:val="21"/>
                    </w:rPr>
                    <w:t>喷水织造工序</w:t>
                  </w:r>
                </w:p>
              </w:tc>
              <w:tc>
                <w:tcPr>
                  <w:tcW w:w="2694" w:type="dxa"/>
                  <w:noWrap/>
                  <w:vAlign w:val="center"/>
                </w:tcPr>
                <w:p>
                  <w:pPr>
                    <w:adjustRightInd w:val="0"/>
                    <w:snapToGrid w:val="0"/>
                    <w:jc w:val="center"/>
                    <w:rPr>
                      <w:rFonts w:ascii="Times New Roman" w:hAnsi="Times New Roman" w:eastAsia="宋体" w:cs="Times New Roman"/>
                      <w:kern w:val="2"/>
                      <w:sz w:val="21"/>
                      <w:szCs w:val="21"/>
                      <w:lang w:val="en-US" w:eastAsia="zh-CN" w:bidi="ar-SA"/>
                    </w:rPr>
                  </w:pPr>
                  <w:r>
                    <w:t>COD</w:t>
                  </w:r>
                  <w:r>
                    <w:rPr>
                      <w:vertAlign w:val="subscript"/>
                    </w:rPr>
                    <w:t>Cr</w:t>
                  </w:r>
                  <w:r>
                    <w:rPr>
                      <w:rFonts w:hAnsi="宋体"/>
                    </w:rPr>
                    <w:t>、</w:t>
                  </w:r>
                  <w:r>
                    <w:t>SS</w:t>
                  </w:r>
                  <w:r>
                    <w:rPr>
                      <w:rFonts w:hAnsi="宋体"/>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noWrap/>
                  <w:vAlign w:val="center"/>
                </w:tcPr>
                <w:p>
                  <w:pPr>
                    <w:adjustRightInd w:val="0"/>
                    <w:snapToGrid w:val="0"/>
                    <w:jc w:val="center"/>
                    <w:rPr>
                      <w:rFonts w:ascii="Times New Roman" w:hAnsi="Times New Roman" w:eastAsia="宋体" w:cs="Times New Roman"/>
                      <w:bCs/>
                      <w:kern w:val="2"/>
                      <w:sz w:val="21"/>
                      <w:szCs w:val="21"/>
                      <w:lang w:val="en-US" w:eastAsia="zh-CN" w:bidi="ar-SA"/>
                    </w:rPr>
                  </w:pPr>
                  <w:r>
                    <w:rPr>
                      <w:rFonts w:hint="eastAsia" w:hAnsi="宋体"/>
                      <w:bCs/>
                      <w:szCs w:val="21"/>
                      <w:lang w:eastAsia="zh-CN"/>
                    </w:rPr>
                    <w:t>清洗</w:t>
                  </w:r>
                  <w:r>
                    <w:rPr>
                      <w:rFonts w:hAnsi="宋体"/>
                      <w:bCs/>
                      <w:szCs w:val="21"/>
                    </w:rPr>
                    <w:t>废水</w:t>
                  </w:r>
                </w:p>
              </w:tc>
              <w:tc>
                <w:tcPr>
                  <w:tcW w:w="2586" w:type="dxa"/>
                  <w:noWrap/>
                  <w:vAlign w:val="center"/>
                </w:tcPr>
                <w:p>
                  <w:pPr>
                    <w:adjustRightInd w:val="0"/>
                    <w:snapToGrid w:val="0"/>
                    <w:jc w:val="center"/>
                    <w:rPr>
                      <w:rFonts w:ascii="Times New Roman" w:hAnsi="Times New Roman" w:eastAsia="宋体" w:cs="Times New Roman"/>
                      <w:bCs/>
                      <w:kern w:val="2"/>
                      <w:sz w:val="21"/>
                      <w:szCs w:val="21"/>
                      <w:lang w:val="en-US" w:eastAsia="zh-CN" w:bidi="ar-SA"/>
                    </w:rPr>
                  </w:pPr>
                  <w:r>
                    <w:rPr>
                      <w:rFonts w:hint="eastAsia" w:hAnsi="宋体"/>
                      <w:bCs/>
                      <w:szCs w:val="21"/>
                      <w:lang w:eastAsia="zh-CN"/>
                    </w:rPr>
                    <w:t>清洗棕丝、滤网</w:t>
                  </w:r>
                </w:p>
              </w:tc>
              <w:tc>
                <w:tcPr>
                  <w:tcW w:w="2694" w:type="dxa"/>
                  <w:noWrap/>
                  <w:vAlign w:val="center"/>
                </w:tcPr>
                <w:p>
                  <w:pPr>
                    <w:adjustRightInd w:val="0"/>
                    <w:snapToGrid w:val="0"/>
                    <w:jc w:val="center"/>
                    <w:rPr>
                      <w:rFonts w:ascii="Times New Roman" w:hAnsi="Times New Roman" w:eastAsia="宋体" w:cs="Times New Roman"/>
                      <w:kern w:val="2"/>
                      <w:sz w:val="21"/>
                      <w:szCs w:val="21"/>
                      <w:lang w:val="en-US" w:eastAsia="zh-CN" w:bidi="ar-SA"/>
                    </w:rPr>
                  </w:pPr>
                  <w:r>
                    <w:t>COD</w:t>
                  </w:r>
                  <w:r>
                    <w:rPr>
                      <w:vertAlign w:val="subscript"/>
                    </w:rPr>
                    <w:t>Cr</w:t>
                  </w:r>
                  <w:r>
                    <w:rPr>
                      <w:rFonts w:hAnsi="宋体"/>
                    </w:rPr>
                    <w:t>、</w:t>
                  </w:r>
                  <w:r>
                    <w:t>SS</w:t>
                  </w:r>
                  <w:r>
                    <w:rPr>
                      <w:rFonts w:hAnsi="宋体"/>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noWrap/>
                  <w:vAlign w:val="center"/>
                </w:tcPr>
                <w:p>
                  <w:pPr>
                    <w:adjustRightInd w:val="0"/>
                    <w:snapToGrid w:val="0"/>
                    <w:jc w:val="center"/>
                    <w:rPr>
                      <w:rFonts w:hint="eastAsia" w:hAnsi="宋体"/>
                      <w:bCs/>
                      <w:szCs w:val="21"/>
                      <w:lang w:eastAsia="zh-CN"/>
                    </w:rPr>
                  </w:pPr>
                  <w:r>
                    <w:rPr>
                      <w:rFonts w:hint="eastAsia" w:hAnsi="宋体"/>
                      <w:bCs/>
                      <w:szCs w:val="21"/>
                      <w:lang w:eastAsia="zh-CN"/>
                    </w:rPr>
                    <w:t>码布废水</w:t>
                  </w:r>
                </w:p>
              </w:tc>
              <w:tc>
                <w:tcPr>
                  <w:tcW w:w="2586" w:type="dxa"/>
                  <w:noWrap/>
                  <w:vAlign w:val="center"/>
                </w:tcPr>
                <w:p>
                  <w:pPr>
                    <w:adjustRightInd w:val="0"/>
                    <w:snapToGrid w:val="0"/>
                    <w:jc w:val="center"/>
                    <w:rPr>
                      <w:rFonts w:hint="eastAsia" w:hAnsi="宋体"/>
                      <w:bCs/>
                      <w:szCs w:val="21"/>
                      <w:lang w:eastAsia="zh-CN"/>
                    </w:rPr>
                  </w:pPr>
                  <w:r>
                    <w:rPr>
                      <w:rFonts w:hint="eastAsia" w:hAnsi="宋体"/>
                      <w:bCs/>
                      <w:szCs w:val="21"/>
                      <w:lang w:eastAsia="zh-CN"/>
                    </w:rPr>
                    <w:t>卷布</w:t>
                  </w:r>
                </w:p>
              </w:tc>
              <w:tc>
                <w:tcPr>
                  <w:tcW w:w="2694" w:type="dxa"/>
                  <w:noWrap/>
                  <w:vAlign w:val="center"/>
                </w:tcPr>
                <w:p>
                  <w:pPr>
                    <w:adjustRightInd w:val="0"/>
                    <w:snapToGrid w:val="0"/>
                    <w:jc w:val="center"/>
                  </w:pPr>
                  <w:r>
                    <w:t>COD</w:t>
                  </w:r>
                  <w:r>
                    <w:rPr>
                      <w:vertAlign w:val="subscript"/>
                    </w:rPr>
                    <w:t>Cr</w:t>
                  </w:r>
                  <w:r>
                    <w:rPr>
                      <w:rFonts w:hAnsi="宋体"/>
                    </w:rPr>
                    <w:t>、</w:t>
                  </w:r>
                  <w:r>
                    <w:t>SS</w:t>
                  </w:r>
                  <w:r>
                    <w:rPr>
                      <w:rFonts w:hAnsi="宋体"/>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noWrap/>
                  <w:vAlign w:val="center"/>
                </w:tcPr>
                <w:p>
                  <w:pPr>
                    <w:adjustRightInd w:val="0"/>
                    <w:snapToGrid w:val="0"/>
                    <w:jc w:val="center"/>
                    <w:rPr>
                      <w:rFonts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喷淋补充水</w:t>
                  </w:r>
                </w:p>
              </w:tc>
              <w:tc>
                <w:tcPr>
                  <w:tcW w:w="2586" w:type="dxa"/>
                  <w:noWrap/>
                  <w:vAlign w:val="center"/>
                </w:tcPr>
                <w:p>
                  <w:pPr>
                    <w:adjustRightInd w:val="0"/>
                    <w:snapToGrid w:val="0"/>
                    <w:jc w:val="center"/>
                    <w:rPr>
                      <w:rFonts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废气处理装置</w:t>
                  </w:r>
                </w:p>
              </w:tc>
              <w:tc>
                <w:tcPr>
                  <w:tcW w:w="2694" w:type="dxa"/>
                  <w:noWrap/>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noWrap/>
                  <w:vAlign w:val="center"/>
                </w:tcPr>
                <w:p>
                  <w:pPr>
                    <w:adjustRightInd w:val="0"/>
                    <w:snapToGrid w:val="0"/>
                    <w:jc w:val="center"/>
                    <w:rPr>
                      <w:rFonts w:hint="eastAsia" w:cs="Times New Roman"/>
                      <w:bCs/>
                      <w:kern w:val="2"/>
                      <w:sz w:val="21"/>
                      <w:szCs w:val="21"/>
                      <w:lang w:val="en-US" w:eastAsia="zh-CN" w:bidi="ar-SA"/>
                    </w:rPr>
                  </w:pPr>
                  <w:r>
                    <w:rPr>
                      <w:rFonts w:hint="eastAsia" w:cs="Times New Roman"/>
                      <w:bCs/>
                      <w:kern w:val="2"/>
                      <w:sz w:val="21"/>
                      <w:szCs w:val="21"/>
                      <w:lang w:val="en-US" w:eastAsia="zh-CN" w:bidi="ar-SA"/>
                    </w:rPr>
                    <w:t>冷却补充水</w:t>
                  </w:r>
                </w:p>
              </w:tc>
              <w:tc>
                <w:tcPr>
                  <w:tcW w:w="2586" w:type="dxa"/>
                  <w:noWrap/>
                  <w:vAlign w:val="center"/>
                </w:tcPr>
                <w:p>
                  <w:pPr>
                    <w:adjustRightInd w:val="0"/>
                    <w:snapToGrid w:val="0"/>
                    <w:jc w:val="center"/>
                    <w:rPr>
                      <w:rFonts w:hint="eastAsia" w:cs="Times New Roman"/>
                      <w:bCs/>
                      <w:kern w:val="2"/>
                      <w:sz w:val="21"/>
                      <w:szCs w:val="21"/>
                      <w:lang w:val="en-US" w:eastAsia="zh-CN" w:bidi="ar-SA"/>
                    </w:rPr>
                  </w:pPr>
                  <w:r>
                    <w:rPr>
                      <w:rFonts w:hint="eastAsia" w:cs="Times New Roman"/>
                      <w:bCs/>
                      <w:kern w:val="2"/>
                      <w:sz w:val="21"/>
                      <w:szCs w:val="21"/>
                      <w:lang w:val="en-US" w:eastAsia="zh-CN" w:bidi="ar-SA"/>
                    </w:rPr>
                    <w:t>废气处理装置</w:t>
                  </w:r>
                </w:p>
              </w:tc>
              <w:tc>
                <w:tcPr>
                  <w:tcW w:w="2694" w:type="dxa"/>
                  <w:noWrap/>
                  <w:vAlign w:val="center"/>
                </w:tcPr>
                <w:p>
                  <w:pPr>
                    <w:adjustRightInd w:val="0"/>
                    <w:snapToGrid w:val="0"/>
                    <w:jc w:val="cente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restart"/>
                  <w:noWrap/>
                  <w:vAlign w:val="center"/>
                </w:tcPr>
                <w:p>
                  <w:pPr>
                    <w:adjustRightInd w:val="0"/>
                    <w:snapToGrid w:val="0"/>
                    <w:jc w:val="center"/>
                    <w:rPr>
                      <w:szCs w:val="21"/>
                    </w:rPr>
                  </w:pPr>
                  <w:r>
                    <w:rPr>
                      <w:rFonts w:hAnsi="宋体"/>
                      <w:szCs w:val="21"/>
                    </w:rPr>
                    <w:t>固废</w:t>
                  </w:r>
                </w:p>
              </w:tc>
              <w:tc>
                <w:tcPr>
                  <w:tcW w:w="1776" w:type="dxa"/>
                  <w:noWrap/>
                  <w:vAlign w:val="center"/>
                </w:tcPr>
                <w:p>
                  <w:pPr>
                    <w:adjustRightInd w:val="0"/>
                    <w:snapToGrid w:val="0"/>
                    <w:jc w:val="center"/>
                    <w:rPr>
                      <w:szCs w:val="21"/>
                    </w:rPr>
                  </w:pPr>
                  <w:r>
                    <w:rPr>
                      <w:rFonts w:hAnsi="宋体"/>
                      <w:szCs w:val="21"/>
                    </w:rPr>
                    <w:t>生活垃圾</w:t>
                  </w:r>
                </w:p>
              </w:tc>
              <w:tc>
                <w:tcPr>
                  <w:tcW w:w="2586" w:type="dxa"/>
                  <w:noWrap/>
                  <w:vAlign w:val="center"/>
                </w:tcPr>
                <w:p>
                  <w:pPr>
                    <w:adjustRightInd w:val="0"/>
                    <w:snapToGrid w:val="0"/>
                    <w:jc w:val="center"/>
                    <w:rPr>
                      <w:bCs/>
                      <w:szCs w:val="21"/>
                    </w:rPr>
                  </w:pPr>
                  <w:r>
                    <w:rPr>
                      <w:rFonts w:hAnsi="宋体"/>
                      <w:szCs w:val="21"/>
                    </w:rPr>
                    <w:t>职工生活</w:t>
                  </w:r>
                </w:p>
              </w:tc>
              <w:tc>
                <w:tcPr>
                  <w:tcW w:w="2694" w:type="dxa"/>
                  <w:noWrap/>
                  <w:vAlign w:val="center"/>
                </w:tcPr>
                <w:p>
                  <w:pPr>
                    <w:pStyle w:val="144"/>
                    <w:adjustRightInd w:val="0"/>
                    <w:rPr>
                      <w:bCs/>
                      <w:sz w:val="21"/>
                      <w:szCs w:val="21"/>
                    </w:rPr>
                  </w:pPr>
                  <w:r>
                    <w:rPr>
                      <w:rFonts w:hAnsi="宋体"/>
                      <w:sz w:val="2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vMerge w:val="restart"/>
                  <w:noWrap/>
                  <w:vAlign w:val="center"/>
                </w:tcPr>
                <w:p>
                  <w:pPr>
                    <w:adjustRightInd w:val="0"/>
                    <w:snapToGrid w:val="0"/>
                    <w:jc w:val="center"/>
                    <w:rPr>
                      <w:bCs/>
                      <w:szCs w:val="21"/>
                    </w:rPr>
                  </w:pPr>
                  <w:r>
                    <w:rPr>
                      <w:rFonts w:hAnsi="宋体"/>
                      <w:bCs/>
                      <w:szCs w:val="21"/>
                    </w:rPr>
                    <w:t>生产固废</w:t>
                  </w:r>
                </w:p>
              </w:tc>
              <w:tc>
                <w:tcPr>
                  <w:tcW w:w="2586" w:type="dxa"/>
                  <w:noWrap/>
                  <w:vAlign w:val="center"/>
                </w:tcPr>
                <w:p>
                  <w:pPr>
                    <w:adjustRightInd w:val="0"/>
                    <w:snapToGrid w:val="0"/>
                    <w:jc w:val="center"/>
                    <w:rPr>
                      <w:rFonts w:hint="eastAsia" w:eastAsia="宋体"/>
                      <w:bCs/>
                      <w:szCs w:val="21"/>
                      <w:lang w:eastAsia="zh-CN"/>
                    </w:rPr>
                  </w:pPr>
                  <w:r>
                    <w:rPr>
                      <w:rFonts w:hAnsi="宋体"/>
                    </w:rPr>
                    <w:t>织造</w:t>
                  </w:r>
                  <w:r>
                    <w:rPr>
                      <w:rFonts w:hint="eastAsia" w:hAnsi="宋体"/>
                      <w:lang w:eastAsia="zh-CN"/>
                    </w:rPr>
                    <w:t>、检验</w:t>
                  </w:r>
                </w:p>
              </w:tc>
              <w:tc>
                <w:tcPr>
                  <w:tcW w:w="2694" w:type="dxa"/>
                  <w:noWrap/>
                  <w:vAlign w:val="center"/>
                </w:tcPr>
                <w:p>
                  <w:pPr>
                    <w:adjustRightInd w:val="0"/>
                    <w:snapToGrid w:val="0"/>
                    <w:jc w:val="center"/>
                    <w:rPr>
                      <w:rFonts w:hint="eastAsia" w:eastAsia="宋体"/>
                      <w:bCs/>
                      <w:szCs w:val="21"/>
                      <w:lang w:eastAsia="zh-CN"/>
                    </w:rPr>
                  </w:pPr>
                  <w:r>
                    <w:rPr>
                      <w:rFonts w:hAnsi="宋体"/>
                    </w:rPr>
                    <w:t>废丝</w:t>
                  </w:r>
                  <w:r>
                    <w:rPr>
                      <w:rFonts w:hint="eastAsia" w:hAnsi="宋体"/>
                      <w:lang w:eastAsia="zh-CN"/>
                    </w:rPr>
                    <w:t>、废布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vMerge w:val="continue"/>
                  <w:noWrap/>
                  <w:vAlign w:val="center"/>
                </w:tcPr>
                <w:p>
                  <w:pPr>
                    <w:adjustRightInd w:val="0"/>
                    <w:snapToGrid w:val="0"/>
                    <w:jc w:val="center"/>
                    <w:rPr>
                      <w:rFonts w:hAnsi="宋体"/>
                      <w:bCs/>
                      <w:szCs w:val="21"/>
                    </w:rPr>
                  </w:pPr>
                </w:p>
              </w:tc>
              <w:tc>
                <w:tcPr>
                  <w:tcW w:w="2586" w:type="dxa"/>
                  <w:noWrap/>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hAnsi="宋体"/>
                      <w:lang w:eastAsia="zh-CN"/>
                    </w:rPr>
                    <w:t>化纤丝</w:t>
                  </w:r>
                  <w:r>
                    <w:rPr>
                      <w:rFonts w:hint="eastAsia" w:hAnsi="宋体"/>
                    </w:rPr>
                    <w:t>等</w:t>
                  </w:r>
                  <w:r>
                    <w:rPr>
                      <w:rFonts w:hAnsi="宋体"/>
                    </w:rPr>
                    <w:t>原料包装</w:t>
                  </w:r>
                </w:p>
              </w:tc>
              <w:tc>
                <w:tcPr>
                  <w:tcW w:w="2694" w:type="dxa"/>
                  <w:noWrap/>
                  <w:vAlign w:val="center"/>
                </w:tcPr>
                <w:p>
                  <w:pPr>
                    <w:adjustRightInd w:val="0"/>
                    <w:snapToGrid w:val="0"/>
                    <w:jc w:val="center"/>
                    <w:rPr>
                      <w:rFonts w:ascii="Times New Roman" w:hAnsi="Times New Roman" w:eastAsia="宋体" w:cs="Times New Roman"/>
                      <w:bCs/>
                      <w:kern w:val="2"/>
                      <w:sz w:val="21"/>
                      <w:szCs w:val="21"/>
                      <w:lang w:val="en-US" w:eastAsia="zh-CN" w:bidi="ar-SA"/>
                    </w:rPr>
                  </w:pPr>
                  <w:r>
                    <w:rPr>
                      <w:rFonts w:hint="eastAsia" w:hAnsi="宋体"/>
                      <w:szCs w:val="21"/>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vMerge w:val="continue"/>
                  <w:noWrap/>
                  <w:vAlign w:val="center"/>
                </w:tcPr>
                <w:p>
                  <w:pPr>
                    <w:adjustRightInd w:val="0"/>
                    <w:snapToGrid w:val="0"/>
                    <w:jc w:val="center"/>
                    <w:rPr>
                      <w:bCs/>
                      <w:szCs w:val="21"/>
                    </w:rPr>
                  </w:pPr>
                </w:p>
              </w:tc>
              <w:tc>
                <w:tcPr>
                  <w:tcW w:w="2586" w:type="dxa"/>
                  <w:noWrap/>
                  <w:vAlign w:val="center"/>
                </w:tcPr>
                <w:p>
                  <w:pPr>
                    <w:adjustRightInd w:val="0"/>
                    <w:snapToGrid w:val="0"/>
                    <w:jc w:val="center"/>
                    <w:rPr>
                      <w:rFonts w:ascii="Times New Roman" w:hAnsi="宋体" w:eastAsia="宋体" w:cs="Times New Roman"/>
                      <w:kern w:val="2"/>
                      <w:sz w:val="21"/>
                      <w:szCs w:val="24"/>
                      <w:lang w:val="en-US" w:eastAsia="zh-CN" w:bidi="ar-SA"/>
                    </w:rPr>
                  </w:pPr>
                  <w:r>
                    <w:rPr>
                      <w:rFonts w:hint="eastAsia" w:hAnsi="宋体"/>
                    </w:rPr>
                    <w:t>机油包装</w:t>
                  </w:r>
                </w:p>
              </w:tc>
              <w:tc>
                <w:tcPr>
                  <w:tcW w:w="2694" w:type="dxa"/>
                  <w:noWrap/>
                  <w:vAlign w:val="center"/>
                </w:tcPr>
                <w:p>
                  <w:pPr>
                    <w:adjustRightInd w:val="0"/>
                    <w:snapToGrid w:val="0"/>
                    <w:jc w:val="center"/>
                    <w:rPr>
                      <w:rFonts w:ascii="Times New Roman" w:hAnsi="宋体" w:eastAsia="宋体" w:cs="Times New Roman"/>
                      <w:kern w:val="2"/>
                      <w:sz w:val="21"/>
                      <w:szCs w:val="21"/>
                      <w:lang w:val="en-US" w:eastAsia="zh-CN" w:bidi="ar-SA"/>
                    </w:rPr>
                  </w:pPr>
                  <w:r>
                    <w:rPr>
                      <w:rFonts w:hint="eastAsia" w:hAnsi="宋体"/>
                      <w:szCs w:val="21"/>
                    </w:rPr>
                    <w:t>废包装桶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vMerge w:val="continue"/>
                  <w:noWrap/>
                  <w:vAlign w:val="center"/>
                </w:tcPr>
                <w:p>
                  <w:pPr>
                    <w:adjustRightInd w:val="0"/>
                    <w:snapToGrid w:val="0"/>
                    <w:jc w:val="center"/>
                    <w:rPr>
                      <w:bCs/>
                      <w:szCs w:val="21"/>
                    </w:rPr>
                  </w:pPr>
                </w:p>
              </w:tc>
              <w:tc>
                <w:tcPr>
                  <w:tcW w:w="2586" w:type="dxa"/>
                  <w:noWrap/>
                  <w:vAlign w:val="center"/>
                </w:tcPr>
                <w:p>
                  <w:pPr>
                    <w:adjustRightInd w:val="0"/>
                    <w:snapToGrid w:val="0"/>
                    <w:jc w:val="center"/>
                    <w:rPr>
                      <w:rFonts w:hint="eastAsia" w:ascii="Times New Roman" w:hAnsi="宋体" w:eastAsia="宋体" w:cs="Times New Roman"/>
                      <w:kern w:val="2"/>
                      <w:sz w:val="21"/>
                      <w:szCs w:val="24"/>
                      <w:lang w:val="en-US" w:eastAsia="zh-CN" w:bidi="ar-SA"/>
                    </w:rPr>
                  </w:pPr>
                  <w:r>
                    <w:rPr>
                      <w:rFonts w:hint="eastAsia" w:hAnsi="宋体"/>
                      <w:lang w:eastAsia="zh-CN"/>
                    </w:rPr>
                    <w:t>机油使用</w:t>
                  </w:r>
                </w:p>
              </w:tc>
              <w:tc>
                <w:tcPr>
                  <w:tcW w:w="2694" w:type="dxa"/>
                  <w:noWrap/>
                  <w:vAlign w:val="center"/>
                </w:tcPr>
                <w:p>
                  <w:pPr>
                    <w:adjustRightInd w:val="0"/>
                    <w:snapToGrid w:val="0"/>
                    <w:jc w:val="center"/>
                    <w:rPr>
                      <w:rFonts w:hint="eastAsia" w:ascii="Times New Roman" w:hAnsi="宋体" w:eastAsia="宋体" w:cs="Times New Roman"/>
                      <w:kern w:val="2"/>
                      <w:sz w:val="21"/>
                      <w:szCs w:val="21"/>
                      <w:lang w:val="en-US" w:eastAsia="zh-CN" w:bidi="ar-SA"/>
                    </w:rPr>
                  </w:pPr>
                  <w:r>
                    <w:rPr>
                      <w:rFonts w:hint="eastAsia" w:hAnsi="宋体"/>
                      <w:szCs w:val="21"/>
                      <w:lang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vMerge w:val="continue"/>
                  <w:noWrap/>
                  <w:vAlign w:val="center"/>
                </w:tcPr>
                <w:p>
                  <w:pPr>
                    <w:adjustRightInd w:val="0"/>
                    <w:snapToGrid w:val="0"/>
                    <w:jc w:val="center"/>
                    <w:rPr>
                      <w:bCs/>
                      <w:szCs w:val="21"/>
                    </w:rPr>
                  </w:pPr>
                </w:p>
              </w:tc>
              <w:tc>
                <w:tcPr>
                  <w:tcW w:w="2586" w:type="dxa"/>
                  <w:noWrap/>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olor w:val="auto"/>
                      <w:szCs w:val="21"/>
                      <w:lang w:val="en-US" w:eastAsia="zh-CN"/>
                    </w:rPr>
                    <w:t>生产过程</w:t>
                  </w:r>
                </w:p>
              </w:tc>
              <w:tc>
                <w:tcPr>
                  <w:tcW w:w="2694" w:type="dxa"/>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废棕丝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vMerge w:val="continue"/>
                  <w:noWrap/>
                  <w:vAlign w:val="center"/>
                </w:tcPr>
                <w:p>
                  <w:pPr>
                    <w:adjustRightInd w:val="0"/>
                    <w:snapToGrid w:val="0"/>
                    <w:jc w:val="center"/>
                    <w:rPr>
                      <w:szCs w:val="21"/>
                    </w:rPr>
                  </w:pPr>
                </w:p>
              </w:tc>
              <w:tc>
                <w:tcPr>
                  <w:tcW w:w="2586" w:type="dxa"/>
                  <w:noWrap/>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olor w:val="auto"/>
                      <w:szCs w:val="21"/>
                      <w:lang w:val="en-US" w:eastAsia="zh-CN"/>
                    </w:rPr>
                    <w:t>生产过程</w:t>
                  </w:r>
                </w:p>
              </w:tc>
              <w:tc>
                <w:tcPr>
                  <w:tcW w:w="2694" w:type="dxa"/>
                  <w:noWrap/>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废滤网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vMerge w:val="continue"/>
                  <w:noWrap/>
                  <w:vAlign w:val="center"/>
                </w:tcPr>
                <w:p>
                  <w:pPr>
                    <w:adjustRightInd w:val="0"/>
                    <w:snapToGrid w:val="0"/>
                    <w:jc w:val="center"/>
                    <w:rPr>
                      <w:szCs w:val="21"/>
                    </w:rPr>
                  </w:pPr>
                </w:p>
              </w:tc>
              <w:tc>
                <w:tcPr>
                  <w:tcW w:w="2586" w:type="dxa"/>
                  <w:noWrap/>
                  <w:vAlign w:val="center"/>
                </w:tcPr>
                <w:p>
                  <w:pPr>
                    <w:adjustRightInd w:val="0"/>
                    <w:snapToGrid w:val="0"/>
                    <w:jc w:val="center"/>
                    <w:rPr>
                      <w:rFonts w:hint="eastAsia"/>
                      <w:szCs w:val="21"/>
                      <w:lang w:eastAsia="zh-CN"/>
                    </w:rPr>
                  </w:pPr>
                  <w:r>
                    <w:rPr>
                      <w:rFonts w:hint="eastAsia"/>
                      <w:szCs w:val="21"/>
                      <w:lang w:eastAsia="zh-CN"/>
                    </w:rPr>
                    <w:t>生产过程</w:t>
                  </w:r>
                </w:p>
              </w:tc>
              <w:tc>
                <w:tcPr>
                  <w:tcW w:w="2694" w:type="dxa"/>
                  <w:noWrap/>
                  <w:vAlign w:val="center"/>
                </w:tcPr>
                <w:p>
                  <w:pPr>
                    <w:adjustRightInd w:val="0"/>
                    <w:snapToGrid w:val="0"/>
                    <w:jc w:val="center"/>
                    <w:rPr>
                      <w:rFonts w:hint="eastAsia"/>
                      <w:szCs w:val="21"/>
                      <w:lang w:eastAsia="zh-CN"/>
                    </w:rPr>
                  </w:pPr>
                  <w:r>
                    <w:rPr>
                      <w:rFonts w:hint="eastAsia"/>
                      <w:szCs w:val="21"/>
                      <w:lang w:eastAsia="zh-CN"/>
                    </w:rPr>
                    <w:t>废弃的含油抹布、劳保用品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vMerge w:val="continue"/>
                  <w:noWrap/>
                  <w:vAlign w:val="center"/>
                </w:tcPr>
                <w:p>
                  <w:pPr>
                    <w:adjustRightInd w:val="0"/>
                    <w:snapToGrid w:val="0"/>
                    <w:jc w:val="center"/>
                    <w:rPr>
                      <w:szCs w:val="21"/>
                    </w:rPr>
                  </w:pPr>
                </w:p>
              </w:tc>
              <w:tc>
                <w:tcPr>
                  <w:tcW w:w="2586" w:type="dxa"/>
                  <w:noWrap/>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废气处理装置</w:t>
                  </w:r>
                </w:p>
              </w:tc>
              <w:tc>
                <w:tcPr>
                  <w:tcW w:w="2694" w:type="dxa"/>
                  <w:noWrap/>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cs="Times New Roman"/>
                      <w:color w:val="auto"/>
                      <w:sz w:val="21"/>
                      <w:szCs w:val="21"/>
                      <w:highlight w:val="none"/>
                      <w:lang w:eastAsia="zh-CN"/>
                    </w:rPr>
                    <w:t>喷淋废液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vMerge w:val="continue"/>
                  <w:noWrap/>
                  <w:vAlign w:val="center"/>
                </w:tcPr>
                <w:p>
                  <w:pPr>
                    <w:adjustRightInd w:val="0"/>
                    <w:snapToGrid w:val="0"/>
                    <w:jc w:val="center"/>
                    <w:rPr>
                      <w:szCs w:val="21"/>
                    </w:rPr>
                  </w:pPr>
                </w:p>
              </w:tc>
              <w:tc>
                <w:tcPr>
                  <w:tcW w:w="1776" w:type="dxa"/>
                  <w:vMerge w:val="continue"/>
                  <w:noWrap/>
                  <w:vAlign w:val="center"/>
                </w:tcPr>
                <w:p>
                  <w:pPr>
                    <w:adjustRightInd w:val="0"/>
                    <w:snapToGrid w:val="0"/>
                    <w:jc w:val="center"/>
                    <w:rPr>
                      <w:szCs w:val="21"/>
                    </w:rPr>
                  </w:pPr>
                </w:p>
              </w:tc>
              <w:tc>
                <w:tcPr>
                  <w:tcW w:w="2586" w:type="dxa"/>
                  <w:noWrap/>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水浆</w:t>
                  </w:r>
                  <w:r>
                    <w:rPr>
                      <w:rFonts w:hint="eastAsia" w:ascii="Times New Roman" w:hAnsi="Times New Roman" w:cs="Times New Roman"/>
                      <w:sz w:val="21"/>
                      <w:szCs w:val="21"/>
                      <w:lang w:eastAsia="zh-CN"/>
                    </w:rPr>
                    <w:t>、加弹油</w:t>
                  </w:r>
                  <w:r>
                    <w:rPr>
                      <w:rFonts w:hint="eastAsia" w:ascii="Times New Roman" w:hAnsi="Times New Roman" w:eastAsia="宋体" w:cs="Times New Roman"/>
                      <w:sz w:val="21"/>
                      <w:szCs w:val="21"/>
                      <w:lang w:eastAsia="zh-CN"/>
                    </w:rPr>
                    <w:t>包装</w:t>
                  </w:r>
                </w:p>
              </w:tc>
              <w:tc>
                <w:tcPr>
                  <w:tcW w:w="2694" w:type="dxa"/>
                  <w:noWrap/>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吨桶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7" w:type="dxa"/>
                  <w:noWrap/>
                  <w:vAlign w:val="center"/>
                </w:tcPr>
                <w:p>
                  <w:pPr>
                    <w:adjustRightInd w:val="0"/>
                    <w:snapToGrid w:val="0"/>
                    <w:jc w:val="center"/>
                    <w:rPr>
                      <w:szCs w:val="21"/>
                    </w:rPr>
                  </w:pPr>
                  <w:r>
                    <w:rPr>
                      <w:rFonts w:hAnsi="宋体"/>
                      <w:szCs w:val="21"/>
                    </w:rPr>
                    <w:t>噪声</w:t>
                  </w:r>
                </w:p>
              </w:tc>
              <w:tc>
                <w:tcPr>
                  <w:tcW w:w="1776" w:type="dxa"/>
                  <w:noWrap/>
                  <w:vAlign w:val="center"/>
                </w:tcPr>
                <w:p>
                  <w:pPr>
                    <w:adjustRightInd w:val="0"/>
                    <w:snapToGrid w:val="0"/>
                    <w:jc w:val="center"/>
                    <w:rPr>
                      <w:szCs w:val="21"/>
                    </w:rPr>
                  </w:pPr>
                  <w:r>
                    <w:rPr>
                      <w:rFonts w:hAnsi="宋体"/>
                      <w:szCs w:val="21"/>
                    </w:rPr>
                    <w:t>机械设备噪声</w:t>
                  </w:r>
                </w:p>
              </w:tc>
              <w:tc>
                <w:tcPr>
                  <w:tcW w:w="2586" w:type="dxa"/>
                  <w:noWrap/>
                  <w:vAlign w:val="center"/>
                </w:tcPr>
                <w:p>
                  <w:pPr>
                    <w:adjustRightInd w:val="0"/>
                    <w:snapToGrid w:val="0"/>
                    <w:jc w:val="center"/>
                    <w:rPr>
                      <w:bCs/>
                      <w:szCs w:val="21"/>
                    </w:rPr>
                  </w:pPr>
                  <w:r>
                    <w:rPr>
                      <w:rFonts w:hAnsi="宋体"/>
                      <w:szCs w:val="21"/>
                    </w:rPr>
                    <w:t>机械设备运行</w:t>
                  </w:r>
                </w:p>
              </w:tc>
              <w:tc>
                <w:tcPr>
                  <w:tcW w:w="2694" w:type="dxa"/>
                  <w:noWrap/>
                  <w:vAlign w:val="center"/>
                </w:tcPr>
                <w:p>
                  <w:pPr>
                    <w:pStyle w:val="144"/>
                    <w:adjustRightInd w:val="0"/>
                    <w:rPr>
                      <w:sz w:val="21"/>
                      <w:szCs w:val="21"/>
                    </w:rPr>
                  </w:pPr>
                  <w:r>
                    <w:rPr>
                      <w:rFonts w:hAnsi="宋体"/>
                      <w:sz w:val="21"/>
                      <w:szCs w:val="21"/>
                    </w:rPr>
                    <w:t>等效连续</w:t>
                  </w:r>
                  <w:r>
                    <w:rPr>
                      <w:sz w:val="21"/>
                      <w:szCs w:val="21"/>
                    </w:rPr>
                    <w:t>A</w:t>
                  </w:r>
                  <w:r>
                    <w:rPr>
                      <w:rFonts w:hAnsi="宋体"/>
                      <w:sz w:val="21"/>
                      <w:szCs w:val="21"/>
                    </w:rPr>
                    <w:t>声级</w:t>
                  </w:r>
                </w:p>
              </w:tc>
            </w:tr>
          </w:tbl>
          <w:p>
            <w:pPr>
              <w:spacing w:line="460" w:lineRule="exact"/>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412" w:type="dxa"/>
            <w:noWrap/>
            <w:tcMar>
              <w:top w:w="0" w:type="dxa"/>
              <w:left w:w="108" w:type="dxa"/>
              <w:bottom w:w="0" w:type="dxa"/>
              <w:right w:w="108" w:type="dxa"/>
            </w:tcMar>
            <w:vAlign w:val="center"/>
          </w:tcPr>
          <w:p>
            <w:pPr>
              <w:widowControl/>
              <w:wordWrap w:val="0"/>
              <w:jc w:val="center"/>
              <w:rPr>
                <w:b w:val="0"/>
                <w:bCs w:val="0"/>
                <w:kern w:val="0"/>
                <w:sz w:val="21"/>
                <w:szCs w:val="21"/>
              </w:rPr>
            </w:pPr>
            <w:r>
              <w:rPr>
                <w:rFonts w:hAnsi="宋体"/>
                <w:b w:val="0"/>
                <w:bCs w:val="0"/>
                <w:kern w:val="0"/>
                <w:sz w:val="21"/>
                <w:szCs w:val="21"/>
              </w:rPr>
              <w:t>与项目有关的原有环境污染问题</w:t>
            </w:r>
          </w:p>
        </w:tc>
        <w:tc>
          <w:tcPr>
            <w:tcW w:w="8659" w:type="dxa"/>
            <w:noWrap/>
            <w:tcMar>
              <w:top w:w="0" w:type="dxa"/>
              <w:left w:w="108" w:type="dxa"/>
              <w:bottom w:w="0" w:type="dxa"/>
              <w:right w:w="108" w:type="dxa"/>
            </w:tcMar>
          </w:tcPr>
          <w:p>
            <w:pPr>
              <w:spacing w:line="500" w:lineRule="exact"/>
              <w:jc w:val="left"/>
              <w:rPr>
                <w:b/>
                <w:bCs/>
                <w:sz w:val="24"/>
              </w:rPr>
            </w:pPr>
            <w:r>
              <w:rPr>
                <w:b/>
                <w:bCs/>
                <w:sz w:val="24"/>
              </w:rPr>
              <w:t>2.4</w:t>
            </w:r>
            <w:r>
              <w:rPr>
                <w:rFonts w:hAnsi="宋体"/>
                <w:b/>
                <w:bCs/>
                <w:sz w:val="24"/>
              </w:rPr>
              <w:t>与本项目有关的原有污染情况及主要环境问题</w:t>
            </w:r>
          </w:p>
          <w:p>
            <w:pPr>
              <w:adjustRightInd w:val="0"/>
              <w:spacing w:line="500" w:lineRule="exact"/>
              <w:contextualSpacing/>
              <w:rPr>
                <w:sz w:val="24"/>
              </w:rPr>
            </w:pPr>
            <w:r>
              <w:rPr>
                <w:b/>
                <w:sz w:val="24"/>
              </w:rPr>
              <w:t>2.4.1</w:t>
            </w:r>
            <w:r>
              <w:rPr>
                <w:rFonts w:hint="eastAsia"/>
                <w:b/>
                <w:sz w:val="24"/>
              </w:rPr>
              <w:t>现有生产情况</w:t>
            </w:r>
            <w:r>
              <w:rPr>
                <w:b/>
                <w:sz w:val="24"/>
              </w:rPr>
              <w:t>概况</w:t>
            </w:r>
          </w:p>
          <w:p>
            <w:pPr>
              <w:spacing w:line="500" w:lineRule="exact"/>
              <w:ind w:firstLine="472" w:firstLineChars="200"/>
              <w:rPr>
                <w:rFonts w:hint="eastAsia" w:hAnsi="宋体" w:eastAsia="宋体"/>
                <w:color w:val="auto"/>
                <w:spacing w:val="-2"/>
                <w:sz w:val="24"/>
                <w:highlight w:val="none"/>
                <w:lang w:eastAsia="zh-CN"/>
              </w:rPr>
            </w:pPr>
            <w:r>
              <w:rPr>
                <w:rFonts w:hint="eastAsia" w:hAnsi="宋体"/>
                <w:color w:val="auto"/>
                <w:spacing w:val="-2"/>
                <w:sz w:val="24"/>
              </w:rPr>
              <w:t>长兴钱宇纺织有限公司位于浙江省长兴县虹星桥镇工业集中区，</w:t>
            </w:r>
            <w:r>
              <w:rPr>
                <w:rFonts w:hint="eastAsia" w:hAnsi="宋体"/>
                <w:color w:val="auto"/>
                <w:spacing w:val="-2"/>
                <w:sz w:val="24"/>
                <w:lang w:eastAsia="zh-CN"/>
              </w:rPr>
              <w:t>是一家专业从事化纤纺织生产的企业。企业至今为止履行的</w:t>
            </w:r>
            <w:r>
              <w:rPr>
                <w:rFonts w:hint="eastAsia"/>
                <w:sz w:val="24"/>
              </w:rPr>
              <w:t>环境影响评价、竣工环境保护验收情况</w:t>
            </w:r>
            <w:r>
              <w:rPr>
                <w:rFonts w:hint="eastAsia"/>
                <w:sz w:val="24"/>
                <w:lang w:eastAsia="zh-CN"/>
              </w:rPr>
              <w:t>见表</w:t>
            </w:r>
            <w:r>
              <w:rPr>
                <w:rFonts w:hint="eastAsia"/>
                <w:sz w:val="24"/>
                <w:lang w:val="en-US" w:eastAsia="zh-CN"/>
              </w:rPr>
              <w:t>2.2-1，</w:t>
            </w:r>
            <w:r>
              <w:rPr>
                <w:rFonts w:hint="eastAsia" w:hAnsi="宋体"/>
                <w:color w:val="auto"/>
                <w:spacing w:val="-2"/>
                <w:sz w:val="24"/>
                <w:lang w:eastAsia="zh-CN"/>
              </w:rPr>
              <w:t>企业目前已放弃“年加工经编丝绒</w:t>
            </w:r>
            <w:r>
              <w:rPr>
                <w:rFonts w:hint="eastAsia" w:hAnsi="宋体"/>
                <w:color w:val="auto"/>
                <w:spacing w:val="-2"/>
                <w:sz w:val="24"/>
                <w:lang w:val="en-US" w:eastAsia="zh-CN"/>
              </w:rPr>
              <w:t>3600吨项目</w:t>
            </w:r>
            <w:r>
              <w:rPr>
                <w:rFonts w:hint="eastAsia" w:hAnsi="宋体"/>
                <w:color w:val="auto"/>
                <w:spacing w:val="-2"/>
                <w:sz w:val="24"/>
                <w:lang w:eastAsia="zh-CN"/>
              </w:rPr>
              <w:t>”的生产。根据</w:t>
            </w:r>
            <w:r>
              <w:rPr>
                <w:rFonts w:hint="eastAsia" w:hAnsi="宋体"/>
                <w:color w:val="auto"/>
                <w:spacing w:val="-2"/>
                <w:sz w:val="24"/>
              </w:rPr>
              <w:t>浙江省环境工程有限公司</w:t>
            </w:r>
            <w:r>
              <w:rPr>
                <w:rFonts w:hint="eastAsia" w:hAnsi="宋体"/>
                <w:color w:val="auto"/>
                <w:spacing w:val="-2"/>
                <w:sz w:val="24"/>
                <w:lang w:eastAsia="zh-CN"/>
              </w:rPr>
              <w:t>于</w:t>
            </w:r>
            <w:r>
              <w:rPr>
                <w:rFonts w:hint="eastAsia" w:hAnsi="宋体"/>
                <w:color w:val="auto"/>
                <w:spacing w:val="-2"/>
                <w:sz w:val="24"/>
                <w:lang w:val="en-US" w:eastAsia="zh-CN"/>
              </w:rPr>
              <w:t>2015年6月</w:t>
            </w:r>
            <w:r>
              <w:rPr>
                <w:rFonts w:hint="eastAsia" w:hAnsi="宋体"/>
                <w:color w:val="auto"/>
                <w:spacing w:val="-2"/>
                <w:sz w:val="24"/>
              </w:rPr>
              <w:t>编制</w:t>
            </w:r>
            <w:r>
              <w:rPr>
                <w:rFonts w:hint="eastAsia" w:hAnsi="宋体"/>
                <w:color w:val="auto"/>
                <w:spacing w:val="-2"/>
                <w:sz w:val="24"/>
                <w:lang w:eastAsia="zh-CN"/>
              </w:rPr>
              <w:t>的</w:t>
            </w:r>
            <w:r>
              <w:rPr>
                <w:rFonts w:hint="eastAsia" w:hAnsi="宋体"/>
                <w:color w:val="auto"/>
                <w:spacing w:val="-2"/>
                <w:sz w:val="24"/>
              </w:rPr>
              <w:t>《长兴钱宇纺织有限公司环境影响现状评价报告》</w:t>
            </w:r>
            <w:r>
              <w:rPr>
                <w:rFonts w:hint="eastAsia" w:hAnsi="宋体"/>
                <w:color w:val="auto"/>
                <w:spacing w:val="-2"/>
                <w:sz w:val="24"/>
                <w:lang w:eastAsia="zh-CN"/>
              </w:rPr>
              <w:t>（</w:t>
            </w:r>
            <w:r>
              <w:rPr>
                <w:rFonts w:hint="eastAsia" w:hAnsi="宋体"/>
                <w:color w:val="auto"/>
                <w:spacing w:val="-2"/>
                <w:sz w:val="24"/>
              </w:rPr>
              <w:t>长环备[2015]87号</w:t>
            </w:r>
            <w:r>
              <w:rPr>
                <w:rFonts w:hint="eastAsia" w:hAnsi="宋体"/>
                <w:color w:val="auto"/>
                <w:spacing w:val="-2"/>
                <w:sz w:val="24"/>
                <w:lang w:eastAsia="zh-CN"/>
              </w:rPr>
              <w:t>）及该项目</w:t>
            </w:r>
            <w:r>
              <w:rPr>
                <w:rFonts w:hint="eastAsia" w:hAnsi="宋体"/>
                <w:color w:val="auto"/>
                <w:spacing w:val="-2"/>
                <w:sz w:val="24"/>
                <w:lang w:val="en-US" w:eastAsia="zh-CN"/>
              </w:rPr>
              <w:t>2022年5月形成的</w:t>
            </w:r>
            <w:r>
              <w:rPr>
                <w:rFonts w:hint="eastAsia" w:hAnsi="宋体"/>
                <w:color w:val="auto"/>
                <w:spacing w:val="-2"/>
                <w:sz w:val="24"/>
                <w:lang w:eastAsia="zh-CN"/>
              </w:rPr>
              <w:t>自主验收报告内容，</w:t>
            </w:r>
            <w:r>
              <w:rPr>
                <w:rFonts w:hint="eastAsia" w:hAnsi="宋体"/>
                <w:color w:val="auto"/>
                <w:sz w:val="24"/>
                <w:highlight w:val="none"/>
                <w:lang w:eastAsia="zh-CN"/>
              </w:rPr>
              <w:t>确定</w:t>
            </w:r>
            <w:r>
              <w:rPr>
                <w:rFonts w:hint="eastAsia" w:hAnsi="宋体"/>
                <w:color w:val="auto"/>
                <w:sz w:val="24"/>
                <w:highlight w:val="none"/>
              </w:rPr>
              <w:t>验收时</w:t>
            </w:r>
            <w:r>
              <w:rPr>
                <w:rFonts w:hint="eastAsia" w:hAnsi="宋体"/>
                <w:color w:val="auto"/>
                <w:sz w:val="24"/>
                <w:highlight w:val="none"/>
                <w:lang w:eastAsia="zh-CN"/>
              </w:rPr>
              <w:t>全厂</w:t>
            </w:r>
            <w:r>
              <w:rPr>
                <w:rFonts w:hint="eastAsia" w:hAnsi="宋体"/>
                <w:color w:val="auto"/>
                <w:sz w:val="24"/>
                <w:highlight w:val="none"/>
              </w:rPr>
              <w:t>年产量为</w:t>
            </w:r>
            <w:r>
              <w:rPr>
                <w:rFonts w:hint="eastAsia" w:hAnsi="宋体"/>
                <w:color w:val="auto"/>
                <w:sz w:val="24"/>
                <w:highlight w:val="none"/>
                <w:lang w:eastAsia="zh-CN"/>
              </w:rPr>
              <w:t>年产</w:t>
            </w:r>
            <w:r>
              <w:rPr>
                <w:rFonts w:hint="eastAsia" w:hAnsi="宋体"/>
                <w:color w:val="auto"/>
                <w:sz w:val="24"/>
                <w:highlight w:val="none"/>
                <w:lang w:val="en-US" w:eastAsia="zh-CN"/>
              </w:rPr>
              <w:t>1500</w:t>
            </w:r>
            <w:r>
              <w:rPr>
                <w:rFonts w:hint="eastAsia" w:hAnsi="宋体"/>
                <w:color w:val="auto"/>
                <w:sz w:val="24"/>
                <w:highlight w:val="none"/>
              </w:rPr>
              <w:t>万米化纤布</w:t>
            </w:r>
            <w:r>
              <w:rPr>
                <w:rFonts w:hAnsi="宋体"/>
                <w:color w:val="auto"/>
                <w:spacing w:val="-2"/>
                <w:sz w:val="24"/>
                <w:highlight w:val="none"/>
              </w:rPr>
              <w:t>。</w:t>
            </w:r>
          </w:p>
          <w:p>
            <w:pPr>
              <w:adjustRightInd w:val="0"/>
              <w:spacing w:line="500" w:lineRule="exact"/>
              <w:ind w:firstLine="480" w:firstLineChars="200"/>
              <w:contextualSpacing/>
              <w:rPr>
                <w:color w:val="auto"/>
                <w:sz w:val="24"/>
              </w:rPr>
            </w:pPr>
            <w:r>
              <w:rPr>
                <w:rFonts w:hAnsi="宋体"/>
                <w:color w:val="auto"/>
                <w:sz w:val="24"/>
              </w:rPr>
              <w:t>（</w:t>
            </w:r>
            <w:r>
              <w:rPr>
                <w:color w:val="auto"/>
                <w:sz w:val="24"/>
              </w:rPr>
              <w:t>1</w:t>
            </w:r>
            <w:r>
              <w:rPr>
                <w:rFonts w:hAnsi="宋体"/>
                <w:color w:val="auto"/>
                <w:sz w:val="24"/>
              </w:rPr>
              <w:t>）</w:t>
            </w:r>
            <w:r>
              <w:rPr>
                <w:rFonts w:hint="eastAsia" w:hAnsi="宋体"/>
                <w:color w:val="auto"/>
                <w:sz w:val="24"/>
              </w:rPr>
              <w:t>现有生产情况</w:t>
            </w:r>
            <w:r>
              <w:rPr>
                <w:rFonts w:hAnsi="宋体"/>
                <w:color w:val="auto"/>
                <w:sz w:val="24"/>
                <w:szCs w:val="22"/>
              </w:rPr>
              <w:t>产品方案</w:t>
            </w:r>
          </w:p>
          <w:p>
            <w:pPr>
              <w:pStyle w:val="353"/>
            </w:pPr>
            <w:r>
              <w:rPr>
                <w:rFonts w:hAnsi="宋体"/>
              </w:rPr>
              <w:t>表</w:t>
            </w:r>
            <w:r>
              <w:t xml:space="preserve">2.4-1 </w:t>
            </w:r>
            <w:r>
              <w:rPr>
                <w:rFonts w:hint="eastAsia"/>
              </w:rPr>
              <w:t>现有生产情况</w:t>
            </w:r>
            <w:r>
              <w:rPr>
                <w:rFonts w:hAnsi="宋体"/>
              </w:rPr>
              <w:t>产品方案一览表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296"/>
              <w:gridCol w:w="2296"/>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Align w:val="center"/>
                </w:tcPr>
                <w:p>
                  <w:pPr>
                    <w:adjustRightInd w:val="0"/>
                    <w:snapToGrid w:val="0"/>
                    <w:jc w:val="center"/>
                    <w:rPr>
                      <w:bCs/>
                      <w:szCs w:val="21"/>
                    </w:rPr>
                  </w:pPr>
                  <w:r>
                    <w:rPr>
                      <w:rFonts w:hAnsi="宋体"/>
                      <w:bCs/>
                      <w:szCs w:val="21"/>
                    </w:rPr>
                    <w:t>序号</w:t>
                  </w:r>
                </w:p>
              </w:tc>
              <w:tc>
                <w:tcPr>
                  <w:tcW w:w="1857" w:type="dxa"/>
                  <w:vAlign w:val="center"/>
                </w:tcPr>
                <w:p>
                  <w:pPr>
                    <w:adjustRightInd w:val="0"/>
                    <w:snapToGrid w:val="0"/>
                    <w:jc w:val="center"/>
                    <w:rPr>
                      <w:bCs/>
                      <w:szCs w:val="21"/>
                    </w:rPr>
                  </w:pPr>
                  <w:r>
                    <w:rPr>
                      <w:rFonts w:hAnsi="宋体"/>
                      <w:bCs/>
                      <w:szCs w:val="21"/>
                    </w:rPr>
                    <w:t>产品名称</w:t>
                  </w:r>
                </w:p>
              </w:tc>
              <w:tc>
                <w:tcPr>
                  <w:tcW w:w="1857" w:type="dxa"/>
                  <w:vAlign w:val="center"/>
                </w:tcPr>
                <w:p>
                  <w:pPr>
                    <w:adjustRightInd w:val="0"/>
                    <w:snapToGrid w:val="0"/>
                    <w:jc w:val="center"/>
                    <w:rPr>
                      <w:bCs/>
                      <w:color w:val="auto"/>
                      <w:szCs w:val="21"/>
                    </w:rPr>
                  </w:pPr>
                  <w:r>
                    <w:rPr>
                      <w:rFonts w:hint="eastAsia" w:hAnsi="宋体"/>
                      <w:bCs/>
                      <w:color w:val="auto"/>
                      <w:szCs w:val="21"/>
                      <w:lang w:eastAsia="zh-CN"/>
                    </w:rPr>
                    <w:t>现状核查</w:t>
                  </w:r>
                  <w:r>
                    <w:rPr>
                      <w:rFonts w:hint="eastAsia" w:hAnsi="宋体"/>
                      <w:bCs/>
                      <w:color w:val="auto"/>
                      <w:szCs w:val="21"/>
                    </w:rPr>
                    <w:t>验收</w:t>
                  </w:r>
                  <w:r>
                    <w:rPr>
                      <w:rFonts w:hAnsi="宋体"/>
                      <w:bCs/>
                      <w:color w:val="auto"/>
                      <w:szCs w:val="21"/>
                    </w:rPr>
                    <w:t>产能</w:t>
                  </w:r>
                </w:p>
              </w:tc>
              <w:tc>
                <w:tcPr>
                  <w:tcW w:w="1858" w:type="dxa"/>
                  <w:vAlign w:val="center"/>
                </w:tcPr>
                <w:p>
                  <w:pPr>
                    <w:adjustRightInd w:val="0"/>
                    <w:snapToGrid w:val="0"/>
                    <w:jc w:val="center"/>
                    <w:rPr>
                      <w:rFonts w:hint="eastAsia" w:eastAsia="宋体"/>
                      <w:bCs/>
                      <w:color w:val="auto"/>
                      <w:szCs w:val="21"/>
                      <w:lang w:val="en-US" w:eastAsia="zh-CN"/>
                    </w:rPr>
                  </w:pPr>
                  <w:r>
                    <w:rPr>
                      <w:bCs/>
                      <w:color w:val="auto"/>
                      <w:szCs w:val="21"/>
                    </w:rPr>
                    <w:t>202</w:t>
                  </w:r>
                  <w:r>
                    <w:rPr>
                      <w:rFonts w:hint="eastAsia"/>
                      <w:bCs/>
                      <w:color w:val="auto"/>
                      <w:szCs w:val="21"/>
                    </w:rPr>
                    <w:t>1</w:t>
                  </w:r>
                  <w:r>
                    <w:rPr>
                      <w:rFonts w:hAnsi="宋体"/>
                      <w:bCs/>
                      <w:color w:val="auto"/>
                      <w:szCs w:val="21"/>
                    </w:rPr>
                    <w:t>年实际产</w:t>
                  </w:r>
                  <w:r>
                    <w:rPr>
                      <w:rFonts w:hint="eastAsia" w:hAnsi="宋体"/>
                      <w:bCs/>
                      <w:color w:val="auto"/>
                      <w:szCs w:val="21"/>
                      <w:lang w:val="en-US" w:eastAsia="zh-CN"/>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5" w:type="dxa"/>
                  <w:vAlign w:val="center"/>
                </w:tcPr>
                <w:p>
                  <w:pPr>
                    <w:adjustRightInd w:val="0"/>
                    <w:snapToGrid w:val="0"/>
                    <w:jc w:val="center"/>
                    <w:rPr>
                      <w:szCs w:val="21"/>
                    </w:rPr>
                  </w:pPr>
                  <w:r>
                    <w:rPr>
                      <w:szCs w:val="21"/>
                    </w:rPr>
                    <w:t>1</w:t>
                  </w:r>
                </w:p>
              </w:tc>
              <w:tc>
                <w:tcPr>
                  <w:tcW w:w="1857" w:type="dxa"/>
                  <w:vAlign w:val="center"/>
                </w:tcPr>
                <w:p>
                  <w:pPr>
                    <w:adjustRightInd w:val="0"/>
                    <w:snapToGrid w:val="0"/>
                    <w:jc w:val="center"/>
                    <w:rPr>
                      <w:szCs w:val="21"/>
                    </w:rPr>
                  </w:pPr>
                  <w:r>
                    <w:rPr>
                      <w:rFonts w:hint="eastAsia" w:hAnsi="宋体"/>
                      <w:bCs/>
                      <w:color w:val="000000"/>
                      <w:szCs w:val="21"/>
                    </w:rPr>
                    <w:t>化纤布</w:t>
                  </w:r>
                </w:p>
              </w:tc>
              <w:tc>
                <w:tcPr>
                  <w:tcW w:w="1857" w:type="dxa"/>
                  <w:vAlign w:val="center"/>
                </w:tcPr>
                <w:p>
                  <w:pPr>
                    <w:adjustRightInd w:val="0"/>
                    <w:snapToGrid w:val="0"/>
                    <w:jc w:val="center"/>
                    <w:rPr>
                      <w:color w:val="auto"/>
                      <w:szCs w:val="21"/>
                    </w:rPr>
                  </w:pPr>
                  <w:r>
                    <w:rPr>
                      <w:rFonts w:hint="eastAsia"/>
                      <w:color w:val="auto"/>
                      <w:szCs w:val="21"/>
                      <w:lang w:val="en-US" w:eastAsia="zh-CN"/>
                    </w:rPr>
                    <w:t>1500</w:t>
                  </w:r>
                  <w:r>
                    <w:rPr>
                      <w:rFonts w:hint="eastAsia"/>
                      <w:color w:val="auto"/>
                      <w:szCs w:val="21"/>
                    </w:rPr>
                    <w:t>万米</w:t>
                  </w:r>
                </w:p>
              </w:tc>
              <w:tc>
                <w:tcPr>
                  <w:tcW w:w="1858" w:type="dxa"/>
                  <w:vAlign w:val="center"/>
                </w:tcPr>
                <w:p>
                  <w:pPr>
                    <w:adjustRightInd w:val="0"/>
                    <w:snapToGrid w:val="0"/>
                    <w:jc w:val="center"/>
                    <w:rPr>
                      <w:color w:val="auto"/>
                      <w:szCs w:val="21"/>
                    </w:rPr>
                  </w:pPr>
                  <w:r>
                    <w:rPr>
                      <w:rFonts w:hint="eastAsia"/>
                      <w:color w:val="auto"/>
                      <w:szCs w:val="21"/>
                      <w:lang w:val="en-US" w:eastAsia="zh-CN"/>
                    </w:rPr>
                    <w:t>1500</w:t>
                  </w:r>
                  <w:r>
                    <w:rPr>
                      <w:rFonts w:hint="eastAsia"/>
                      <w:color w:val="auto"/>
                      <w:szCs w:val="21"/>
                    </w:rPr>
                    <w:t>万米</w:t>
                  </w:r>
                </w:p>
              </w:tc>
            </w:tr>
          </w:tbl>
          <w:p>
            <w:pPr>
              <w:spacing w:line="500" w:lineRule="exact"/>
              <w:ind w:firstLine="480" w:firstLineChars="200"/>
              <w:rPr>
                <w:sz w:val="24"/>
              </w:rPr>
            </w:pPr>
            <w:r>
              <w:rPr>
                <w:rFonts w:hAnsi="宋体"/>
                <w:sz w:val="24"/>
              </w:rPr>
              <w:t>（</w:t>
            </w:r>
            <w:r>
              <w:rPr>
                <w:sz w:val="24"/>
              </w:rPr>
              <w:t>2</w:t>
            </w:r>
            <w:r>
              <w:rPr>
                <w:rFonts w:hAnsi="宋体"/>
                <w:sz w:val="24"/>
              </w:rPr>
              <w:t>）</w:t>
            </w:r>
            <w:r>
              <w:rPr>
                <w:rFonts w:hint="eastAsia" w:hAnsi="宋体"/>
                <w:sz w:val="24"/>
              </w:rPr>
              <w:t>现有生产情况</w:t>
            </w:r>
            <w:r>
              <w:rPr>
                <w:rFonts w:hAnsi="宋体"/>
                <w:sz w:val="24"/>
              </w:rPr>
              <w:t>生产设备情况</w:t>
            </w:r>
          </w:p>
          <w:p>
            <w:pPr>
              <w:pStyle w:val="353"/>
              <w:rPr>
                <w:rFonts w:hAnsi="宋体"/>
              </w:rPr>
            </w:pPr>
          </w:p>
          <w:p>
            <w:pPr>
              <w:pStyle w:val="353"/>
              <w:rPr>
                <w:rFonts w:hAnsi="宋体"/>
              </w:rPr>
            </w:pPr>
          </w:p>
          <w:p>
            <w:pPr>
              <w:pStyle w:val="353"/>
              <w:rPr>
                <w:rFonts w:hAnsi="宋体"/>
              </w:rPr>
            </w:pPr>
            <w:r>
              <w:rPr>
                <w:rFonts w:hAnsi="宋体"/>
              </w:rPr>
              <w:t xml:space="preserve">表2.4-2  </w:t>
            </w:r>
            <w:r>
              <w:rPr>
                <w:rFonts w:hint="eastAsia" w:hAnsi="宋体"/>
              </w:rPr>
              <w:t>现有生产情况</w:t>
            </w:r>
            <w:r>
              <w:rPr>
                <w:rFonts w:hAnsi="宋体"/>
              </w:rPr>
              <w:t>生产设备列表表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884"/>
              <w:gridCol w:w="1728"/>
              <w:gridCol w:w="2255"/>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dxa"/>
                  <w:vAlign w:val="center"/>
                </w:tcPr>
                <w:p>
                  <w:pPr>
                    <w:widowControl/>
                    <w:adjustRightInd w:val="0"/>
                    <w:snapToGrid w:val="0"/>
                    <w:jc w:val="center"/>
                    <w:rPr>
                      <w:bCs/>
                      <w:kern w:val="0"/>
                      <w:szCs w:val="21"/>
                    </w:rPr>
                  </w:pPr>
                  <w:r>
                    <w:rPr>
                      <w:rFonts w:hAnsi="宋体"/>
                      <w:bCs/>
                      <w:kern w:val="0"/>
                      <w:szCs w:val="21"/>
                    </w:rPr>
                    <w:t>序号</w:t>
                  </w:r>
                </w:p>
              </w:tc>
              <w:tc>
                <w:tcPr>
                  <w:tcW w:w="1884" w:type="dxa"/>
                  <w:vAlign w:val="center"/>
                </w:tcPr>
                <w:p>
                  <w:pPr>
                    <w:widowControl/>
                    <w:adjustRightInd w:val="0"/>
                    <w:snapToGrid w:val="0"/>
                    <w:jc w:val="center"/>
                    <w:rPr>
                      <w:bCs/>
                      <w:kern w:val="0"/>
                      <w:szCs w:val="21"/>
                    </w:rPr>
                  </w:pPr>
                  <w:r>
                    <w:rPr>
                      <w:rFonts w:hAnsi="宋体"/>
                      <w:bCs/>
                      <w:kern w:val="0"/>
                      <w:szCs w:val="21"/>
                    </w:rPr>
                    <w:t>设备名称</w:t>
                  </w:r>
                </w:p>
              </w:tc>
              <w:tc>
                <w:tcPr>
                  <w:tcW w:w="1728" w:type="dxa"/>
                  <w:vAlign w:val="center"/>
                </w:tcPr>
                <w:p>
                  <w:pPr>
                    <w:widowControl/>
                    <w:adjustRightInd w:val="0"/>
                    <w:snapToGrid w:val="0"/>
                    <w:jc w:val="center"/>
                    <w:rPr>
                      <w:bCs/>
                      <w:kern w:val="0"/>
                      <w:szCs w:val="21"/>
                    </w:rPr>
                  </w:pPr>
                  <w:r>
                    <w:rPr>
                      <w:rFonts w:hAnsi="宋体"/>
                      <w:bCs/>
                      <w:kern w:val="0"/>
                      <w:szCs w:val="21"/>
                    </w:rPr>
                    <w:t>规格型号</w:t>
                  </w:r>
                </w:p>
              </w:tc>
              <w:tc>
                <w:tcPr>
                  <w:tcW w:w="2255" w:type="dxa"/>
                  <w:vAlign w:val="center"/>
                </w:tcPr>
                <w:p>
                  <w:pPr>
                    <w:widowControl/>
                    <w:adjustRightInd w:val="0"/>
                    <w:snapToGrid w:val="0"/>
                    <w:jc w:val="center"/>
                    <w:rPr>
                      <w:rFonts w:hint="eastAsia" w:eastAsia="宋体"/>
                      <w:bCs/>
                      <w:kern w:val="0"/>
                      <w:szCs w:val="21"/>
                      <w:lang w:eastAsia="zh-CN"/>
                    </w:rPr>
                  </w:pPr>
                  <w:r>
                    <w:rPr>
                      <w:rFonts w:hAnsi="宋体"/>
                      <w:bCs/>
                      <w:kern w:val="0"/>
                      <w:szCs w:val="21"/>
                    </w:rPr>
                    <w:t>现有数量</w:t>
                  </w:r>
                  <w:r>
                    <w:rPr>
                      <w:rFonts w:hint="eastAsia" w:hAnsi="宋体"/>
                      <w:bCs/>
                      <w:kern w:val="0"/>
                      <w:szCs w:val="21"/>
                      <w:lang w:eastAsia="zh-CN"/>
                    </w:rPr>
                    <w:t>（台</w:t>
                  </w:r>
                  <w:r>
                    <w:rPr>
                      <w:rFonts w:hint="eastAsia" w:hAnsi="宋体"/>
                      <w:bCs/>
                      <w:kern w:val="0"/>
                      <w:szCs w:val="21"/>
                      <w:lang w:val="en-US" w:eastAsia="zh-CN"/>
                    </w:rPr>
                    <w:t>/套</w:t>
                  </w:r>
                  <w:r>
                    <w:rPr>
                      <w:rFonts w:hint="eastAsia" w:hAnsi="宋体"/>
                      <w:bCs/>
                      <w:kern w:val="0"/>
                      <w:szCs w:val="21"/>
                      <w:lang w:eastAsia="zh-CN"/>
                    </w:rPr>
                    <w:t>）</w:t>
                  </w:r>
                </w:p>
              </w:tc>
              <w:tc>
                <w:tcPr>
                  <w:tcW w:w="1401" w:type="dxa"/>
                  <w:vAlign w:val="center"/>
                </w:tcPr>
                <w:p>
                  <w:pPr>
                    <w:widowControl/>
                    <w:adjustRightInd w:val="0"/>
                    <w:snapToGrid w:val="0"/>
                    <w:jc w:val="center"/>
                    <w:rPr>
                      <w:bCs/>
                      <w:kern w:val="0"/>
                      <w:szCs w:val="21"/>
                    </w:rPr>
                  </w:pPr>
                  <w:r>
                    <w:rPr>
                      <w:rFonts w:hAnsi="宋体"/>
                      <w:bCs/>
                      <w:kern w:val="0"/>
                      <w:szCs w:val="21"/>
                    </w:rPr>
                    <w:t>所在位置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dxa"/>
                  <w:vAlign w:val="center"/>
                </w:tcPr>
                <w:p>
                  <w:pPr>
                    <w:adjustRightInd w:val="0"/>
                    <w:snapToGrid w:val="0"/>
                    <w:jc w:val="center"/>
                    <w:rPr>
                      <w:bCs/>
                      <w:szCs w:val="21"/>
                    </w:rPr>
                  </w:pPr>
                  <w:r>
                    <w:rPr>
                      <w:szCs w:val="21"/>
                    </w:rPr>
                    <w:t>1</w:t>
                  </w:r>
                </w:p>
              </w:tc>
              <w:tc>
                <w:tcPr>
                  <w:tcW w:w="1884" w:type="dxa"/>
                  <w:vAlign w:val="center"/>
                </w:tcPr>
                <w:p>
                  <w:pPr>
                    <w:widowControl/>
                    <w:contextualSpacing/>
                    <w:jc w:val="center"/>
                    <w:textAlignment w:val="center"/>
                    <w:rPr>
                      <w:rFonts w:ascii="Times New Roman" w:hAnsi="Times New Roman" w:eastAsia="宋体" w:cs="Times New Roman"/>
                      <w:color w:val="000000"/>
                      <w:kern w:val="0"/>
                      <w:sz w:val="21"/>
                      <w:szCs w:val="21"/>
                      <w:highlight w:val="none"/>
                      <w:lang w:val="en-US" w:eastAsia="zh-CN" w:bidi="ar-SA"/>
                    </w:rPr>
                  </w:pPr>
                  <w:r>
                    <w:rPr>
                      <w:rFonts w:hint="eastAsia" w:hAnsi="宋体" w:eastAsia="宋体"/>
                      <w:bCs/>
                      <w:szCs w:val="21"/>
                    </w:rPr>
                    <w:t>喷水织机</w:t>
                  </w:r>
                </w:p>
              </w:tc>
              <w:tc>
                <w:tcPr>
                  <w:tcW w:w="1728" w:type="dxa"/>
                  <w:vAlign w:val="center"/>
                </w:tcPr>
                <w:p>
                  <w:pPr>
                    <w:widowControl/>
                    <w:contextualSpacing/>
                    <w:jc w:val="center"/>
                    <w:textAlignment w:val="center"/>
                    <w:rPr>
                      <w:rFonts w:ascii="Times New Roman" w:hAnsi="Times New Roman" w:eastAsia="宋体" w:cs="Times New Roman"/>
                      <w:color w:val="000000"/>
                      <w:kern w:val="0"/>
                      <w:sz w:val="21"/>
                      <w:szCs w:val="21"/>
                      <w:highlight w:val="none"/>
                      <w:lang w:val="en-US" w:eastAsia="zh-CN" w:bidi="ar-SA"/>
                    </w:rPr>
                  </w:pPr>
                  <w:r>
                    <w:rPr>
                      <w:rFonts w:hint="eastAsia" w:hAnsi="宋体" w:eastAsia="宋体"/>
                      <w:bCs/>
                      <w:szCs w:val="21"/>
                    </w:rPr>
                    <w:t>普通290型</w:t>
                  </w:r>
                </w:p>
              </w:tc>
              <w:tc>
                <w:tcPr>
                  <w:tcW w:w="2255" w:type="dxa"/>
                  <w:vAlign w:val="center"/>
                </w:tcPr>
                <w:p>
                  <w:pPr>
                    <w:widowControl/>
                    <w:contextualSpacing/>
                    <w:jc w:val="center"/>
                    <w:textAlignment w:val="center"/>
                    <w:rPr>
                      <w:rFonts w:ascii="Times New Roman" w:hAnsi="Times New Roman" w:eastAsia="宋体" w:cs="Times New Roman"/>
                      <w:color w:val="000000"/>
                      <w:kern w:val="0"/>
                      <w:sz w:val="21"/>
                      <w:szCs w:val="21"/>
                      <w:highlight w:val="none"/>
                      <w:lang w:val="en-US" w:eastAsia="zh-CN" w:bidi="ar-SA"/>
                    </w:rPr>
                  </w:pPr>
                  <w:r>
                    <w:rPr>
                      <w:rFonts w:hint="eastAsia" w:eastAsia="楷体"/>
                      <w:bCs/>
                      <w:kern w:val="0"/>
                      <w:szCs w:val="21"/>
                    </w:rPr>
                    <w:t>248</w:t>
                  </w:r>
                </w:p>
              </w:tc>
              <w:tc>
                <w:tcPr>
                  <w:tcW w:w="1401" w:type="dxa"/>
                  <w:vAlign w:val="center"/>
                </w:tcPr>
                <w:p>
                  <w:pPr>
                    <w:widowControl/>
                    <w:adjustRightInd w:val="0"/>
                    <w:snapToGrid w:val="0"/>
                    <w:jc w:val="center"/>
                    <w:textAlignment w:val="center"/>
                    <w:rPr>
                      <w:kern w:val="0"/>
                      <w:szCs w:val="21"/>
                    </w:rPr>
                  </w:pPr>
                  <w:r>
                    <w:rPr>
                      <w:rFonts w:hAnsi="宋体"/>
                      <w:kern w:val="0"/>
                      <w:szCs w:val="21"/>
                    </w:rPr>
                    <w:t>织造车间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dxa"/>
                  <w:vAlign w:val="center"/>
                </w:tcPr>
                <w:p>
                  <w:pPr>
                    <w:adjustRightInd w:val="0"/>
                    <w:snapToGrid w:val="0"/>
                    <w:jc w:val="center"/>
                    <w:rPr>
                      <w:szCs w:val="21"/>
                    </w:rPr>
                  </w:pPr>
                  <w:r>
                    <w:rPr>
                      <w:szCs w:val="21"/>
                    </w:rPr>
                    <w:t>2</w:t>
                  </w:r>
                </w:p>
              </w:tc>
              <w:tc>
                <w:tcPr>
                  <w:tcW w:w="1884" w:type="dxa"/>
                  <w:vAlign w:val="center"/>
                </w:tcPr>
                <w:p>
                  <w:pPr>
                    <w:widowControl/>
                    <w:contextualSpacing/>
                    <w:jc w:val="center"/>
                    <w:textAlignment w:val="center"/>
                    <w:rPr>
                      <w:rFonts w:hint="eastAsia" w:ascii="Times New Roman" w:hAnsi="宋体" w:eastAsia="宋体" w:cs="Times New Roman"/>
                      <w:bCs/>
                      <w:kern w:val="2"/>
                      <w:sz w:val="21"/>
                      <w:szCs w:val="21"/>
                      <w:lang w:val="en-US" w:eastAsia="zh-CN" w:bidi="ar-SA"/>
                    </w:rPr>
                  </w:pPr>
                  <w:r>
                    <w:rPr>
                      <w:rFonts w:hint="eastAsia" w:hAnsi="宋体" w:eastAsia="宋体"/>
                      <w:bCs/>
                      <w:szCs w:val="21"/>
                    </w:rPr>
                    <w:t>加弹机</w:t>
                  </w:r>
                </w:p>
              </w:tc>
              <w:tc>
                <w:tcPr>
                  <w:tcW w:w="1728" w:type="dxa"/>
                  <w:vAlign w:val="center"/>
                </w:tcPr>
                <w:p>
                  <w:pPr>
                    <w:widowControl/>
                    <w:contextualSpacing/>
                    <w:jc w:val="center"/>
                    <w:textAlignment w:val="center"/>
                    <w:rPr>
                      <w:rFonts w:hint="eastAsia" w:ascii="Times New Roman" w:hAnsi="宋体" w:eastAsia="宋体" w:cs="Times New Roman"/>
                      <w:bCs/>
                      <w:kern w:val="2"/>
                      <w:sz w:val="21"/>
                      <w:szCs w:val="21"/>
                      <w:lang w:val="en-US" w:eastAsia="zh-CN" w:bidi="ar-SA"/>
                    </w:rPr>
                  </w:pPr>
                  <w:r>
                    <w:rPr>
                      <w:rFonts w:hint="eastAsia" w:hAnsi="宋体" w:eastAsia="宋体"/>
                      <w:bCs/>
                      <w:szCs w:val="21"/>
                    </w:rPr>
                    <w:t>1000型</w:t>
                  </w:r>
                </w:p>
              </w:tc>
              <w:tc>
                <w:tcPr>
                  <w:tcW w:w="2255" w:type="dxa"/>
                  <w:vAlign w:val="center"/>
                </w:tcPr>
                <w:p>
                  <w:pPr>
                    <w:widowControl/>
                    <w:adjustRightInd w:val="0"/>
                    <w:snapToGrid w:val="0"/>
                    <w:jc w:val="center"/>
                    <w:rPr>
                      <w:rFonts w:hint="eastAsia" w:ascii="楷体" w:hAnsi="楷体" w:eastAsia="楷体" w:cs="楷体"/>
                      <w:bCs/>
                      <w:kern w:val="0"/>
                      <w:sz w:val="21"/>
                      <w:szCs w:val="21"/>
                      <w:lang w:val="en-US" w:eastAsia="zh-CN" w:bidi="ar-SA"/>
                    </w:rPr>
                  </w:pPr>
                  <w:r>
                    <w:rPr>
                      <w:rFonts w:hint="eastAsia" w:eastAsia="楷体"/>
                      <w:bCs/>
                      <w:kern w:val="0"/>
                      <w:szCs w:val="21"/>
                    </w:rPr>
                    <w:t>2</w:t>
                  </w:r>
                </w:p>
              </w:tc>
              <w:tc>
                <w:tcPr>
                  <w:tcW w:w="1401" w:type="dxa"/>
                  <w:vAlign w:val="center"/>
                </w:tcPr>
                <w:p>
                  <w:pPr>
                    <w:widowControl/>
                    <w:adjustRightInd w:val="0"/>
                    <w:snapToGrid w:val="0"/>
                    <w:jc w:val="center"/>
                    <w:textAlignment w:val="center"/>
                    <w:rPr>
                      <w:kern w:val="0"/>
                      <w:szCs w:val="21"/>
                    </w:rPr>
                  </w:pPr>
                  <w:r>
                    <w:rPr>
                      <w:rFonts w:hint="eastAsia" w:hAnsi="宋体"/>
                      <w:kern w:val="0"/>
                      <w:szCs w:val="21"/>
                      <w:lang w:eastAsia="zh-CN"/>
                    </w:rPr>
                    <w:t>加弹</w:t>
                  </w:r>
                  <w:r>
                    <w:rPr>
                      <w:rFonts w:hAnsi="宋体"/>
                      <w:kern w:val="0"/>
                      <w:szCs w:val="21"/>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dxa"/>
                  <w:vAlign w:val="center"/>
                </w:tcPr>
                <w:p>
                  <w:pPr>
                    <w:adjustRightInd w:val="0"/>
                    <w:snapToGrid w:val="0"/>
                    <w:jc w:val="center"/>
                    <w:rPr>
                      <w:bCs/>
                      <w:szCs w:val="21"/>
                    </w:rPr>
                  </w:pPr>
                  <w:r>
                    <w:rPr>
                      <w:szCs w:val="21"/>
                    </w:rPr>
                    <w:t>3</w:t>
                  </w:r>
                </w:p>
              </w:tc>
              <w:tc>
                <w:tcPr>
                  <w:tcW w:w="1884" w:type="dxa"/>
                  <w:vAlign w:val="center"/>
                </w:tcPr>
                <w:p>
                  <w:pPr>
                    <w:widowControl/>
                    <w:contextualSpacing/>
                    <w:jc w:val="center"/>
                    <w:textAlignment w:val="center"/>
                    <w:rPr>
                      <w:rFonts w:hint="eastAsia" w:hAnsi="宋体" w:eastAsia="宋体"/>
                      <w:bCs/>
                      <w:szCs w:val="21"/>
                    </w:rPr>
                  </w:pPr>
                  <w:r>
                    <w:rPr>
                      <w:rFonts w:hint="eastAsia" w:hAnsi="宋体" w:eastAsia="宋体"/>
                      <w:bCs/>
                      <w:szCs w:val="21"/>
                    </w:rPr>
                    <w:t>空压机</w:t>
                  </w:r>
                </w:p>
                <w:p>
                  <w:pPr>
                    <w:widowControl/>
                    <w:contextualSpacing/>
                    <w:jc w:val="center"/>
                    <w:textAlignment w:val="center"/>
                    <w:rPr>
                      <w:rFonts w:hint="eastAsia" w:ascii="Times New Roman" w:hAnsi="宋体" w:eastAsia="宋体" w:cs="Times New Roman"/>
                      <w:bCs/>
                      <w:kern w:val="2"/>
                      <w:sz w:val="21"/>
                      <w:szCs w:val="21"/>
                      <w:lang w:val="en-US" w:eastAsia="zh-CN" w:bidi="ar-SA"/>
                    </w:rPr>
                  </w:pPr>
                  <w:r>
                    <w:rPr>
                      <w:rFonts w:hint="eastAsia" w:hAnsi="宋体" w:eastAsia="宋体"/>
                      <w:bCs/>
                      <w:szCs w:val="21"/>
                    </w:rPr>
                    <w:t>（配套加弹机）</w:t>
                  </w:r>
                </w:p>
              </w:tc>
              <w:tc>
                <w:tcPr>
                  <w:tcW w:w="1728" w:type="dxa"/>
                  <w:vAlign w:val="center"/>
                </w:tcPr>
                <w:p>
                  <w:pPr>
                    <w:pStyle w:val="31"/>
                    <w:adjustRightInd w:val="0"/>
                    <w:snapToGrid w:val="0"/>
                    <w:spacing w:line="240" w:lineRule="auto"/>
                    <w:ind w:firstLine="0"/>
                    <w:jc w:val="center"/>
                    <w:rPr>
                      <w:rFonts w:hint="eastAsia" w:eastAsia="宋体"/>
                      <w:bCs/>
                      <w:szCs w:val="21"/>
                      <w:lang w:val="en-US" w:eastAsia="zh-CN"/>
                    </w:rPr>
                  </w:pPr>
                  <w:r>
                    <w:rPr>
                      <w:rFonts w:hint="eastAsia"/>
                      <w:bCs/>
                      <w:szCs w:val="21"/>
                      <w:lang w:val="en-US" w:eastAsia="zh-CN"/>
                    </w:rPr>
                    <w:t>/</w:t>
                  </w:r>
                </w:p>
              </w:tc>
              <w:tc>
                <w:tcPr>
                  <w:tcW w:w="2255" w:type="dxa"/>
                  <w:vAlign w:val="center"/>
                </w:tcPr>
                <w:p>
                  <w:pPr>
                    <w:widowControl/>
                    <w:adjustRightInd w:val="0"/>
                    <w:snapToGrid w:val="0"/>
                    <w:jc w:val="center"/>
                    <w:rPr>
                      <w:rFonts w:hint="eastAsia" w:ascii="Times New Roman" w:hAnsi="Times New Roman" w:eastAsia="楷体" w:cs="Times New Roman"/>
                      <w:bCs/>
                      <w:kern w:val="0"/>
                      <w:sz w:val="21"/>
                      <w:szCs w:val="21"/>
                      <w:lang w:val="en-US" w:eastAsia="zh-CN" w:bidi="ar-SA"/>
                    </w:rPr>
                  </w:pPr>
                  <w:r>
                    <w:rPr>
                      <w:rFonts w:hint="eastAsia" w:eastAsia="楷体"/>
                      <w:bCs/>
                      <w:kern w:val="0"/>
                      <w:szCs w:val="21"/>
                      <w:lang w:val="en-US" w:eastAsia="zh-CN"/>
                    </w:rPr>
                    <w:t>1</w:t>
                  </w:r>
                </w:p>
              </w:tc>
              <w:tc>
                <w:tcPr>
                  <w:tcW w:w="1401" w:type="dxa"/>
                  <w:vAlign w:val="center"/>
                </w:tcPr>
                <w:p>
                  <w:pPr>
                    <w:widowControl/>
                    <w:adjustRightInd w:val="0"/>
                    <w:snapToGrid w:val="0"/>
                    <w:jc w:val="center"/>
                    <w:textAlignment w:val="center"/>
                    <w:rPr>
                      <w:kern w:val="0"/>
                      <w:szCs w:val="21"/>
                    </w:rPr>
                  </w:pPr>
                  <w:r>
                    <w:rPr>
                      <w:rFonts w:hAnsi="宋体"/>
                      <w:kern w:val="0"/>
                      <w:szCs w:val="21"/>
                    </w:rPr>
                    <w:t>倍捻车间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dxa"/>
                  <w:vAlign w:val="center"/>
                </w:tcPr>
                <w:p>
                  <w:pPr>
                    <w:adjustRightInd w:val="0"/>
                    <w:snapToGrid w:val="0"/>
                    <w:jc w:val="center"/>
                    <w:rPr>
                      <w:szCs w:val="21"/>
                    </w:rPr>
                  </w:pPr>
                  <w:r>
                    <w:rPr>
                      <w:szCs w:val="21"/>
                    </w:rPr>
                    <w:t>4</w:t>
                  </w:r>
                </w:p>
              </w:tc>
              <w:tc>
                <w:tcPr>
                  <w:tcW w:w="1884" w:type="dxa"/>
                  <w:vAlign w:val="center"/>
                </w:tcPr>
                <w:p>
                  <w:pPr>
                    <w:widowControl/>
                    <w:contextualSpacing/>
                    <w:jc w:val="center"/>
                    <w:textAlignment w:val="center"/>
                    <w:rPr>
                      <w:rFonts w:hint="eastAsia" w:ascii="Times New Roman" w:hAnsi="宋体" w:eastAsia="宋体" w:cs="Times New Roman"/>
                      <w:bCs/>
                      <w:kern w:val="2"/>
                      <w:sz w:val="21"/>
                      <w:szCs w:val="21"/>
                      <w:lang w:val="en-US" w:eastAsia="zh-CN" w:bidi="ar-SA"/>
                    </w:rPr>
                  </w:pPr>
                  <w:r>
                    <w:rPr>
                      <w:rFonts w:hint="eastAsia" w:hAnsi="宋体" w:eastAsia="宋体"/>
                      <w:bCs/>
                      <w:szCs w:val="21"/>
                    </w:rPr>
                    <w:t>整经机</w:t>
                  </w:r>
                </w:p>
              </w:tc>
              <w:tc>
                <w:tcPr>
                  <w:tcW w:w="1728" w:type="dxa"/>
                  <w:vAlign w:val="center"/>
                </w:tcPr>
                <w:p>
                  <w:pPr>
                    <w:pStyle w:val="31"/>
                    <w:adjustRightInd w:val="0"/>
                    <w:snapToGrid w:val="0"/>
                    <w:spacing w:line="240" w:lineRule="auto"/>
                    <w:ind w:firstLine="0"/>
                    <w:jc w:val="center"/>
                    <w:rPr>
                      <w:rFonts w:hint="eastAsia" w:eastAsia="宋体"/>
                      <w:bCs/>
                      <w:szCs w:val="21"/>
                      <w:lang w:val="en-US" w:eastAsia="zh-CN"/>
                    </w:rPr>
                  </w:pPr>
                  <w:r>
                    <w:rPr>
                      <w:rFonts w:hint="eastAsia"/>
                      <w:bCs/>
                      <w:szCs w:val="21"/>
                      <w:lang w:val="en-US" w:eastAsia="zh-CN"/>
                    </w:rPr>
                    <w:t>/</w:t>
                  </w:r>
                </w:p>
              </w:tc>
              <w:tc>
                <w:tcPr>
                  <w:tcW w:w="2255" w:type="dxa"/>
                  <w:vAlign w:val="center"/>
                </w:tcPr>
                <w:p>
                  <w:pPr>
                    <w:widowControl/>
                    <w:adjustRightInd w:val="0"/>
                    <w:snapToGrid w:val="0"/>
                    <w:jc w:val="center"/>
                    <w:rPr>
                      <w:rFonts w:hint="eastAsia" w:ascii="Times New Roman" w:hAnsi="Times New Roman" w:eastAsia="楷体" w:cs="Times New Roman"/>
                      <w:bCs/>
                      <w:kern w:val="0"/>
                      <w:sz w:val="21"/>
                      <w:szCs w:val="21"/>
                      <w:lang w:val="en-US" w:eastAsia="zh-CN" w:bidi="ar-SA"/>
                    </w:rPr>
                  </w:pPr>
                  <w:r>
                    <w:rPr>
                      <w:rFonts w:hint="eastAsia" w:eastAsia="楷体"/>
                      <w:bCs/>
                      <w:kern w:val="0"/>
                      <w:szCs w:val="21"/>
                    </w:rPr>
                    <w:t>2</w:t>
                  </w:r>
                </w:p>
              </w:tc>
              <w:tc>
                <w:tcPr>
                  <w:tcW w:w="1401" w:type="dxa"/>
                  <w:vAlign w:val="center"/>
                </w:tcPr>
                <w:p>
                  <w:pPr>
                    <w:widowControl/>
                    <w:adjustRightInd w:val="0"/>
                    <w:snapToGrid w:val="0"/>
                    <w:jc w:val="center"/>
                    <w:textAlignment w:val="center"/>
                    <w:rPr>
                      <w:kern w:val="0"/>
                      <w:szCs w:val="21"/>
                    </w:rPr>
                  </w:pPr>
                  <w:r>
                    <w:rPr>
                      <w:rFonts w:hint="eastAsia" w:hAnsi="宋体"/>
                      <w:kern w:val="0"/>
                      <w:szCs w:val="21"/>
                      <w:lang w:eastAsia="zh-CN"/>
                    </w:rPr>
                    <w:t>整经</w:t>
                  </w:r>
                  <w:r>
                    <w:rPr>
                      <w:rFonts w:hAnsi="宋体"/>
                      <w:kern w:val="0"/>
                      <w:szCs w:val="21"/>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2" w:type="dxa"/>
                  <w:vAlign w:val="center"/>
                </w:tcPr>
                <w:p>
                  <w:pPr>
                    <w:adjustRightInd w:val="0"/>
                    <w:snapToGrid w:val="0"/>
                    <w:jc w:val="center"/>
                    <w:rPr>
                      <w:szCs w:val="21"/>
                    </w:rPr>
                  </w:pPr>
                  <w:r>
                    <w:rPr>
                      <w:szCs w:val="21"/>
                    </w:rPr>
                    <w:t>5</w:t>
                  </w:r>
                </w:p>
              </w:tc>
              <w:tc>
                <w:tcPr>
                  <w:tcW w:w="1884" w:type="dxa"/>
                  <w:vAlign w:val="center"/>
                </w:tcPr>
                <w:p>
                  <w:pPr>
                    <w:adjustRightInd w:val="0"/>
                    <w:snapToGrid w:val="0"/>
                    <w:jc w:val="center"/>
                    <w:rPr>
                      <w:kern w:val="0"/>
                      <w:szCs w:val="21"/>
                    </w:rPr>
                  </w:pPr>
                  <w:r>
                    <w:rPr>
                      <w:rFonts w:hint="eastAsia" w:hAnsi="宋体" w:eastAsia="宋体"/>
                      <w:bCs/>
                      <w:szCs w:val="21"/>
                      <w:lang w:val="en-US" w:eastAsia="zh-CN"/>
                    </w:rPr>
                    <w:t>打卷机</w:t>
                  </w:r>
                </w:p>
              </w:tc>
              <w:tc>
                <w:tcPr>
                  <w:tcW w:w="1728" w:type="dxa"/>
                  <w:vAlign w:val="center"/>
                </w:tcPr>
                <w:p>
                  <w:pPr>
                    <w:pStyle w:val="31"/>
                    <w:adjustRightInd w:val="0"/>
                    <w:snapToGrid w:val="0"/>
                    <w:spacing w:line="240" w:lineRule="auto"/>
                    <w:ind w:firstLine="0"/>
                    <w:jc w:val="center"/>
                    <w:rPr>
                      <w:rFonts w:hint="eastAsia" w:eastAsia="宋体"/>
                      <w:bCs/>
                      <w:szCs w:val="21"/>
                      <w:lang w:val="en-US" w:eastAsia="zh-CN"/>
                    </w:rPr>
                  </w:pPr>
                  <w:r>
                    <w:rPr>
                      <w:rFonts w:hint="eastAsia"/>
                      <w:bCs/>
                      <w:szCs w:val="21"/>
                      <w:lang w:val="en-US" w:eastAsia="zh-CN"/>
                    </w:rPr>
                    <w:t>/</w:t>
                  </w:r>
                </w:p>
              </w:tc>
              <w:tc>
                <w:tcPr>
                  <w:tcW w:w="2255" w:type="dxa"/>
                  <w:vAlign w:val="center"/>
                </w:tcPr>
                <w:p>
                  <w:pPr>
                    <w:adjustRightInd w:val="0"/>
                    <w:snapToGrid w:val="0"/>
                    <w:jc w:val="center"/>
                    <w:rPr>
                      <w:rFonts w:hint="default" w:eastAsia="宋体"/>
                      <w:lang w:val="en-US" w:eastAsia="zh-CN"/>
                    </w:rPr>
                  </w:pPr>
                  <w:r>
                    <w:rPr>
                      <w:rFonts w:hint="eastAsia"/>
                      <w:lang w:val="en-US" w:eastAsia="zh-CN"/>
                    </w:rPr>
                    <w:t>10</w:t>
                  </w:r>
                </w:p>
              </w:tc>
              <w:tc>
                <w:tcPr>
                  <w:tcW w:w="1401" w:type="dxa"/>
                  <w:vAlign w:val="center"/>
                </w:tcPr>
                <w:p>
                  <w:pPr>
                    <w:widowControl/>
                    <w:adjustRightInd w:val="0"/>
                    <w:snapToGrid w:val="0"/>
                    <w:jc w:val="center"/>
                    <w:textAlignment w:val="center"/>
                    <w:rPr>
                      <w:kern w:val="0"/>
                      <w:szCs w:val="21"/>
                    </w:rPr>
                  </w:pPr>
                  <w:r>
                    <w:rPr>
                      <w:rFonts w:hint="eastAsia" w:hAnsi="宋体"/>
                      <w:kern w:val="0"/>
                      <w:szCs w:val="21"/>
                      <w:lang w:eastAsia="zh-CN"/>
                    </w:rPr>
                    <w:t>打卷</w:t>
                  </w:r>
                  <w:r>
                    <w:rPr>
                      <w:rFonts w:hAnsi="宋体"/>
                      <w:kern w:val="0"/>
                      <w:szCs w:val="21"/>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4" w:type="dxa"/>
                  <w:gridSpan w:val="3"/>
                  <w:vAlign w:val="center"/>
                </w:tcPr>
                <w:p>
                  <w:pPr>
                    <w:pStyle w:val="31"/>
                    <w:adjustRightInd w:val="0"/>
                    <w:snapToGrid w:val="0"/>
                    <w:spacing w:line="240" w:lineRule="auto"/>
                    <w:ind w:firstLine="0"/>
                    <w:jc w:val="center"/>
                    <w:rPr>
                      <w:bCs/>
                      <w:szCs w:val="21"/>
                    </w:rPr>
                  </w:pPr>
                  <w:r>
                    <w:rPr>
                      <w:rFonts w:hAnsi="宋体"/>
                      <w:szCs w:val="21"/>
                    </w:rPr>
                    <w:t>合计</w:t>
                  </w:r>
                </w:p>
              </w:tc>
              <w:tc>
                <w:tcPr>
                  <w:tcW w:w="2255" w:type="dxa"/>
                  <w:vAlign w:val="center"/>
                </w:tcPr>
                <w:p>
                  <w:pPr>
                    <w:adjustRightInd w:val="0"/>
                    <w:snapToGrid w:val="0"/>
                    <w:jc w:val="center"/>
                    <w:rPr>
                      <w:rFonts w:hint="default" w:eastAsia="宋体"/>
                      <w:szCs w:val="21"/>
                      <w:lang w:val="en-US" w:eastAsia="zh-CN"/>
                    </w:rPr>
                  </w:pPr>
                  <w:r>
                    <w:rPr>
                      <w:rFonts w:hint="eastAsia"/>
                      <w:szCs w:val="21"/>
                      <w:lang w:val="en-US" w:eastAsia="zh-CN"/>
                    </w:rPr>
                    <w:t>263</w:t>
                  </w:r>
                </w:p>
              </w:tc>
              <w:tc>
                <w:tcPr>
                  <w:tcW w:w="1401" w:type="dxa"/>
                  <w:vAlign w:val="center"/>
                </w:tcPr>
                <w:p>
                  <w:pPr>
                    <w:widowControl/>
                    <w:adjustRightInd w:val="0"/>
                    <w:snapToGrid w:val="0"/>
                    <w:jc w:val="center"/>
                    <w:textAlignment w:val="center"/>
                    <w:rPr>
                      <w:kern w:val="0"/>
                      <w:szCs w:val="21"/>
                    </w:rPr>
                  </w:pPr>
                  <w:r>
                    <w:rPr>
                      <w:kern w:val="0"/>
                      <w:szCs w:val="21"/>
                    </w:rPr>
                    <w:t>/</w:t>
                  </w:r>
                </w:p>
              </w:tc>
            </w:tr>
          </w:tbl>
          <w:p>
            <w:pPr>
              <w:spacing w:line="500" w:lineRule="exact"/>
              <w:ind w:firstLine="480" w:firstLineChars="200"/>
              <w:contextualSpacing/>
              <w:rPr>
                <w:sz w:val="24"/>
              </w:rPr>
            </w:pPr>
            <w:r>
              <w:rPr>
                <w:rFonts w:hAnsi="宋体"/>
                <w:sz w:val="24"/>
              </w:rPr>
              <w:t>（</w:t>
            </w:r>
            <w:r>
              <w:rPr>
                <w:sz w:val="24"/>
              </w:rPr>
              <w:t>3</w:t>
            </w:r>
            <w:r>
              <w:rPr>
                <w:rFonts w:hAnsi="宋体"/>
                <w:sz w:val="24"/>
              </w:rPr>
              <w:t>）</w:t>
            </w:r>
            <w:r>
              <w:rPr>
                <w:rFonts w:hint="eastAsia" w:hAnsi="宋体"/>
                <w:sz w:val="24"/>
              </w:rPr>
              <w:t>现有生产情况</w:t>
            </w:r>
            <w:r>
              <w:rPr>
                <w:rFonts w:hAnsi="宋体"/>
                <w:sz w:val="24"/>
              </w:rPr>
              <w:t>原辅材料种类及消耗量</w:t>
            </w:r>
          </w:p>
          <w:p>
            <w:pPr>
              <w:spacing w:line="460" w:lineRule="exact"/>
              <w:contextualSpacing/>
              <w:jc w:val="center"/>
              <w:rPr>
                <w:rFonts w:hAnsi="宋体"/>
                <w:b/>
                <w:szCs w:val="21"/>
              </w:rPr>
            </w:pPr>
            <w:r>
              <w:rPr>
                <w:rFonts w:hAnsi="宋体"/>
                <w:b/>
                <w:szCs w:val="21"/>
              </w:rPr>
              <w:t>表</w:t>
            </w:r>
            <w:r>
              <w:rPr>
                <w:b/>
                <w:szCs w:val="21"/>
              </w:rPr>
              <w:t xml:space="preserve">2.4-3  </w:t>
            </w:r>
            <w:r>
              <w:rPr>
                <w:rFonts w:hint="eastAsia"/>
                <w:b/>
                <w:szCs w:val="21"/>
              </w:rPr>
              <w:t>现有生产情况</w:t>
            </w:r>
            <w:r>
              <w:rPr>
                <w:rFonts w:hAnsi="宋体"/>
                <w:b/>
                <w:szCs w:val="21"/>
              </w:rPr>
              <w:t>原辅材料消耗量表</w:t>
            </w:r>
          </w:p>
          <w:tbl>
            <w:tblPr>
              <w:tblStyle w:val="40"/>
              <w:tblW w:w="850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636"/>
              <w:gridCol w:w="2048"/>
              <w:gridCol w:w="1350"/>
              <w:gridCol w:w="1256"/>
              <w:gridCol w:w="1950"/>
              <w:gridCol w:w="12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636" w:type="dxa"/>
                  <w:vAlign w:val="center"/>
                </w:tcPr>
                <w:p>
                  <w:pPr>
                    <w:adjustRightInd w:val="0"/>
                    <w:snapToGrid w:val="0"/>
                    <w:jc w:val="center"/>
                    <w:rPr>
                      <w:spacing w:val="-1"/>
                      <w:kern w:val="0"/>
                      <w:szCs w:val="21"/>
                    </w:rPr>
                  </w:pPr>
                  <w:r>
                    <w:rPr>
                      <w:rFonts w:hAnsi="宋体"/>
                      <w:spacing w:val="-1"/>
                      <w:kern w:val="0"/>
                      <w:szCs w:val="21"/>
                    </w:rPr>
                    <w:t>序号</w:t>
                  </w:r>
                </w:p>
              </w:tc>
              <w:tc>
                <w:tcPr>
                  <w:tcW w:w="2048" w:type="dxa"/>
                  <w:vAlign w:val="center"/>
                </w:tcPr>
                <w:p>
                  <w:pPr>
                    <w:adjustRightInd w:val="0"/>
                    <w:snapToGrid w:val="0"/>
                    <w:jc w:val="center"/>
                    <w:rPr>
                      <w:spacing w:val="-1"/>
                      <w:kern w:val="0"/>
                      <w:szCs w:val="21"/>
                    </w:rPr>
                  </w:pPr>
                  <w:r>
                    <w:rPr>
                      <w:rFonts w:hAnsi="宋体"/>
                      <w:spacing w:val="-1"/>
                      <w:kern w:val="0"/>
                      <w:szCs w:val="21"/>
                    </w:rPr>
                    <w:t>原材料名称</w:t>
                  </w:r>
                </w:p>
              </w:tc>
              <w:tc>
                <w:tcPr>
                  <w:tcW w:w="1350" w:type="dxa"/>
                  <w:tcBorders>
                    <w:right w:val="single" w:color="auto" w:sz="4" w:space="0"/>
                  </w:tcBorders>
                  <w:vAlign w:val="center"/>
                </w:tcPr>
                <w:p>
                  <w:pPr>
                    <w:adjustRightInd w:val="0"/>
                    <w:snapToGrid w:val="0"/>
                    <w:jc w:val="center"/>
                    <w:rPr>
                      <w:spacing w:val="-1"/>
                      <w:kern w:val="0"/>
                      <w:szCs w:val="21"/>
                    </w:rPr>
                  </w:pPr>
                  <w:r>
                    <w:rPr>
                      <w:rFonts w:hint="eastAsia" w:hAnsi="宋体"/>
                      <w:spacing w:val="-1"/>
                      <w:kern w:val="0"/>
                      <w:szCs w:val="21"/>
                      <w:lang w:val="en-US" w:eastAsia="zh-CN"/>
                    </w:rPr>
                    <w:t>2021</w:t>
                  </w:r>
                  <w:r>
                    <w:rPr>
                      <w:rFonts w:hAnsi="宋体"/>
                      <w:spacing w:val="-1"/>
                      <w:kern w:val="0"/>
                      <w:szCs w:val="21"/>
                    </w:rPr>
                    <w:t>年耗量</w:t>
                  </w:r>
                </w:p>
              </w:tc>
              <w:tc>
                <w:tcPr>
                  <w:tcW w:w="1256" w:type="dxa"/>
                  <w:vAlign w:val="center"/>
                </w:tcPr>
                <w:p>
                  <w:pPr>
                    <w:jc w:val="center"/>
                    <w:rPr>
                      <w:spacing w:val="-1"/>
                      <w:kern w:val="0"/>
                      <w:szCs w:val="21"/>
                    </w:rPr>
                  </w:pPr>
                  <w:r>
                    <w:rPr>
                      <w:rFonts w:hAnsi="宋体"/>
                      <w:spacing w:val="-1"/>
                      <w:kern w:val="0"/>
                      <w:szCs w:val="21"/>
                    </w:rPr>
                    <w:t>形态</w:t>
                  </w:r>
                </w:p>
              </w:tc>
              <w:tc>
                <w:tcPr>
                  <w:tcW w:w="1950" w:type="dxa"/>
                  <w:vAlign w:val="center"/>
                </w:tcPr>
                <w:p>
                  <w:pPr>
                    <w:adjustRightInd w:val="0"/>
                    <w:snapToGrid w:val="0"/>
                    <w:jc w:val="center"/>
                    <w:rPr>
                      <w:spacing w:val="-1"/>
                      <w:kern w:val="0"/>
                      <w:szCs w:val="21"/>
                    </w:rPr>
                  </w:pPr>
                  <w:r>
                    <w:rPr>
                      <w:rFonts w:hAnsi="宋体"/>
                      <w:spacing w:val="-1"/>
                      <w:kern w:val="0"/>
                      <w:szCs w:val="21"/>
                    </w:rPr>
                    <w:t>用途</w:t>
                  </w:r>
                </w:p>
              </w:tc>
              <w:tc>
                <w:tcPr>
                  <w:tcW w:w="1265" w:type="dxa"/>
                  <w:tcBorders>
                    <w:right w:val="single" w:color="auto" w:sz="4" w:space="0"/>
                  </w:tcBorders>
                  <w:vAlign w:val="center"/>
                </w:tcPr>
                <w:p>
                  <w:pPr>
                    <w:adjustRightInd w:val="0"/>
                    <w:snapToGrid w:val="0"/>
                    <w:jc w:val="center"/>
                    <w:rPr>
                      <w:spacing w:val="-1"/>
                      <w:kern w:val="0"/>
                      <w:szCs w:val="21"/>
                    </w:rPr>
                  </w:pPr>
                  <w:r>
                    <w:rPr>
                      <w:rFonts w:hAnsi="宋体"/>
                      <w:spacing w:val="-1"/>
                      <w:kern w:val="0"/>
                      <w:szCs w:val="21"/>
                    </w:rPr>
                    <w:t>包装方式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636" w:type="dxa"/>
                  <w:vAlign w:val="center"/>
                </w:tcPr>
                <w:p>
                  <w:pPr>
                    <w:adjustRightInd w:val="0"/>
                    <w:snapToGrid w:val="0"/>
                    <w:jc w:val="center"/>
                    <w:rPr>
                      <w:szCs w:val="21"/>
                    </w:rPr>
                  </w:pPr>
                  <w:r>
                    <w:rPr>
                      <w:rFonts w:hint="eastAsia"/>
                      <w:szCs w:val="21"/>
                    </w:rPr>
                    <w:t>1</w:t>
                  </w:r>
                </w:p>
              </w:tc>
              <w:tc>
                <w:tcPr>
                  <w:tcW w:w="2048" w:type="dxa"/>
                  <w:vAlign w:val="center"/>
                </w:tcPr>
                <w:p>
                  <w:pPr>
                    <w:widowControl/>
                    <w:adjustRightInd w:val="0"/>
                    <w:snapToGrid w:val="0"/>
                    <w:jc w:val="center"/>
                    <w:rPr>
                      <w:rFonts w:hint="eastAsia" w:hAnsi="宋体" w:eastAsia="宋体"/>
                      <w:kern w:val="0"/>
                      <w:szCs w:val="21"/>
                      <w:lang w:eastAsia="zh-CN"/>
                    </w:rPr>
                  </w:pPr>
                  <w:r>
                    <w:rPr>
                      <w:rFonts w:hint="eastAsia" w:hAnsi="宋体"/>
                      <w:kern w:val="0"/>
                      <w:szCs w:val="21"/>
                      <w:lang w:eastAsia="zh-CN"/>
                    </w:rPr>
                    <w:t>化纤丝</w:t>
                  </w:r>
                </w:p>
              </w:tc>
              <w:tc>
                <w:tcPr>
                  <w:tcW w:w="1350" w:type="dxa"/>
                  <w:tcBorders>
                    <w:right w:val="single" w:color="auto" w:sz="4" w:space="0"/>
                  </w:tcBorders>
                  <w:vAlign w:val="center"/>
                </w:tcPr>
                <w:p>
                  <w:pPr>
                    <w:pStyle w:val="31"/>
                    <w:adjustRightInd w:val="0"/>
                    <w:snapToGrid w:val="0"/>
                    <w:spacing w:line="240" w:lineRule="auto"/>
                    <w:ind w:firstLine="0"/>
                    <w:jc w:val="center"/>
                    <w:rPr>
                      <w:szCs w:val="21"/>
                    </w:rPr>
                  </w:pPr>
                  <w:r>
                    <w:rPr>
                      <w:rFonts w:hint="eastAsia"/>
                      <w:szCs w:val="21"/>
                      <w:lang w:val="en-US" w:eastAsia="zh-CN"/>
                    </w:rPr>
                    <w:t>3700</w:t>
                  </w:r>
                  <w:r>
                    <w:rPr>
                      <w:szCs w:val="21"/>
                    </w:rPr>
                    <w:t>t</w:t>
                  </w:r>
                </w:p>
              </w:tc>
              <w:tc>
                <w:tcPr>
                  <w:tcW w:w="1256" w:type="dxa"/>
                  <w:vAlign w:val="center"/>
                </w:tcPr>
                <w:p>
                  <w:pPr>
                    <w:adjustRightInd w:val="0"/>
                    <w:snapToGrid w:val="0"/>
                    <w:jc w:val="center"/>
                    <w:rPr>
                      <w:rFonts w:hAnsi="宋体"/>
                      <w:szCs w:val="21"/>
                    </w:rPr>
                  </w:pPr>
                  <w:r>
                    <w:rPr>
                      <w:rFonts w:hAnsi="宋体"/>
                      <w:szCs w:val="21"/>
                    </w:rPr>
                    <w:t>固态</w:t>
                  </w:r>
                </w:p>
              </w:tc>
              <w:tc>
                <w:tcPr>
                  <w:tcW w:w="1950" w:type="dxa"/>
                  <w:vAlign w:val="center"/>
                </w:tcPr>
                <w:p>
                  <w:pPr>
                    <w:adjustRightInd w:val="0"/>
                    <w:snapToGrid w:val="0"/>
                    <w:jc w:val="center"/>
                    <w:rPr>
                      <w:rFonts w:hAnsi="宋体"/>
                      <w:szCs w:val="21"/>
                    </w:rPr>
                  </w:pPr>
                  <w:r>
                    <w:rPr>
                      <w:rFonts w:hAnsi="宋体"/>
                      <w:szCs w:val="21"/>
                    </w:rPr>
                    <w:t>主要原材料</w:t>
                  </w:r>
                </w:p>
              </w:tc>
              <w:tc>
                <w:tcPr>
                  <w:tcW w:w="1265" w:type="dxa"/>
                  <w:tcBorders>
                    <w:right w:val="single" w:color="auto" w:sz="4" w:space="0"/>
                  </w:tcBorders>
                  <w:vAlign w:val="center"/>
                </w:tcPr>
                <w:p>
                  <w:pPr>
                    <w:adjustRightInd w:val="0"/>
                    <w:snapToGrid w:val="0"/>
                    <w:jc w:val="center"/>
                    <w:rPr>
                      <w:szCs w:val="21"/>
                    </w:rPr>
                  </w:pPr>
                  <w:r>
                    <w:rPr>
                      <w:rFonts w:hint="eastAsia"/>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636" w:type="dxa"/>
                  <w:vAlign w:val="center"/>
                </w:tcPr>
                <w:p>
                  <w:pPr>
                    <w:adjustRightInd w:val="0"/>
                    <w:snapToGrid w:val="0"/>
                    <w:jc w:val="center"/>
                    <w:rPr>
                      <w:rFonts w:hint="eastAsia" w:eastAsia="宋体"/>
                      <w:szCs w:val="21"/>
                      <w:lang w:val="en-US" w:eastAsia="zh-CN"/>
                    </w:rPr>
                  </w:pPr>
                  <w:r>
                    <w:rPr>
                      <w:rFonts w:hint="eastAsia"/>
                      <w:szCs w:val="21"/>
                      <w:lang w:val="en-US" w:eastAsia="zh-CN"/>
                    </w:rPr>
                    <w:t>2</w:t>
                  </w:r>
                </w:p>
              </w:tc>
              <w:tc>
                <w:tcPr>
                  <w:tcW w:w="2048" w:type="dxa"/>
                  <w:vAlign w:val="center"/>
                </w:tcPr>
                <w:p>
                  <w:pPr>
                    <w:widowControl/>
                    <w:adjustRightInd w:val="0"/>
                    <w:snapToGrid w:val="0"/>
                    <w:jc w:val="center"/>
                    <w:rPr>
                      <w:rFonts w:hint="eastAsia" w:hAnsi="宋体"/>
                      <w:kern w:val="0"/>
                      <w:szCs w:val="21"/>
                      <w:lang w:eastAsia="zh-CN"/>
                    </w:rPr>
                  </w:pPr>
                  <w:r>
                    <w:rPr>
                      <w:rFonts w:hint="eastAsia" w:hAnsi="宋体"/>
                      <w:kern w:val="0"/>
                      <w:szCs w:val="21"/>
                      <w:lang w:eastAsia="zh-CN"/>
                    </w:rPr>
                    <w:t>加弹油</w:t>
                  </w:r>
                </w:p>
              </w:tc>
              <w:tc>
                <w:tcPr>
                  <w:tcW w:w="1350" w:type="dxa"/>
                  <w:tcBorders>
                    <w:right w:val="single" w:color="auto" w:sz="4" w:space="0"/>
                  </w:tcBorders>
                  <w:vAlign w:val="center"/>
                </w:tcPr>
                <w:p>
                  <w:pPr>
                    <w:pStyle w:val="31"/>
                    <w:adjustRightInd w:val="0"/>
                    <w:snapToGrid w:val="0"/>
                    <w:spacing w:line="240" w:lineRule="auto"/>
                    <w:ind w:firstLine="0"/>
                    <w:jc w:val="center"/>
                    <w:rPr>
                      <w:rFonts w:hint="default"/>
                      <w:szCs w:val="21"/>
                      <w:lang w:val="en-US" w:eastAsia="zh-CN"/>
                    </w:rPr>
                  </w:pPr>
                  <w:r>
                    <w:rPr>
                      <w:rFonts w:hint="eastAsia"/>
                      <w:szCs w:val="21"/>
                      <w:lang w:val="en-US" w:eastAsia="zh-CN"/>
                    </w:rPr>
                    <w:t>1t</w:t>
                  </w:r>
                </w:p>
              </w:tc>
              <w:tc>
                <w:tcPr>
                  <w:tcW w:w="1256" w:type="dxa"/>
                  <w:vAlign w:val="center"/>
                </w:tcPr>
                <w:p>
                  <w:pPr>
                    <w:adjustRightInd w:val="0"/>
                    <w:snapToGrid w:val="0"/>
                    <w:jc w:val="center"/>
                    <w:rPr>
                      <w:rFonts w:hAnsi="宋体"/>
                      <w:szCs w:val="21"/>
                    </w:rPr>
                  </w:pPr>
                  <w:r>
                    <w:rPr>
                      <w:rFonts w:hAnsi="宋体"/>
                      <w:szCs w:val="21"/>
                    </w:rPr>
                    <w:t>液态</w:t>
                  </w:r>
                </w:p>
              </w:tc>
              <w:tc>
                <w:tcPr>
                  <w:tcW w:w="1950" w:type="dxa"/>
                  <w:vAlign w:val="center"/>
                </w:tcPr>
                <w:p>
                  <w:pPr>
                    <w:adjustRightInd w:val="0"/>
                    <w:snapToGrid w:val="0"/>
                    <w:jc w:val="center"/>
                    <w:rPr>
                      <w:rFonts w:hint="eastAsia" w:hAnsi="宋体" w:eastAsia="宋体"/>
                      <w:szCs w:val="21"/>
                      <w:lang w:eastAsia="zh-CN"/>
                    </w:rPr>
                  </w:pPr>
                  <w:r>
                    <w:rPr>
                      <w:rFonts w:hint="eastAsia" w:hAnsi="宋体"/>
                      <w:szCs w:val="21"/>
                      <w:lang w:eastAsia="zh-CN"/>
                    </w:rPr>
                    <w:t>加弹</w:t>
                  </w:r>
                </w:p>
              </w:tc>
              <w:tc>
                <w:tcPr>
                  <w:tcW w:w="1265" w:type="dxa"/>
                  <w:tcBorders>
                    <w:right w:val="single" w:color="auto" w:sz="4" w:space="0"/>
                  </w:tcBorders>
                  <w:vAlign w:val="center"/>
                </w:tcPr>
                <w:p>
                  <w:pPr>
                    <w:adjustRightInd w:val="0"/>
                    <w:snapToGrid w:val="0"/>
                    <w:jc w:val="center"/>
                    <w:rPr>
                      <w:rFonts w:hint="eastAsia" w:eastAsia="宋体"/>
                      <w:szCs w:val="21"/>
                      <w:lang w:eastAsia="zh-CN"/>
                    </w:rPr>
                  </w:pPr>
                  <w:r>
                    <w:rPr>
                      <w:rFonts w:hint="eastAsia"/>
                      <w:szCs w:val="21"/>
                      <w:lang w:eastAsia="zh-CN"/>
                    </w:rPr>
                    <w:t>吨桶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636" w:type="dxa"/>
                  <w:vAlign w:val="center"/>
                </w:tcPr>
                <w:p>
                  <w:pPr>
                    <w:adjustRightInd w:val="0"/>
                    <w:snapToGrid w:val="0"/>
                    <w:jc w:val="center"/>
                    <w:rPr>
                      <w:rFonts w:hint="default" w:eastAsia="宋体"/>
                      <w:szCs w:val="21"/>
                      <w:lang w:val="en-US" w:eastAsia="zh-CN"/>
                    </w:rPr>
                  </w:pPr>
                  <w:r>
                    <w:rPr>
                      <w:rFonts w:hint="eastAsia"/>
                      <w:szCs w:val="21"/>
                      <w:lang w:val="en-US" w:eastAsia="zh-CN"/>
                    </w:rPr>
                    <w:t>2</w:t>
                  </w:r>
                </w:p>
              </w:tc>
              <w:tc>
                <w:tcPr>
                  <w:tcW w:w="2048" w:type="dxa"/>
                  <w:vAlign w:val="center"/>
                </w:tcPr>
                <w:p>
                  <w:pPr>
                    <w:widowControl/>
                    <w:adjustRightInd w:val="0"/>
                    <w:snapToGrid w:val="0"/>
                    <w:jc w:val="center"/>
                    <w:rPr>
                      <w:rFonts w:hAnsi="宋体"/>
                      <w:spacing w:val="-10"/>
                      <w:kern w:val="0"/>
                      <w:szCs w:val="21"/>
                    </w:rPr>
                  </w:pPr>
                  <w:r>
                    <w:rPr>
                      <w:rFonts w:hAnsi="宋体"/>
                      <w:spacing w:val="-10"/>
                      <w:kern w:val="0"/>
                      <w:szCs w:val="21"/>
                    </w:rPr>
                    <w:t>机油</w:t>
                  </w:r>
                </w:p>
              </w:tc>
              <w:tc>
                <w:tcPr>
                  <w:tcW w:w="1350" w:type="dxa"/>
                  <w:tcBorders>
                    <w:right w:val="single" w:color="auto" w:sz="4" w:space="0"/>
                  </w:tcBorders>
                  <w:vAlign w:val="center"/>
                </w:tcPr>
                <w:p>
                  <w:pPr>
                    <w:pStyle w:val="31"/>
                    <w:adjustRightInd w:val="0"/>
                    <w:snapToGrid w:val="0"/>
                    <w:spacing w:line="240" w:lineRule="auto"/>
                    <w:ind w:firstLine="0"/>
                    <w:jc w:val="center"/>
                    <w:rPr>
                      <w:szCs w:val="21"/>
                    </w:rPr>
                  </w:pPr>
                  <w:r>
                    <w:rPr>
                      <w:rFonts w:hint="eastAsia"/>
                      <w:szCs w:val="21"/>
                      <w:lang w:val="en-US" w:eastAsia="zh-CN"/>
                    </w:rPr>
                    <w:t>1</w:t>
                  </w:r>
                  <w:r>
                    <w:rPr>
                      <w:szCs w:val="21"/>
                    </w:rPr>
                    <w:t>t</w:t>
                  </w:r>
                </w:p>
              </w:tc>
              <w:tc>
                <w:tcPr>
                  <w:tcW w:w="1256" w:type="dxa"/>
                  <w:vAlign w:val="center"/>
                </w:tcPr>
                <w:p>
                  <w:pPr>
                    <w:adjustRightInd w:val="0"/>
                    <w:snapToGrid w:val="0"/>
                    <w:jc w:val="center"/>
                    <w:rPr>
                      <w:rFonts w:hAnsi="宋体"/>
                      <w:szCs w:val="21"/>
                    </w:rPr>
                  </w:pPr>
                  <w:r>
                    <w:rPr>
                      <w:rFonts w:hAnsi="宋体"/>
                      <w:szCs w:val="21"/>
                    </w:rPr>
                    <w:t>液态</w:t>
                  </w:r>
                </w:p>
              </w:tc>
              <w:tc>
                <w:tcPr>
                  <w:tcW w:w="1950" w:type="dxa"/>
                  <w:vAlign w:val="center"/>
                </w:tcPr>
                <w:p>
                  <w:pPr>
                    <w:adjustRightInd w:val="0"/>
                    <w:snapToGrid w:val="0"/>
                    <w:jc w:val="center"/>
                    <w:rPr>
                      <w:rFonts w:hAnsi="宋体"/>
                      <w:szCs w:val="21"/>
                    </w:rPr>
                  </w:pPr>
                  <w:r>
                    <w:rPr>
                      <w:rFonts w:hAnsi="宋体"/>
                      <w:szCs w:val="21"/>
                    </w:rPr>
                    <w:t>设备维护</w:t>
                  </w:r>
                </w:p>
              </w:tc>
              <w:tc>
                <w:tcPr>
                  <w:tcW w:w="1265" w:type="dxa"/>
                  <w:tcBorders>
                    <w:right w:val="single" w:color="auto" w:sz="4" w:space="0"/>
                  </w:tcBorders>
                  <w:vAlign w:val="center"/>
                </w:tcPr>
                <w:p>
                  <w:pPr>
                    <w:adjustRightInd w:val="0"/>
                    <w:snapToGrid w:val="0"/>
                    <w:jc w:val="center"/>
                    <w:rPr>
                      <w:szCs w:val="21"/>
                    </w:rPr>
                  </w:pPr>
                  <w:r>
                    <w:rPr>
                      <w:rFonts w:hint="eastAsia"/>
                      <w:szCs w:val="21"/>
                      <w:lang w:val="en-US" w:eastAsia="zh-CN"/>
                    </w:rPr>
                    <w:t>200</w:t>
                  </w:r>
                  <w:r>
                    <w:rPr>
                      <w:szCs w:val="21"/>
                    </w:rPr>
                    <w:t>kg/</w:t>
                  </w:r>
                  <w:r>
                    <w:rPr>
                      <w:rFonts w:hAnsi="宋体"/>
                      <w:szCs w:val="21"/>
                    </w:rPr>
                    <w:t>铁桶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636" w:type="dxa"/>
                  <w:vAlign w:val="center"/>
                </w:tcPr>
                <w:p>
                  <w:pPr>
                    <w:adjustRightInd w:val="0"/>
                    <w:snapToGrid w:val="0"/>
                    <w:jc w:val="center"/>
                    <w:rPr>
                      <w:rFonts w:hint="default" w:eastAsia="宋体"/>
                      <w:szCs w:val="21"/>
                      <w:lang w:val="en-US" w:eastAsia="zh-CN"/>
                    </w:rPr>
                  </w:pPr>
                  <w:r>
                    <w:rPr>
                      <w:rFonts w:hint="eastAsia"/>
                      <w:szCs w:val="21"/>
                      <w:lang w:val="en-US" w:eastAsia="zh-CN"/>
                    </w:rPr>
                    <w:t>3</w:t>
                  </w:r>
                </w:p>
              </w:tc>
              <w:tc>
                <w:tcPr>
                  <w:tcW w:w="2048" w:type="dxa"/>
                  <w:vAlign w:val="center"/>
                </w:tcPr>
                <w:p>
                  <w:pPr>
                    <w:adjustRightInd w:val="0"/>
                    <w:snapToGrid w:val="0"/>
                    <w:jc w:val="center"/>
                    <w:rPr>
                      <w:szCs w:val="21"/>
                    </w:rPr>
                  </w:pPr>
                  <w:r>
                    <w:rPr>
                      <w:rFonts w:hAnsi="宋体"/>
                      <w:szCs w:val="21"/>
                    </w:rPr>
                    <w:t>自来水</w:t>
                  </w:r>
                </w:p>
              </w:tc>
              <w:tc>
                <w:tcPr>
                  <w:tcW w:w="1350" w:type="dxa"/>
                  <w:tcBorders>
                    <w:right w:val="single" w:color="auto" w:sz="4" w:space="0"/>
                  </w:tcBorders>
                  <w:vAlign w:val="center"/>
                </w:tcPr>
                <w:p>
                  <w:pPr>
                    <w:adjustRightInd w:val="0"/>
                    <w:snapToGrid w:val="0"/>
                    <w:jc w:val="center"/>
                    <w:rPr>
                      <w:rFonts w:hint="default" w:eastAsia="宋体"/>
                      <w:szCs w:val="21"/>
                      <w:lang w:val="en-US" w:eastAsia="zh-CN"/>
                    </w:rPr>
                  </w:pPr>
                  <w:r>
                    <w:rPr>
                      <w:rFonts w:hint="eastAsia"/>
                      <w:szCs w:val="21"/>
                      <w:lang w:val="en-US" w:eastAsia="zh-CN"/>
                    </w:rPr>
                    <w:t>9345</w:t>
                  </w:r>
                </w:p>
              </w:tc>
              <w:tc>
                <w:tcPr>
                  <w:tcW w:w="1256" w:type="dxa"/>
                  <w:vAlign w:val="center"/>
                </w:tcPr>
                <w:p>
                  <w:pPr>
                    <w:jc w:val="center"/>
                    <w:rPr>
                      <w:szCs w:val="21"/>
                    </w:rPr>
                  </w:pPr>
                  <w:r>
                    <w:rPr>
                      <w:rFonts w:hAnsi="宋体"/>
                      <w:szCs w:val="21"/>
                    </w:rPr>
                    <w:t>液态</w:t>
                  </w:r>
                </w:p>
              </w:tc>
              <w:tc>
                <w:tcPr>
                  <w:tcW w:w="1950" w:type="dxa"/>
                  <w:vAlign w:val="center"/>
                </w:tcPr>
                <w:p>
                  <w:pPr>
                    <w:adjustRightInd w:val="0"/>
                    <w:snapToGrid w:val="0"/>
                    <w:jc w:val="center"/>
                    <w:rPr>
                      <w:szCs w:val="21"/>
                    </w:rPr>
                  </w:pPr>
                  <w:r>
                    <w:rPr>
                      <w:rFonts w:hAnsi="宋体"/>
                      <w:szCs w:val="21"/>
                    </w:rPr>
                    <w:t>生活、生产用水</w:t>
                  </w:r>
                </w:p>
              </w:tc>
              <w:tc>
                <w:tcPr>
                  <w:tcW w:w="1265" w:type="dxa"/>
                  <w:tcBorders>
                    <w:right w:val="single" w:color="auto" w:sz="4" w:space="0"/>
                  </w:tcBorders>
                  <w:vAlign w:val="center"/>
                </w:tcPr>
                <w:p>
                  <w:pPr>
                    <w:adjustRightInd w:val="0"/>
                    <w:snapToGrid w:val="0"/>
                    <w:jc w:val="center"/>
                    <w:rPr>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97" w:hRule="atLeast"/>
                <w:jc w:val="center"/>
              </w:trPr>
              <w:tc>
                <w:tcPr>
                  <w:tcW w:w="636" w:type="dxa"/>
                  <w:vAlign w:val="center"/>
                </w:tcPr>
                <w:p>
                  <w:pPr>
                    <w:adjustRightInd w:val="0"/>
                    <w:snapToGrid w:val="0"/>
                    <w:jc w:val="center"/>
                    <w:rPr>
                      <w:rFonts w:hint="default" w:eastAsia="宋体"/>
                      <w:szCs w:val="21"/>
                      <w:lang w:val="en-US" w:eastAsia="zh-CN"/>
                    </w:rPr>
                  </w:pPr>
                  <w:r>
                    <w:rPr>
                      <w:rFonts w:hint="eastAsia"/>
                      <w:szCs w:val="21"/>
                      <w:lang w:val="en-US" w:eastAsia="zh-CN"/>
                    </w:rPr>
                    <w:t>4</w:t>
                  </w:r>
                </w:p>
              </w:tc>
              <w:tc>
                <w:tcPr>
                  <w:tcW w:w="2048" w:type="dxa"/>
                  <w:vAlign w:val="center"/>
                </w:tcPr>
                <w:p>
                  <w:pPr>
                    <w:adjustRightInd w:val="0"/>
                    <w:snapToGrid w:val="0"/>
                    <w:jc w:val="center"/>
                    <w:rPr>
                      <w:szCs w:val="21"/>
                    </w:rPr>
                  </w:pPr>
                  <w:r>
                    <w:rPr>
                      <w:rFonts w:hAnsi="宋体"/>
                      <w:szCs w:val="21"/>
                    </w:rPr>
                    <w:t>电</w:t>
                  </w:r>
                </w:p>
              </w:tc>
              <w:tc>
                <w:tcPr>
                  <w:tcW w:w="1350" w:type="dxa"/>
                  <w:tcBorders>
                    <w:right w:val="single" w:color="auto" w:sz="4" w:space="0"/>
                  </w:tcBorders>
                  <w:vAlign w:val="center"/>
                </w:tcPr>
                <w:p>
                  <w:pPr>
                    <w:adjustRightInd w:val="0"/>
                    <w:snapToGrid w:val="0"/>
                    <w:jc w:val="center"/>
                    <w:rPr>
                      <w:rFonts w:hint="default" w:eastAsia="宋体"/>
                      <w:szCs w:val="21"/>
                      <w:lang w:val="en-US" w:eastAsia="zh-CN"/>
                    </w:rPr>
                  </w:pPr>
                  <w:r>
                    <w:rPr>
                      <w:rFonts w:hint="eastAsia"/>
                      <w:szCs w:val="21"/>
                      <w:lang w:val="en-US" w:eastAsia="zh-CN"/>
                    </w:rPr>
                    <w:t>132万kwh</w:t>
                  </w:r>
                </w:p>
              </w:tc>
              <w:tc>
                <w:tcPr>
                  <w:tcW w:w="1256" w:type="dxa"/>
                  <w:vAlign w:val="center"/>
                </w:tcPr>
                <w:p>
                  <w:pPr>
                    <w:jc w:val="center"/>
                    <w:rPr>
                      <w:szCs w:val="21"/>
                    </w:rPr>
                  </w:pPr>
                  <w:r>
                    <w:rPr>
                      <w:szCs w:val="21"/>
                    </w:rPr>
                    <w:t>/</w:t>
                  </w:r>
                </w:p>
              </w:tc>
              <w:tc>
                <w:tcPr>
                  <w:tcW w:w="1950" w:type="dxa"/>
                  <w:vAlign w:val="center"/>
                </w:tcPr>
                <w:p>
                  <w:pPr>
                    <w:adjustRightInd w:val="0"/>
                    <w:snapToGrid w:val="0"/>
                    <w:jc w:val="center"/>
                    <w:rPr>
                      <w:szCs w:val="21"/>
                    </w:rPr>
                  </w:pPr>
                  <w:r>
                    <w:rPr>
                      <w:rFonts w:hAnsi="宋体"/>
                      <w:szCs w:val="21"/>
                    </w:rPr>
                    <w:t>生产生活用电</w:t>
                  </w:r>
                </w:p>
              </w:tc>
              <w:tc>
                <w:tcPr>
                  <w:tcW w:w="1265" w:type="dxa"/>
                  <w:tcBorders>
                    <w:right w:val="single" w:color="auto" w:sz="4" w:space="0"/>
                  </w:tcBorders>
                  <w:vAlign w:val="center"/>
                </w:tcPr>
                <w:p>
                  <w:pPr>
                    <w:adjustRightInd w:val="0"/>
                    <w:snapToGrid w:val="0"/>
                    <w:jc w:val="center"/>
                    <w:rPr>
                      <w:szCs w:val="21"/>
                    </w:rPr>
                  </w:pPr>
                  <w:r>
                    <w:rPr>
                      <w:szCs w:val="21"/>
                    </w:rPr>
                    <w:t>/</w:t>
                  </w:r>
                </w:p>
              </w:tc>
            </w:tr>
          </w:tbl>
          <w:p>
            <w:pPr>
              <w:numPr>
                <w:ilvl w:val="0"/>
                <w:numId w:val="5"/>
              </w:numPr>
              <w:spacing w:line="500" w:lineRule="exact"/>
              <w:ind w:firstLine="480" w:firstLineChars="200"/>
              <w:rPr>
                <w:rFonts w:hint="eastAsia" w:hAnsi="宋体"/>
                <w:sz w:val="24"/>
                <w:lang w:eastAsia="zh-CN"/>
              </w:rPr>
            </w:pPr>
            <w:r>
              <w:rPr>
                <w:rFonts w:hint="eastAsia" w:hAnsi="宋体"/>
                <w:sz w:val="24"/>
                <w:lang w:eastAsia="zh-CN"/>
              </w:rPr>
              <w:t>工艺流程</w:t>
            </w:r>
          </w:p>
          <w:p>
            <w:pPr>
              <w:numPr>
                <w:ilvl w:val="0"/>
                <w:numId w:val="0"/>
              </w:numPr>
              <w:spacing w:line="500" w:lineRule="exact"/>
              <w:ind w:firstLine="480" w:firstLineChars="200"/>
              <w:rPr>
                <w:sz w:val="24"/>
              </w:rPr>
            </w:pPr>
            <w:r>
              <w:rPr>
                <w:rFonts w:hint="eastAsia" w:hAnsi="宋体"/>
                <w:sz w:val="24"/>
                <w:lang w:val="en-US" w:eastAsia="zh-CN"/>
              </w:rPr>
              <w:t>a</w:t>
            </w:r>
            <w:r>
              <w:rPr>
                <w:rFonts w:hint="eastAsia" w:hAnsi="宋体"/>
                <w:sz w:val="24"/>
                <w:lang w:eastAsia="zh-CN"/>
              </w:rPr>
              <w:t>）化纤布</w:t>
            </w:r>
            <w:r>
              <w:rPr>
                <w:rFonts w:hAnsi="宋体"/>
                <w:sz w:val="24"/>
              </w:rPr>
              <w:t>生产工艺</w:t>
            </w:r>
          </w:p>
          <w:p>
            <w:pPr>
              <w:jc w:val="center"/>
            </w:pPr>
            <w:r>
              <w:rPr>
                <w:rFonts w:ascii="Times New Roman" w:hAnsi="Times New Roman" w:eastAsia="宋体"/>
                <w:kern w:val="2"/>
                <w:sz w:val="21"/>
              </w:rPr>
              <w:object>
                <v:shape id="_x0000_i1028" o:spt="75" type="#_x0000_t75" style="height:364.35pt;width:242.65pt;" o:ole="t" filled="f" o:preferrelative="t" stroked="f" coordsize="21600,21600">
                  <v:path/>
                  <v:fill on="f" focussize="0,0"/>
                  <v:stroke on="f"/>
                  <v:imagedata r:id="rId34" o:title=""/>
                  <o:lock v:ext="edit" aspectratio="t"/>
                  <w10:wrap type="none"/>
                  <w10:anchorlock/>
                </v:shape>
                <o:OLEObject Type="Embed" ProgID="Visio.Drawing.11" ShapeID="_x0000_i1028" DrawAspect="Content" ObjectID="_1468075728" r:id="rId33">
                  <o:LockedField>false</o:LockedField>
                </o:OLEObject>
              </w:object>
            </w:r>
          </w:p>
          <w:p>
            <w:pPr>
              <w:spacing w:line="460" w:lineRule="exact"/>
              <w:contextualSpacing/>
              <w:jc w:val="center"/>
              <w:rPr>
                <w:rFonts w:hAnsi="宋体"/>
                <w:sz w:val="24"/>
              </w:rPr>
            </w:pPr>
            <w:r>
              <w:rPr>
                <w:rFonts w:hAnsi="宋体"/>
                <w:b/>
                <w:szCs w:val="21"/>
              </w:rPr>
              <w:t xml:space="preserve">图2.4-1  </w:t>
            </w:r>
            <w:r>
              <w:rPr>
                <w:rFonts w:hint="eastAsia" w:hAnsi="宋体"/>
                <w:b/>
                <w:szCs w:val="21"/>
              </w:rPr>
              <w:t>现有生产情况化纤布</w:t>
            </w:r>
            <w:r>
              <w:rPr>
                <w:rFonts w:hAnsi="宋体"/>
                <w:b/>
                <w:szCs w:val="21"/>
              </w:rPr>
              <w:t>生产工艺流程及主要产污环节图</w:t>
            </w:r>
          </w:p>
          <w:p>
            <w:pPr>
              <w:spacing w:line="500" w:lineRule="exact"/>
              <w:jc w:val="left"/>
              <w:rPr>
                <w:sz w:val="24"/>
              </w:rPr>
            </w:pPr>
            <w:r>
              <w:rPr>
                <w:rFonts w:hAnsi="宋体"/>
                <w:sz w:val="24"/>
              </w:rPr>
              <w:t>生产工艺简述：</w:t>
            </w:r>
          </w:p>
          <w:p>
            <w:pPr>
              <w:numPr>
                <w:ilvl w:val="0"/>
                <w:numId w:val="0"/>
              </w:numPr>
              <w:spacing w:line="500" w:lineRule="exact"/>
              <w:ind w:firstLine="480" w:firstLineChars="200"/>
              <w:rPr>
                <w:rFonts w:hint="eastAsia" w:hAnsi="宋体"/>
                <w:sz w:val="24"/>
                <w:lang w:val="en-US" w:eastAsia="zh-CN"/>
              </w:rPr>
            </w:pPr>
            <w:r>
              <w:rPr>
                <w:rFonts w:hint="eastAsia" w:hAnsi="宋体"/>
                <w:sz w:val="24"/>
                <w:lang w:val="en-US" w:eastAsia="zh-CN"/>
              </w:rPr>
              <w:t>（1）拆包、加弹：将外购的原材料POY化纤丝先通过人工拆包，再利用加弹机进行加弹，加弹过程需用到加弹油。加弹是在加热器（电加热，180℃）作用下，加热丝条，降低拉伸变形应力，POY 化纤丝的卷曲性和膨松性提高。</w:t>
            </w:r>
          </w:p>
          <w:p>
            <w:pPr>
              <w:numPr>
                <w:ilvl w:val="0"/>
                <w:numId w:val="0"/>
              </w:numPr>
              <w:spacing w:line="500" w:lineRule="exact"/>
              <w:ind w:firstLine="480" w:firstLineChars="200"/>
              <w:rPr>
                <w:rFonts w:hint="eastAsia" w:hAnsi="宋体"/>
                <w:sz w:val="24"/>
                <w:lang w:val="en-US" w:eastAsia="zh-CN"/>
              </w:rPr>
            </w:pPr>
            <w:r>
              <w:rPr>
                <w:rFonts w:hint="eastAsia" w:hAnsi="宋体"/>
                <w:sz w:val="24"/>
                <w:lang w:val="en-US" w:eastAsia="zh-CN"/>
              </w:rPr>
              <w:t>（2）整经：将经过加弹后的化纤丝利用整经机进行整经。</w:t>
            </w:r>
          </w:p>
          <w:p>
            <w:pPr>
              <w:numPr>
                <w:ilvl w:val="0"/>
                <w:numId w:val="0"/>
              </w:numPr>
              <w:spacing w:line="500" w:lineRule="exact"/>
              <w:ind w:firstLine="480" w:firstLineChars="200"/>
              <w:rPr>
                <w:rFonts w:hint="eastAsia" w:hAnsi="宋体"/>
                <w:sz w:val="24"/>
                <w:lang w:val="en-US" w:eastAsia="zh-CN"/>
              </w:rPr>
            </w:pPr>
            <w:r>
              <w:rPr>
                <w:rFonts w:hint="eastAsia" w:hAnsi="宋体"/>
                <w:sz w:val="24"/>
                <w:lang w:val="en-US" w:eastAsia="zh-CN"/>
              </w:rPr>
              <w:t>（3）织造：将经过整经后的化纤丝利用喷水织机进行织造（织造工序一般都需要由开口、引纬、打纬、送经、卷取等五大运动的有机配合以及其他辅助运动的配合，才能得以完成）。</w:t>
            </w:r>
          </w:p>
          <w:p>
            <w:pPr>
              <w:numPr>
                <w:ilvl w:val="0"/>
                <w:numId w:val="0"/>
              </w:numPr>
              <w:spacing w:line="500" w:lineRule="exact"/>
              <w:ind w:firstLine="480" w:firstLineChars="200"/>
              <w:rPr>
                <w:rFonts w:hint="eastAsia" w:hAnsi="宋体"/>
                <w:sz w:val="24"/>
                <w:lang w:val="en-US" w:eastAsia="zh-CN"/>
              </w:rPr>
            </w:pPr>
            <w:r>
              <w:rPr>
                <w:rFonts w:hint="eastAsia" w:hAnsi="宋体"/>
                <w:sz w:val="24"/>
                <w:lang w:val="en-US" w:eastAsia="zh-CN"/>
              </w:rPr>
              <w:t>（4）检验、打卷：将成品化纤布进行检验，检验合格后的布料利用打卷机进行打卷，即为成品。</w:t>
            </w:r>
          </w:p>
          <w:p>
            <w:pPr>
              <w:numPr>
                <w:ilvl w:val="0"/>
                <w:numId w:val="0"/>
              </w:numPr>
              <w:spacing w:line="500" w:lineRule="exact"/>
              <w:ind w:firstLine="480" w:firstLineChars="200"/>
              <w:rPr>
                <w:b/>
                <w:szCs w:val="21"/>
              </w:rPr>
            </w:pPr>
            <w:r>
              <w:rPr>
                <w:rFonts w:hint="eastAsia" w:hAnsi="宋体"/>
                <w:sz w:val="24"/>
                <w:lang w:val="en-US" w:eastAsia="zh-CN"/>
              </w:rPr>
              <w:t>（5）成品：将成品包装好后入仓库外售。</w:t>
            </w:r>
          </w:p>
        </w:tc>
      </w:tr>
    </w:tbl>
    <w:p>
      <w:bookmarkStart w:id="10" w:name="_Toc5870"/>
      <w:bookmarkStart w:id="11" w:name="_Toc5201"/>
    </w:p>
    <w:p>
      <w:pPr>
        <w:sectPr>
          <w:pgSz w:w="11906" w:h="16838"/>
          <w:pgMar w:top="1587" w:right="1587" w:bottom="1587" w:left="1587" w:header="851" w:footer="992" w:gutter="0"/>
          <w:pgBorders>
            <w:top w:val="none" w:sz="0" w:space="0"/>
            <w:left w:val="none" w:sz="0" w:space="0"/>
            <w:bottom w:val="none" w:sz="0" w:space="0"/>
            <w:right w:val="none" w:sz="0" w:space="0"/>
          </w:pgBorders>
          <w:cols w:space="0" w:num="1"/>
          <w:docGrid w:linePitch="312" w:charSpace="0"/>
        </w:sectPr>
      </w:pPr>
    </w:p>
    <w:tbl>
      <w:tblPr>
        <w:tblStyle w:val="40"/>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0" w:hRule="atLeast"/>
          <w:jc w:val="center"/>
        </w:trPr>
        <w:tc>
          <w:tcPr>
            <w:tcW w:w="525" w:type="dxa"/>
            <w:vAlign w:val="center"/>
          </w:tcPr>
          <w:p>
            <w:pPr>
              <w:jc w:val="center"/>
            </w:pPr>
            <w:r>
              <w:rPr>
                <w:rFonts w:hAnsi="宋体"/>
                <w:b/>
                <w:bCs/>
              </w:rPr>
              <w:t>与项目有关的原有环境污染问题</w:t>
            </w:r>
          </w:p>
        </w:tc>
        <w:tc>
          <w:tcPr>
            <w:tcW w:w="13648" w:type="dxa"/>
          </w:tcPr>
          <w:p>
            <w:pPr>
              <w:spacing w:line="500" w:lineRule="exact"/>
              <w:ind w:firstLine="480" w:firstLineChars="200"/>
              <w:rPr>
                <w:sz w:val="24"/>
              </w:rPr>
            </w:pPr>
            <w:r>
              <w:rPr>
                <w:rFonts w:hAnsi="宋体"/>
                <w:sz w:val="24"/>
              </w:rPr>
              <w:t>（</w:t>
            </w:r>
            <w:r>
              <w:rPr>
                <w:sz w:val="24"/>
              </w:rPr>
              <w:t>5</w:t>
            </w:r>
            <w:r>
              <w:rPr>
                <w:rFonts w:hAnsi="宋体"/>
                <w:sz w:val="24"/>
              </w:rPr>
              <w:t>）</w:t>
            </w:r>
            <w:r>
              <w:rPr>
                <w:rFonts w:hint="eastAsia" w:hAnsi="宋体"/>
                <w:sz w:val="24"/>
              </w:rPr>
              <w:t>现有生产情况</w:t>
            </w:r>
            <w:r>
              <w:rPr>
                <w:rFonts w:hAnsi="宋体"/>
                <w:sz w:val="24"/>
              </w:rPr>
              <w:t>污染物汇总</w:t>
            </w:r>
          </w:p>
          <w:p>
            <w:pPr>
              <w:spacing w:line="460" w:lineRule="exact"/>
              <w:jc w:val="center"/>
              <w:rPr>
                <w:b/>
                <w:szCs w:val="21"/>
              </w:rPr>
            </w:pPr>
            <w:r>
              <w:rPr>
                <w:rFonts w:hAnsi="宋体"/>
                <w:b/>
                <w:szCs w:val="21"/>
              </w:rPr>
              <w:t>表</w:t>
            </w:r>
            <w:r>
              <w:rPr>
                <w:b/>
                <w:szCs w:val="21"/>
              </w:rPr>
              <w:t>2.</w:t>
            </w:r>
            <w:r>
              <w:rPr>
                <w:rFonts w:hint="eastAsia"/>
                <w:b/>
                <w:szCs w:val="21"/>
              </w:rPr>
              <w:t>4</w:t>
            </w:r>
            <w:r>
              <w:rPr>
                <w:b/>
                <w:szCs w:val="21"/>
              </w:rPr>
              <w:t>-</w:t>
            </w:r>
            <w:r>
              <w:rPr>
                <w:rFonts w:hint="eastAsia"/>
                <w:b/>
                <w:szCs w:val="21"/>
                <w:lang w:val="en-US" w:eastAsia="zh-CN"/>
              </w:rPr>
              <w:t>4</w:t>
            </w:r>
            <w:r>
              <w:rPr>
                <w:rFonts w:hint="eastAsia"/>
                <w:b/>
                <w:szCs w:val="21"/>
              </w:rPr>
              <w:t xml:space="preserve"> </w:t>
            </w:r>
            <w:r>
              <w:rPr>
                <w:b/>
                <w:szCs w:val="21"/>
              </w:rPr>
              <w:t xml:space="preserve"> </w:t>
            </w:r>
            <w:r>
              <w:rPr>
                <w:rFonts w:hint="eastAsia"/>
                <w:b/>
                <w:szCs w:val="21"/>
              </w:rPr>
              <w:t>现有生产情况</w:t>
            </w:r>
            <w:r>
              <w:rPr>
                <w:rFonts w:hAnsi="宋体"/>
                <w:b/>
                <w:szCs w:val="21"/>
              </w:rPr>
              <w:t>污染源汇总表</w:t>
            </w:r>
          </w:p>
          <w:tbl>
            <w:tblPr>
              <w:tblStyle w:val="40"/>
              <w:tblW w:w="48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284"/>
              <w:gridCol w:w="1332"/>
              <w:gridCol w:w="1992"/>
              <w:gridCol w:w="1800"/>
              <w:gridCol w:w="3048"/>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330" w:type="pct"/>
                  <w:gridSpan w:val="3"/>
                  <w:vAlign w:val="center"/>
                </w:tcPr>
                <w:p>
                  <w:pPr>
                    <w:adjustRightInd w:val="0"/>
                    <w:snapToGrid w:val="0"/>
                    <w:jc w:val="center"/>
                    <w:rPr>
                      <w:bCs/>
                      <w:szCs w:val="21"/>
                    </w:rPr>
                  </w:pPr>
                  <w:r>
                    <w:rPr>
                      <w:rFonts w:hAnsi="宋体"/>
                      <w:bCs/>
                      <w:szCs w:val="21"/>
                    </w:rPr>
                    <w:t>污染物</w:t>
                  </w:r>
                </w:p>
              </w:tc>
              <w:tc>
                <w:tcPr>
                  <w:tcW w:w="763" w:type="pct"/>
                  <w:vAlign w:val="center"/>
                </w:tcPr>
                <w:p>
                  <w:pPr>
                    <w:adjustRightInd w:val="0"/>
                    <w:snapToGrid w:val="0"/>
                    <w:jc w:val="center"/>
                    <w:rPr>
                      <w:bCs/>
                      <w:szCs w:val="21"/>
                    </w:rPr>
                  </w:pPr>
                  <w:r>
                    <w:rPr>
                      <w:rFonts w:hint="eastAsia" w:hAnsi="宋体"/>
                      <w:bCs/>
                      <w:szCs w:val="21"/>
                      <w:lang w:eastAsia="zh-CN"/>
                    </w:rPr>
                    <w:t>原报批排放</w:t>
                  </w:r>
                  <w:r>
                    <w:rPr>
                      <w:rFonts w:hAnsi="宋体"/>
                      <w:bCs/>
                      <w:szCs w:val="21"/>
                    </w:rPr>
                    <w:t>量</w:t>
                  </w:r>
                </w:p>
              </w:tc>
              <w:tc>
                <w:tcPr>
                  <w:tcW w:w="690" w:type="pct"/>
                  <w:vAlign w:val="center"/>
                </w:tcPr>
                <w:p>
                  <w:pPr>
                    <w:adjustRightInd w:val="0"/>
                    <w:snapToGrid w:val="0"/>
                    <w:jc w:val="center"/>
                    <w:rPr>
                      <w:bCs/>
                      <w:color w:val="auto"/>
                      <w:szCs w:val="21"/>
                    </w:rPr>
                  </w:pPr>
                  <w:r>
                    <w:rPr>
                      <w:rFonts w:hAnsi="宋体"/>
                      <w:bCs/>
                      <w:color w:val="auto"/>
                      <w:szCs w:val="21"/>
                    </w:rPr>
                    <w:t>实际排放量</w:t>
                  </w:r>
                </w:p>
              </w:tc>
              <w:tc>
                <w:tcPr>
                  <w:tcW w:w="1168" w:type="pct"/>
                  <w:vAlign w:val="center"/>
                </w:tcPr>
                <w:p>
                  <w:pPr>
                    <w:adjustRightInd w:val="0"/>
                    <w:snapToGrid w:val="0"/>
                    <w:jc w:val="center"/>
                    <w:rPr>
                      <w:bCs/>
                      <w:color w:val="auto"/>
                      <w:szCs w:val="21"/>
                    </w:rPr>
                  </w:pPr>
                  <w:r>
                    <w:rPr>
                      <w:rFonts w:hAnsi="宋体"/>
                      <w:bCs/>
                      <w:color w:val="auto"/>
                      <w:szCs w:val="21"/>
                    </w:rPr>
                    <w:t>排放方式及去向</w:t>
                  </w:r>
                </w:p>
              </w:tc>
              <w:tc>
                <w:tcPr>
                  <w:tcW w:w="1046" w:type="pct"/>
                  <w:vAlign w:val="center"/>
                </w:tcPr>
                <w:p>
                  <w:pPr>
                    <w:adjustRightInd w:val="0"/>
                    <w:snapToGrid w:val="0"/>
                    <w:jc w:val="center"/>
                    <w:rPr>
                      <w:bCs/>
                      <w:color w:val="auto"/>
                      <w:szCs w:val="21"/>
                    </w:rPr>
                  </w:pPr>
                  <w:r>
                    <w:rPr>
                      <w:rFonts w:hAnsi="宋体"/>
                      <w:bCs/>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restart"/>
                  <w:vAlign w:val="center"/>
                </w:tcPr>
                <w:p>
                  <w:pPr>
                    <w:adjustRightInd w:val="0"/>
                    <w:snapToGrid w:val="0"/>
                    <w:jc w:val="center"/>
                    <w:rPr>
                      <w:bCs/>
                      <w:szCs w:val="21"/>
                    </w:rPr>
                  </w:pPr>
                  <w:r>
                    <w:rPr>
                      <w:rFonts w:hAnsi="宋体"/>
                      <w:bCs/>
                      <w:szCs w:val="21"/>
                    </w:rPr>
                    <w:t>废气</w:t>
                  </w:r>
                </w:p>
              </w:tc>
              <w:tc>
                <w:tcPr>
                  <w:tcW w:w="492" w:type="pct"/>
                  <w:vAlign w:val="center"/>
                </w:tcPr>
                <w:p>
                  <w:pPr>
                    <w:adjustRightInd w:val="0"/>
                    <w:snapToGrid w:val="0"/>
                    <w:jc w:val="center"/>
                    <w:rPr>
                      <w:rFonts w:hint="default" w:eastAsia="宋体"/>
                      <w:bCs/>
                      <w:szCs w:val="21"/>
                      <w:lang w:val="en-US" w:eastAsia="zh-CN"/>
                    </w:rPr>
                  </w:pPr>
                  <w:r>
                    <w:rPr>
                      <w:rFonts w:hint="eastAsia" w:hAnsi="宋体"/>
                      <w:bCs/>
                      <w:szCs w:val="21"/>
                      <w:lang w:eastAsia="zh-CN"/>
                    </w:rPr>
                    <w:t>加弹废气</w:t>
                  </w:r>
                  <w:r>
                    <w:rPr>
                      <w:rFonts w:hint="eastAsia" w:hAnsi="宋体"/>
                      <w:bCs/>
                      <w:szCs w:val="21"/>
                      <w:lang w:val="en-US" w:eastAsia="zh-CN"/>
                    </w:rPr>
                    <w:t>*</w:t>
                  </w:r>
                </w:p>
              </w:tc>
              <w:tc>
                <w:tcPr>
                  <w:tcW w:w="510" w:type="pct"/>
                  <w:vAlign w:val="center"/>
                </w:tcPr>
                <w:p>
                  <w:pPr>
                    <w:adjustRightInd w:val="0"/>
                    <w:snapToGrid w:val="0"/>
                    <w:jc w:val="center"/>
                    <w:rPr>
                      <w:rFonts w:hint="eastAsia" w:eastAsia="宋体"/>
                      <w:bCs/>
                      <w:szCs w:val="21"/>
                      <w:lang w:eastAsia="zh-CN"/>
                    </w:rPr>
                  </w:pPr>
                  <w:r>
                    <w:rPr>
                      <w:rFonts w:hint="eastAsia" w:hAnsi="宋体"/>
                      <w:bCs/>
                      <w:szCs w:val="21"/>
                      <w:lang w:eastAsia="zh-CN"/>
                    </w:rPr>
                    <w:t>非甲烷总烃</w:t>
                  </w:r>
                </w:p>
              </w:tc>
              <w:tc>
                <w:tcPr>
                  <w:tcW w:w="763" w:type="pct"/>
                  <w:vAlign w:val="center"/>
                </w:tcPr>
                <w:p>
                  <w:pPr>
                    <w:adjustRightInd w:val="0"/>
                    <w:snapToGrid w:val="0"/>
                    <w:jc w:val="center"/>
                    <w:rPr>
                      <w:rFonts w:hint="eastAsia" w:eastAsia="宋体"/>
                      <w:bCs/>
                      <w:szCs w:val="21"/>
                      <w:lang w:eastAsia="zh-CN"/>
                    </w:rPr>
                  </w:pPr>
                  <w:r>
                    <w:rPr>
                      <w:rFonts w:hint="eastAsia"/>
                      <w:bCs/>
                      <w:szCs w:val="21"/>
                    </w:rPr>
                    <w:t>少量</w:t>
                  </w:r>
                </w:p>
              </w:tc>
              <w:tc>
                <w:tcPr>
                  <w:tcW w:w="690" w:type="pct"/>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rPr>
                    <w:t>少量</w:t>
                  </w:r>
                </w:p>
              </w:tc>
              <w:tc>
                <w:tcPr>
                  <w:tcW w:w="1168" w:type="pct"/>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eastAsia="zh-CN"/>
                    </w:rPr>
                    <w:t>本次环评要求安装冷却</w:t>
                  </w:r>
                  <w:r>
                    <w:rPr>
                      <w:rFonts w:hint="eastAsia"/>
                      <w:bCs/>
                      <w:color w:val="auto"/>
                      <w:szCs w:val="21"/>
                      <w:lang w:val="en-US" w:eastAsia="zh-CN"/>
                    </w:rPr>
                    <w:t>+水喷淋+静电油烟净化装置进行处理，处理后的废气经20m高排气筒高空排放</w:t>
                  </w:r>
                </w:p>
              </w:tc>
              <w:tc>
                <w:tcPr>
                  <w:tcW w:w="1046" w:type="pct"/>
                  <w:vMerge w:val="restart"/>
                  <w:vAlign w:val="center"/>
                </w:tcPr>
                <w:p>
                  <w:pPr>
                    <w:adjustRightInd w:val="0"/>
                    <w:snapToGrid w:val="0"/>
                    <w:jc w:val="both"/>
                    <w:rPr>
                      <w:bCs/>
                      <w:color w:val="auto"/>
                      <w:szCs w:val="21"/>
                    </w:rPr>
                  </w:pPr>
                  <w:r>
                    <w:rPr>
                      <w:rFonts w:hAnsi="宋体"/>
                      <w:bCs/>
                      <w:color w:val="auto"/>
                      <w:szCs w:val="21"/>
                    </w:rPr>
                    <w:t>达到《大气污染物综合排放标准》（</w:t>
                  </w:r>
                  <w:r>
                    <w:rPr>
                      <w:bCs/>
                      <w:color w:val="auto"/>
                      <w:szCs w:val="21"/>
                    </w:rPr>
                    <w:t>GB16297-1996</w:t>
                  </w:r>
                  <w:r>
                    <w:rPr>
                      <w:rFonts w:hAnsi="宋体"/>
                      <w:bCs/>
                      <w:color w:val="auto"/>
                      <w:szCs w:val="21"/>
                    </w:rPr>
                    <w:t>）中的新污染源、二级标准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continue"/>
                  <w:vAlign w:val="center"/>
                </w:tcPr>
                <w:p>
                  <w:pPr>
                    <w:adjustRightInd w:val="0"/>
                    <w:snapToGrid w:val="0"/>
                    <w:jc w:val="center"/>
                    <w:rPr>
                      <w:rFonts w:hAnsi="宋体"/>
                      <w:bCs/>
                      <w:szCs w:val="21"/>
                    </w:rPr>
                  </w:pPr>
                  <w:bookmarkStart w:id="12" w:name="OLE_LINK21" w:colFirst="3" w:colLast="3"/>
                </w:p>
              </w:tc>
              <w:tc>
                <w:tcPr>
                  <w:tcW w:w="492" w:type="pct"/>
                  <w:vAlign w:val="center"/>
                </w:tcPr>
                <w:p>
                  <w:pPr>
                    <w:adjustRightInd w:val="0"/>
                    <w:snapToGrid w:val="0"/>
                    <w:jc w:val="center"/>
                    <w:rPr>
                      <w:rFonts w:hint="eastAsia" w:hAnsi="宋体"/>
                      <w:bCs/>
                      <w:szCs w:val="21"/>
                      <w:lang w:eastAsia="zh-CN"/>
                    </w:rPr>
                  </w:pPr>
                  <w:r>
                    <w:rPr>
                      <w:rFonts w:hint="eastAsia" w:hAnsi="宋体"/>
                      <w:bCs/>
                      <w:szCs w:val="21"/>
                      <w:lang w:eastAsia="zh-CN"/>
                    </w:rPr>
                    <w:t>织造废气</w:t>
                  </w:r>
                </w:p>
              </w:tc>
              <w:tc>
                <w:tcPr>
                  <w:tcW w:w="510" w:type="pct"/>
                  <w:vAlign w:val="center"/>
                </w:tcPr>
                <w:p>
                  <w:pPr>
                    <w:adjustRightInd w:val="0"/>
                    <w:snapToGrid w:val="0"/>
                    <w:jc w:val="center"/>
                    <w:rPr>
                      <w:rFonts w:hint="eastAsia" w:hAnsi="宋体"/>
                      <w:bCs/>
                      <w:szCs w:val="21"/>
                      <w:lang w:eastAsia="zh-CN"/>
                    </w:rPr>
                  </w:pPr>
                  <w:r>
                    <w:rPr>
                      <w:rFonts w:hint="eastAsia" w:hAnsi="宋体"/>
                      <w:bCs/>
                      <w:szCs w:val="21"/>
                      <w:lang w:eastAsia="zh-CN"/>
                    </w:rPr>
                    <w:t>颗粒物</w:t>
                  </w:r>
                </w:p>
              </w:tc>
              <w:tc>
                <w:tcPr>
                  <w:tcW w:w="763" w:type="pct"/>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少量</w:t>
                  </w:r>
                </w:p>
              </w:tc>
              <w:tc>
                <w:tcPr>
                  <w:tcW w:w="690" w:type="pct"/>
                  <w:vAlign w:val="center"/>
                </w:tcPr>
                <w:p>
                  <w:pPr>
                    <w:adjustRightInd w:val="0"/>
                    <w:snapToGrid w:val="0"/>
                    <w:jc w:val="center"/>
                    <w:rPr>
                      <w:rFonts w:hAnsi="宋体"/>
                      <w:bCs/>
                      <w:szCs w:val="21"/>
                    </w:rPr>
                  </w:pPr>
                  <w:r>
                    <w:rPr>
                      <w:rFonts w:hAnsi="宋体"/>
                      <w:bCs/>
                      <w:szCs w:val="21"/>
                    </w:rPr>
                    <w:t>无组织排放</w:t>
                  </w:r>
                </w:p>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rPr>
                    <w:t>少量</w:t>
                  </w:r>
                </w:p>
              </w:tc>
              <w:tc>
                <w:tcPr>
                  <w:tcW w:w="1168" w:type="pct"/>
                  <w:vAlign w:val="center"/>
                </w:tcPr>
                <w:p>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eastAsia="zh-CN"/>
                    </w:rPr>
                    <w:t>车间内无组织排放</w:t>
                  </w:r>
                </w:p>
              </w:tc>
              <w:tc>
                <w:tcPr>
                  <w:tcW w:w="1046" w:type="pct"/>
                  <w:vMerge w:val="continue"/>
                  <w:vAlign w:val="center"/>
                </w:tcPr>
                <w:p>
                  <w:pPr>
                    <w:adjustRightInd w:val="0"/>
                    <w:snapToGrid w:val="0"/>
                    <w:jc w:val="both"/>
                    <w:rPr>
                      <w:rFonts w:hAnsi="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restart"/>
                  <w:vAlign w:val="center"/>
                </w:tcPr>
                <w:p>
                  <w:pPr>
                    <w:adjustRightInd w:val="0"/>
                    <w:snapToGrid w:val="0"/>
                    <w:jc w:val="center"/>
                    <w:rPr>
                      <w:bCs/>
                      <w:szCs w:val="21"/>
                    </w:rPr>
                  </w:pPr>
                  <w:r>
                    <w:rPr>
                      <w:rFonts w:hAnsi="宋体"/>
                      <w:bCs/>
                      <w:szCs w:val="21"/>
                    </w:rPr>
                    <w:t>废水</w:t>
                  </w:r>
                </w:p>
              </w:tc>
              <w:tc>
                <w:tcPr>
                  <w:tcW w:w="492" w:type="pct"/>
                  <w:vMerge w:val="restart"/>
                  <w:vAlign w:val="center"/>
                </w:tcPr>
                <w:p>
                  <w:pPr>
                    <w:adjustRightInd w:val="0"/>
                    <w:snapToGrid w:val="0"/>
                    <w:jc w:val="center"/>
                    <w:rPr>
                      <w:rFonts w:hint="default"/>
                      <w:bCs/>
                      <w:szCs w:val="21"/>
                      <w:lang w:val="en-US"/>
                    </w:rPr>
                  </w:pPr>
                  <w:r>
                    <w:rPr>
                      <w:rFonts w:hint="eastAsia" w:hAnsi="宋体"/>
                      <w:bCs/>
                      <w:szCs w:val="21"/>
                      <w:lang w:eastAsia="zh-CN"/>
                    </w:rPr>
                    <w:t>生活污水</w:t>
                  </w:r>
                  <w:r>
                    <w:rPr>
                      <w:rFonts w:hint="eastAsia" w:hAnsi="宋体"/>
                      <w:bCs/>
                      <w:szCs w:val="21"/>
                      <w:lang w:val="en-US" w:eastAsia="zh-CN"/>
                    </w:rPr>
                    <w:t>*</w:t>
                  </w:r>
                </w:p>
              </w:tc>
              <w:tc>
                <w:tcPr>
                  <w:tcW w:w="510" w:type="pct"/>
                  <w:vAlign w:val="center"/>
                </w:tcPr>
                <w:p>
                  <w:pPr>
                    <w:adjustRightInd w:val="0"/>
                    <w:snapToGrid w:val="0"/>
                    <w:jc w:val="center"/>
                    <w:rPr>
                      <w:bCs/>
                      <w:szCs w:val="21"/>
                    </w:rPr>
                  </w:pPr>
                  <w:r>
                    <w:rPr>
                      <w:rFonts w:hAnsi="宋体"/>
                      <w:bCs/>
                      <w:szCs w:val="21"/>
                    </w:rPr>
                    <w:t>废水量</w:t>
                  </w:r>
                </w:p>
              </w:tc>
              <w:tc>
                <w:tcPr>
                  <w:tcW w:w="763" w:type="pct"/>
                  <w:vAlign w:val="center"/>
                </w:tcPr>
                <w:p>
                  <w:pPr>
                    <w:adjustRightInd w:val="0"/>
                    <w:snapToGrid w:val="0"/>
                    <w:jc w:val="center"/>
                    <w:rPr>
                      <w:rFonts w:hint="default" w:eastAsia="宋体"/>
                      <w:bCs/>
                      <w:szCs w:val="21"/>
                      <w:lang w:val="en-US" w:eastAsia="zh-CN"/>
                    </w:rPr>
                  </w:pPr>
                  <w:r>
                    <w:rPr>
                      <w:rFonts w:hint="eastAsia"/>
                      <w:bCs/>
                      <w:szCs w:val="21"/>
                      <w:lang w:val="en-US" w:eastAsia="zh-CN"/>
                    </w:rPr>
                    <w:t>1440t/a</w:t>
                  </w:r>
                </w:p>
              </w:tc>
              <w:tc>
                <w:tcPr>
                  <w:tcW w:w="690" w:type="pct"/>
                  <w:vAlign w:val="center"/>
                </w:tcPr>
                <w:p>
                  <w:pPr>
                    <w:adjustRightInd w:val="0"/>
                    <w:snapToGrid w:val="0"/>
                    <w:jc w:val="center"/>
                    <w:rPr>
                      <w:rFonts w:hint="default" w:eastAsia="宋体"/>
                      <w:bCs/>
                      <w:szCs w:val="21"/>
                      <w:lang w:val="en-US" w:eastAsia="zh-CN"/>
                    </w:rPr>
                  </w:pPr>
                  <w:r>
                    <w:rPr>
                      <w:rFonts w:hint="eastAsia"/>
                      <w:bCs/>
                      <w:szCs w:val="21"/>
                      <w:lang w:val="en-US" w:eastAsia="zh-CN"/>
                    </w:rPr>
                    <w:t>1200t/a</w:t>
                  </w:r>
                </w:p>
              </w:tc>
              <w:tc>
                <w:tcPr>
                  <w:tcW w:w="1168" w:type="pct"/>
                  <w:vMerge w:val="restart"/>
                  <w:vAlign w:val="center"/>
                </w:tcPr>
                <w:p>
                  <w:pPr>
                    <w:adjustRightInd w:val="0"/>
                    <w:snapToGrid w:val="0"/>
                    <w:jc w:val="both"/>
                    <w:rPr>
                      <w:bCs/>
                      <w:szCs w:val="21"/>
                    </w:rPr>
                  </w:pPr>
                  <w:r>
                    <w:rPr>
                      <w:rFonts w:hint="eastAsia"/>
                      <w:bCs/>
                      <w:szCs w:val="21"/>
                      <w:lang w:eastAsia="zh-CN"/>
                    </w:rPr>
                    <w:t>生</w:t>
                  </w:r>
                  <w:r>
                    <w:rPr>
                      <w:rFonts w:hint="eastAsia"/>
                      <w:bCs/>
                      <w:szCs w:val="21"/>
                    </w:rPr>
                    <w:t>活污水经化粪池预处理后纳入当地农村生活污水终端系统处理</w:t>
                  </w:r>
                  <w:r>
                    <w:rPr>
                      <w:rFonts w:hint="eastAsia"/>
                      <w:bCs/>
                      <w:szCs w:val="21"/>
                      <w:lang w:eastAsia="zh-CN"/>
                    </w:rPr>
                    <w:t>后</w:t>
                  </w:r>
                  <w:r>
                    <w:rPr>
                      <w:rFonts w:hint="eastAsia"/>
                      <w:bCs/>
                      <w:szCs w:val="21"/>
                    </w:rPr>
                    <w:t>达标排放</w:t>
                  </w:r>
                </w:p>
              </w:tc>
              <w:tc>
                <w:tcPr>
                  <w:tcW w:w="1046" w:type="pct"/>
                  <w:vMerge w:val="restart"/>
                  <w:vAlign w:val="center"/>
                </w:tcPr>
                <w:p>
                  <w:pPr>
                    <w:adjustRightInd w:val="0"/>
                    <w:snapToGrid w:val="0"/>
                    <w:jc w:val="both"/>
                    <w:rPr>
                      <w:rFonts w:hint="eastAsia" w:eastAsia="宋体"/>
                      <w:bCs/>
                      <w:szCs w:val="21"/>
                      <w:lang w:eastAsia="zh-CN"/>
                    </w:rPr>
                  </w:pPr>
                  <w:r>
                    <w:rPr>
                      <w:rFonts w:hint="eastAsia"/>
                      <w:bCs/>
                      <w:szCs w:val="21"/>
                      <w:lang w:eastAsia="zh-CN"/>
                    </w:rPr>
                    <w:t>达到《农村生活污水集中处理设施水污染物排放标准》（DB33/973-2021）中的表1中的二级标准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continue"/>
                  <w:vAlign w:val="center"/>
                </w:tcPr>
                <w:p>
                  <w:pPr>
                    <w:adjustRightInd w:val="0"/>
                    <w:snapToGrid w:val="0"/>
                    <w:jc w:val="center"/>
                    <w:rPr>
                      <w:bCs/>
                      <w:szCs w:val="21"/>
                    </w:rPr>
                  </w:pPr>
                </w:p>
              </w:tc>
              <w:tc>
                <w:tcPr>
                  <w:tcW w:w="492" w:type="pct"/>
                  <w:vMerge w:val="continue"/>
                  <w:vAlign w:val="center"/>
                </w:tcPr>
                <w:p>
                  <w:pPr>
                    <w:adjustRightInd w:val="0"/>
                    <w:snapToGrid w:val="0"/>
                    <w:jc w:val="center"/>
                    <w:rPr>
                      <w:bCs/>
                      <w:szCs w:val="21"/>
                    </w:rPr>
                  </w:pPr>
                </w:p>
              </w:tc>
              <w:tc>
                <w:tcPr>
                  <w:tcW w:w="510" w:type="pct"/>
                  <w:vAlign w:val="center"/>
                </w:tcPr>
                <w:p>
                  <w:pPr>
                    <w:jc w:val="center"/>
                    <w:rPr>
                      <w:szCs w:val="21"/>
                    </w:rPr>
                  </w:pPr>
                  <w:r>
                    <w:rPr>
                      <w:bCs/>
                      <w:szCs w:val="21"/>
                    </w:rPr>
                    <w:t>COD</w:t>
                  </w:r>
                  <w:r>
                    <w:rPr>
                      <w:bCs/>
                      <w:szCs w:val="21"/>
                      <w:vertAlign w:val="subscript"/>
                    </w:rPr>
                    <w:t>Cr</w:t>
                  </w:r>
                </w:p>
              </w:tc>
              <w:tc>
                <w:tcPr>
                  <w:tcW w:w="763" w:type="pct"/>
                  <w:vAlign w:val="center"/>
                </w:tcPr>
                <w:p>
                  <w:pPr>
                    <w:adjustRightInd w:val="0"/>
                    <w:snapToGrid w:val="0"/>
                    <w:jc w:val="center"/>
                    <w:rPr>
                      <w:rFonts w:hint="default" w:eastAsia="宋体"/>
                      <w:bCs/>
                      <w:szCs w:val="21"/>
                      <w:lang w:val="en-US" w:eastAsia="zh-CN"/>
                    </w:rPr>
                  </w:pPr>
                  <w:r>
                    <w:rPr>
                      <w:rFonts w:hint="eastAsia"/>
                      <w:bCs/>
                      <w:szCs w:val="21"/>
                      <w:lang w:val="en-US" w:eastAsia="zh-CN"/>
                    </w:rPr>
                    <w:t>0.072t/a</w:t>
                  </w:r>
                </w:p>
              </w:tc>
              <w:tc>
                <w:tcPr>
                  <w:tcW w:w="690" w:type="pct"/>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0.12t/a</w:t>
                  </w:r>
                </w:p>
              </w:tc>
              <w:tc>
                <w:tcPr>
                  <w:tcW w:w="1168" w:type="pct"/>
                  <w:vMerge w:val="continue"/>
                  <w:vAlign w:val="center"/>
                </w:tcPr>
                <w:p>
                  <w:pPr>
                    <w:adjustRightInd w:val="0"/>
                    <w:snapToGrid w:val="0"/>
                    <w:jc w:val="center"/>
                    <w:rPr>
                      <w:bCs/>
                      <w:szCs w:val="21"/>
                    </w:rPr>
                  </w:pPr>
                </w:p>
              </w:tc>
              <w:tc>
                <w:tcPr>
                  <w:tcW w:w="1046"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continue"/>
                  <w:vAlign w:val="center"/>
                </w:tcPr>
                <w:p>
                  <w:pPr>
                    <w:adjustRightInd w:val="0"/>
                    <w:snapToGrid w:val="0"/>
                    <w:jc w:val="center"/>
                    <w:rPr>
                      <w:bCs/>
                      <w:szCs w:val="21"/>
                    </w:rPr>
                  </w:pPr>
                </w:p>
              </w:tc>
              <w:tc>
                <w:tcPr>
                  <w:tcW w:w="492" w:type="pct"/>
                  <w:vMerge w:val="continue"/>
                  <w:vAlign w:val="center"/>
                </w:tcPr>
                <w:p>
                  <w:pPr>
                    <w:adjustRightInd w:val="0"/>
                    <w:snapToGrid w:val="0"/>
                    <w:jc w:val="center"/>
                    <w:rPr>
                      <w:bCs/>
                      <w:szCs w:val="21"/>
                    </w:rPr>
                  </w:pPr>
                </w:p>
              </w:tc>
              <w:tc>
                <w:tcPr>
                  <w:tcW w:w="510" w:type="pct"/>
                  <w:vAlign w:val="center"/>
                </w:tcPr>
                <w:p>
                  <w:pPr>
                    <w:jc w:val="center"/>
                    <w:rPr>
                      <w:szCs w:val="21"/>
                    </w:rPr>
                  </w:pPr>
                  <w:r>
                    <w:rPr>
                      <w:szCs w:val="21"/>
                    </w:rPr>
                    <w:t>NH</w:t>
                  </w:r>
                  <w:r>
                    <w:rPr>
                      <w:szCs w:val="21"/>
                      <w:vertAlign w:val="subscript"/>
                    </w:rPr>
                    <w:t>3</w:t>
                  </w:r>
                  <w:r>
                    <w:rPr>
                      <w:szCs w:val="21"/>
                    </w:rPr>
                    <w:t>-N</w:t>
                  </w:r>
                </w:p>
              </w:tc>
              <w:tc>
                <w:tcPr>
                  <w:tcW w:w="763" w:type="pct"/>
                  <w:vAlign w:val="center"/>
                </w:tcPr>
                <w:p>
                  <w:pPr>
                    <w:adjustRightInd w:val="0"/>
                    <w:snapToGrid w:val="0"/>
                    <w:jc w:val="center"/>
                    <w:rPr>
                      <w:rFonts w:hint="default" w:eastAsia="宋体"/>
                      <w:bCs/>
                      <w:szCs w:val="21"/>
                      <w:lang w:val="en-US" w:eastAsia="zh-CN"/>
                    </w:rPr>
                  </w:pPr>
                  <w:r>
                    <w:rPr>
                      <w:rFonts w:hint="eastAsia"/>
                      <w:bCs/>
                      <w:szCs w:val="21"/>
                      <w:lang w:val="en-US" w:eastAsia="zh-CN"/>
                    </w:rPr>
                    <w:t>0.007t/a</w:t>
                  </w:r>
                </w:p>
              </w:tc>
              <w:tc>
                <w:tcPr>
                  <w:tcW w:w="690" w:type="pct"/>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0.025t/a</w:t>
                  </w:r>
                </w:p>
              </w:tc>
              <w:tc>
                <w:tcPr>
                  <w:tcW w:w="1168" w:type="pct"/>
                  <w:vMerge w:val="continue"/>
                  <w:vAlign w:val="center"/>
                </w:tcPr>
                <w:p>
                  <w:pPr>
                    <w:adjustRightInd w:val="0"/>
                    <w:snapToGrid w:val="0"/>
                    <w:jc w:val="center"/>
                    <w:rPr>
                      <w:bCs/>
                      <w:szCs w:val="21"/>
                    </w:rPr>
                  </w:pPr>
                </w:p>
              </w:tc>
              <w:tc>
                <w:tcPr>
                  <w:tcW w:w="1046"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continue"/>
                  <w:vAlign w:val="center"/>
                </w:tcPr>
                <w:p>
                  <w:pPr>
                    <w:adjustRightInd w:val="0"/>
                    <w:snapToGrid w:val="0"/>
                    <w:jc w:val="center"/>
                    <w:rPr>
                      <w:bCs/>
                      <w:szCs w:val="21"/>
                    </w:rPr>
                  </w:pPr>
                  <w:bookmarkStart w:id="13" w:name="OLE_LINK22" w:colFirst="7" w:colLast="7"/>
                </w:p>
              </w:tc>
              <w:tc>
                <w:tcPr>
                  <w:tcW w:w="492" w:type="pct"/>
                  <w:vMerge w:val="restart"/>
                  <w:vAlign w:val="center"/>
                </w:tcPr>
                <w:p>
                  <w:pPr>
                    <w:adjustRightInd w:val="0"/>
                    <w:snapToGrid w:val="0"/>
                    <w:jc w:val="center"/>
                    <w:rPr>
                      <w:rFonts w:hint="eastAsia" w:eastAsia="宋体"/>
                      <w:bCs/>
                      <w:szCs w:val="21"/>
                      <w:lang w:eastAsia="zh-CN"/>
                    </w:rPr>
                  </w:pPr>
                  <w:r>
                    <w:rPr>
                      <w:rFonts w:hint="eastAsia"/>
                      <w:bCs/>
                      <w:szCs w:val="21"/>
                      <w:lang w:eastAsia="zh-CN"/>
                    </w:rPr>
                    <w:t>织造废水</w:t>
                  </w:r>
                </w:p>
              </w:tc>
              <w:tc>
                <w:tcPr>
                  <w:tcW w:w="510" w:type="pct"/>
                  <w:vAlign w:val="center"/>
                </w:tcPr>
                <w:p>
                  <w:pPr>
                    <w:jc w:val="center"/>
                    <w:rPr>
                      <w:rFonts w:hint="eastAsia" w:eastAsia="宋体"/>
                      <w:szCs w:val="21"/>
                      <w:lang w:eastAsia="zh-CN"/>
                    </w:rPr>
                  </w:pPr>
                  <w:r>
                    <w:rPr>
                      <w:rFonts w:hint="eastAsia"/>
                      <w:szCs w:val="21"/>
                      <w:lang w:eastAsia="zh-CN"/>
                    </w:rPr>
                    <w:t>废水量</w:t>
                  </w:r>
                </w:p>
              </w:tc>
              <w:tc>
                <w:tcPr>
                  <w:tcW w:w="763" w:type="pct"/>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bCs/>
                      <w:szCs w:val="21"/>
                      <w:lang w:val="en-US" w:eastAsia="zh-CN"/>
                    </w:rPr>
                    <w:t>186000</w:t>
                  </w:r>
                  <w:r>
                    <w:rPr>
                      <w:bCs/>
                      <w:szCs w:val="21"/>
                    </w:rPr>
                    <w:t>t/a</w:t>
                  </w:r>
                  <w:r>
                    <w:rPr>
                      <w:rFonts w:hint="eastAsia"/>
                      <w:bCs/>
                      <w:szCs w:val="21"/>
                      <w:lang w:eastAsia="zh-CN"/>
                    </w:rPr>
                    <w:t>（产生量）</w:t>
                  </w:r>
                </w:p>
              </w:tc>
              <w:tc>
                <w:tcPr>
                  <w:tcW w:w="690" w:type="pct"/>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szCs w:val="21"/>
                      <w:lang w:val="en-US" w:eastAsia="zh-CN"/>
                    </w:rPr>
                    <w:t>0</w:t>
                  </w:r>
                </w:p>
              </w:tc>
              <w:tc>
                <w:tcPr>
                  <w:tcW w:w="1168" w:type="pct"/>
                  <w:vMerge w:val="restart"/>
                  <w:vAlign w:val="center"/>
                </w:tcPr>
                <w:p>
                  <w:pPr>
                    <w:adjustRightInd w:val="0"/>
                    <w:snapToGrid w:val="0"/>
                    <w:jc w:val="center"/>
                    <w:rPr>
                      <w:rFonts w:hint="eastAsia" w:eastAsia="宋体"/>
                      <w:bCs/>
                      <w:szCs w:val="21"/>
                      <w:lang w:eastAsia="zh-CN"/>
                    </w:rPr>
                  </w:pPr>
                  <w:r>
                    <w:rPr>
                      <w:rFonts w:hint="eastAsia"/>
                      <w:bCs/>
                      <w:szCs w:val="21"/>
                      <w:lang w:eastAsia="zh-CN"/>
                    </w:rPr>
                    <w:t>单独纳管至</w:t>
                  </w:r>
                  <w:r>
                    <w:rPr>
                      <w:rFonts w:hint="eastAsia" w:eastAsia="宋体"/>
                      <w:bCs/>
                      <w:szCs w:val="21"/>
                      <w:lang w:eastAsia="zh-CN"/>
                    </w:rPr>
                    <w:t>长兴虹溪污水处理有限公司虹星桥镇北片工业园区中水回用站集中处理</w:t>
                  </w:r>
                  <w:r>
                    <w:rPr>
                      <w:rFonts w:hint="eastAsia"/>
                      <w:bCs/>
                      <w:szCs w:val="21"/>
                      <w:lang w:eastAsia="zh-CN"/>
                    </w:rPr>
                    <w:t>后回用至本厂内</w:t>
                  </w:r>
                </w:p>
              </w:tc>
              <w:tc>
                <w:tcPr>
                  <w:tcW w:w="1046" w:type="pct"/>
                  <w:vMerge w:val="restart"/>
                  <w:vAlign w:val="center"/>
                </w:tcPr>
                <w:p>
                  <w:pPr>
                    <w:adjustRightInd w:val="0"/>
                    <w:snapToGrid w:val="0"/>
                    <w:jc w:val="center"/>
                    <w:rPr>
                      <w:rFonts w:hint="eastAsia" w:eastAsia="宋体"/>
                      <w:bCs/>
                      <w:szCs w:val="21"/>
                      <w:lang w:val="en-US" w:eastAsia="zh-CN"/>
                    </w:rPr>
                  </w:pPr>
                  <w:r>
                    <w:rPr>
                      <w:rFonts w:hint="eastAsia"/>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continue"/>
                  <w:vAlign w:val="center"/>
                </w:tcPr>
                <w:p>
                  <w:pPr>
                    <w:adjustRightInd w:val="0"/>
                    <w:snapToGrid w:val="0"/>
                    <w:jc w:val="center"/>
                    <w:rPr>
                      <w:bCs/>
                      <w:szCs w:val="21"/>
                    </w:rPr>
                  </w:pPr>
                </w:p>
              </w:tc>
              <w:tc>
                <w:tcPr>
                  <w:tcW w:w="492" w:type="pct"/>
                  <w:vMerge w:val="continue"/>
                  <w:vAlign w:val="center"/>
                </w:tcPr>
                <w:p>
                  <w:pPr>
                    <w:adjustRightInd w:val="0"/>
                    <w:snapToGrid w:val="0"/>
                    <w:jc w:val="center"/>
                    <w:rPr>
                      <w:bCs/>
                      <w:szCs w:val="21"/>
                    </w:rPr>
                  </w:pPr>
                </w:p>
              </w:tc>
              <w:tc>
                <w:tcPr>
                  <w:tcW w:w="510" w:type="pct"/>
                  <w:vAlign w:val="center"/>
                </w:tcPr>
                <w:p>
                  <w:pPr>
                    <w:jc w:val="center"/>
                    <w:rPr>
                      <w:rFonts w:ascii="Times New Roman" w:hAnsi="Times New Roman" w:eastAsia="宋体" w:cs="Times New Roman"/>
                      <w:kern w:val="2"/>
                      <w:sz w:val="21"/>
                      <w:szCs w:val="21"/>
                      <w:lang w:val="en-US" w:eastAsia="zh-CN" w:bidi="ar-SA"/>
                    </w:rPr>
                  </w:pPr>
                  <w:r>
                    <w:rPr>
                      <w:bCs/>
                      <w:szCs w:val="21"/>
                    </w:rPr>
                    <w:t>COD</w:t>
                  </w:r>
                  <w:r>
                    <w:rPr>
                      <w:bCs/>
                      <w:szCs w:val="21"/>
                      <w:vertAlign w:val="subscript"/>
                    </w:rPr>
                    <w:t>Cr</w:t>
                  </w:r>
                </w:p>
              </w:tc>
              <w:tc>
                <w:tcPr>
                  <w:tcW w:w="763" w:type="pct"/>
                  <w:vAlign w:val="center"/>
                </w:tcPr>
                <w:p>
                  <w:pPr>
                    <w:adjustRightInd w:val="0"/>
                    <w:snapToGrid w:val="0"/>
                    <w:jc w:val="center"/>
                    <w:rPr>
                      <w:rFonts w:hint="default" w:eastAsia="宋体"/>
                      <w:szCs w:val="21"/>
                      <w:lang w:val="en-US" w:eastAsia="zh-CN"/>
                    </w:rPr>
                  </w:pPr>
                  <w:r>
                    <w:rPr>
                      <w:rFonts w:hint="eastAsia"/>
                      <w:szCs w:val="21"/>
                      <w:lang w:val="en-US" w:eastAsia="zh-CN"/>
                    </w:rPr>
                    <w:t>96t/a（产生量）</w:t>
                  </w:r>
                </w:p>
              </w:tc>
              <w:tc>
                <w:tcPr>
                  <w:tcW w:w="690" w:type="pct"/>
                  <w:vAlign w:val="center"/>
                </w:tcPr>
                <w:p>
                  <w:pPr>
                    <w:adjustRightInd w:val="0"/>
                    <w:snapToGrid w:val="0"/>
                    <w:jc w:val="center"/>
                    <w:rPr>
                      <w:rFonts w:hint="default"/>
                      <w:bCs/>
                      <w:szCs w:val="21"/>
                      <w:lang w:val="en-US" w:eastAsia="zh-CN"/>
                    </w:rPr>
                  </w:pPr>
                  <w:r>
                    <w:rPr>
                      <w:rFonts w:hint="eastAsia"/>
                      <w:bCs/>
                      <w:szCs w:val="21"/>
                      <w:lang w:val="en-US" w:eastAsia="zh-CN"/>
                    </w:rPr>
                    <w:t>0</w:t>
                  </w:r>
                </w:p>
              </w:tc>
              <w:tc>
                <w:tcPr>
                  <w:tcW w:w="1168" w:type="pct"/>
                  <w:vMerge w:val="continue"/>
                  <w:vAlign w:val="center"/>
                </w:tcPr>
                <w:p>
                  <w:pPr>
                    <w:adjustRightInd w:val="0"/>
                    <w:snapToGrid w:val="0"/>
                    <w:jc w:val="center"/>
                    <w:rPr>
                      <w:bCs/>
                      <w:szCs w:val="21"/>
                    </w:rPr>
                  </w:pPr>
                </w:p>
              </w:tc>
              <w:tc>
                <w:tcPr>
                  <w:tcW w:w="1046"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continue"/>
                  <w:vAlign w:val="center"/>
                </w:tcPr>
                <w:p>
                  <w:pPr>
                    <w:adjustRightInd w:val="0"/>
                    <w:snapToGrid w:val="0"/>
                    <w:jc w:val="center"/>
                    <w:rPr>
                      <w:bCs/>
                      <w:szCs w:val="21"/>
                    </w:rPr>
                  </w:pPr>
                </w:p>
              </w:tc>
              <w:tc>
                <w:tcPr>
                  <w:tcW w:w="492" w:type="pct"/>
                  <w:vMerge w:val="continue"/>
                  <w:vAlign w:val="center"/>
                </w:tcPr>
                <w:p>
                  <w:pPr>
                    <w:adjustRightInd w:val="0"/>
                    <w:snapToGrid w:val="0"/>
                    <w:jc w:val="center"/>
                    <w:rPr>
                      <w:bCs/>
                      <w:szCs w:val="21"/>
                    </w:rPr>
                  </w:pPr>
                </w:p>
              </w:tc>
              <w:tc>
                <w:tcPr>
                  <w:tcW w:w="510" w:type="pct"/>
                  <w:vAlign w:val="center"/>
                </w:tcPr>
                <w:p>
                  <w:pPr>
                    <w:jc w:val="center"/>
                    <w:rPr>
                      <w:rFonts w:ascii="Times New Roman" w:hAnsi="Times New Roman" w:eastAsia="宋体" w:cs="Times New Roman"/>
                      <w:kern w:val="2"/>
                      <w:sz w:val="21"/>
                      <w:szCs w:val="21"/>
                      <w:lang w:val="en-US" w:eastAsia="zh-CN" w:bidi="ar-SA"/>
                    </w:rPr>
                  </w:pPr>
                  <w:r>
                    <w:rPr>
                      <w:szCs w:val="21"/>
                    </w:rPr>
                    <w:t>SS</w:t>
                  </w:r>
                </w:p>
              </w:tc>
              <w:tc>
                <w:tcPr>
                  <w:tcW w:w="763" w:type="pct"/>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55.8t/a（产生量）</w:t>
                  </w:r>
                </w:p>
              </w:tc>
              <w:tc>
                <w:tcPr>
                  <w:tcW w:w="690" w:type="pct"/>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0</w:t>
                  </w:r>
                </w:p>
              </w:tc>
              <w:tc>
                <w:tcPr>
                  <w:tcW w:w="1168" w:type="pct"/>
                  <w:vMerge w:val="continue"/>
                  <w:vAlign w:val="center"/>
                </w:tcPr>
                <w:p>
                  <w:pPr>
                    <w:adjustRightInd w:val="0"/>
                    <w:snapToGrid w:val="0"/>
                    <w:jc w:val="center"/>
                    <w:rPr>
                      <w:bCs/>
                      <w:szCs w:val="21"/>
                    </w:rPr>
                  </w:pPr>
                </w:p>
              </w:tc>
              <w:tc>
                <w:tcPr>
                  <w:tcW w:w="1046" w:type="pct"/>
                  <w:vMerge w:val="continue"/>
                  <w:vAlign w:val="center"/>
                </w:tcPr>
                <w:p>
                  <w:pPr>
                    <w:adjustRightInd w:val="0"/>
                    <w:snapToGrid w:val="0"/>
                    <w:jc w:val="center"/>
                    <w:rPr>
                      <w:bCs/>
                      <w:szCs w:val="21"/>
                    </w:rPr>
                  </w:pP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restart"/>
                  <w:vAlign w:val="center"/>
                </w:tcPr>
                <w:p>
                  <w:pPr>
                    <w:adjustRightInd w:val="0"/>
                    <w:snapToGrid w:val="0"/>
                    <w:jc w:val="center"/>
                    <w:rPr>
                      <w:bCs/>
                      <w:color w:val="FF0000"/>
                      <w:szCs w:val="21"/>
                    </w:rPr>
                  </w:pPr>
                  <w:r>
                    <w:rPr>
                      <w:rFonts w:hAnsi="宋体"/>
                      <w:bCs/>
                      <w:szCs w:val="21"/>
                    </w:rPr>
                    <w:t>固体废物</w:t>
                  </w:r>
                </w:p>
              </w:tc>
              <w:tc>
                <w:tcPr>
                  <w:tcW w:w="1003" w:type="pct"/>
                  <w:gridSpan w:val="2"/>
                  <w:vAlign w:val="center"/>
                </w:tcPr>
                <w:p>
                  <w:pPr>
                    <w:adjustRightInd w:val="0"/>
                    <w:snapToGrid w:val="0"/>
                    <w:jc w:val="center"/>
                    <w:rPr>
                      <w:bCs/>
                      <w:szCs w:val="21"/>
                    </w:rPr>
                  </w:pPr>
                  <w:r>
                    <w:rPr>
                      <w:rFonts w:hAnsi="宋体"/>
                      <w:bCs/>
                      <w:szCs w:val="21"/>
                    </w:rPr>
                    <w:t>生活垃圾</w:t>
                  </w:r>
                </w:p>
              </w:tc>
              <w:tc>
                <w:tcPr>
                  <w:tcW w:w="763" w:type="pct"/>
                  <w:vAlign w:val="center"/>
                </w:tcPr>
                <w:p>
                  <w:pPr>
                    <w:adjustRightInd w:val="0"/>
                    <w:snapToGrid w:val="0"/>
                    <w:jc w:val="center"/>
                    <w:rPr>
                      <w:bCs/>
                      <w:szCs w:val="21"/>
                    </w:rPr>
                  </w:pPr>
                  <w:r>
                    <w:rPr>
                      <w:rFonts w:hint="eastAsia"/>
                      <w:bCs/>
                      <w:szCs w:val="21"/>
                      <w:lang w:val="en-US" w:eastAsia="zh-CN"/>
                    </w:rPr>
                    <w:t>9</w:t>
                  </w:r>
                  <w:r>
                    <w:rPr>
                      <w:bCs/>
                      <w:szCs w:val="21"/>
                    </w:rPr>
                    <w:t>t/a</w:t>
                  </w:r>
                </w:p>
              </w:tc>
              <w:tc>
                <w:tcPr>
                  <w:tcW w:w="690" w:type="pct"/>
                  <w:vAlign w:val="center"/>
                </w:tcPr>
                <w:p>
                  <w:pPr>
                    <w:adjustRightInd w:val="0"/>
                    <w:snapToGrid w:val="0"/>
                    <w:jc w:val="center"/>
                    <w:rPr>
                      <w:bCs/>
                      <w:szCs w:val="21"/>
                    </w:rPr>
                  </w:pPr>
                  <w:r>
                    <w:rPr>
                      <w:bCs/>
                      <w:szCs w:val="21"/>
                    </w:rPr>
                    <w:t>0</w:t>
                  </w:r>
                </w:p>
              </w:tc>
              <w:tc>
                <w:tcPr>
                  <w:tcW w:w="1168" w:type="pct"/>
                  <w:vAlign w:val="center"/>
                </w:tcPr>
                <w:p>
                  <w:pPr>
                    <w:adjustRightInd w:val="0"/>
                    <w:snapToGrid w:val="0"/>
                    <w:jc w:val="center"/>
                    <w:rPr>
                      <w:bCs/>
                      <w:szCs w:val="21"/>
                    </w:rPr>
                  </w:pPr>
                  <w:bookmarkStart w:id="14" w:name="OLE_LINK24"/>
                  <w:r>
                    <w:rPr>
                      <w:rFonts w:hAnsi="宋体"/>
                      <w:bCs/>
                      <w:szCs w:val="21"/>
                    </w:rPr>
                    <w:t>由当地环卫所委托清运</w:t>
                  </w:r>
                  <w:bookmarkEnd w:id="14"/>
                </w:p>
              </w:tc>
              <w:tc>
                <w:tcPr>
                  <w:tcW w:w="1046" w:type="pct"/>
                  <w:vMerge w:val="restart"/>
                  <w:vAlign w:val="center"/>
                </w:tcPr>
                <w:p>
                  <w:pPr>
                    <w:adjustRightInd w:val="0"/>
                    <w:snapToGrid w:val="0"/>
                    <w:jc w:val="both"/>
                    <w:rPr>
                      <w:bCs/>
                      <w:szCs w:val="21"/>
                    </w:rPr>
                  </w:pPr>
                  <w:r>
                    <w:rPr>
                      <w:rFonts w:hAnsi="宋体"/>
                      <w:bCs/>
                      <w:szCs w:val="21"/>
                    </w:rPr>
                    <w:t>已建立一般固废固废不排放，对环境无不利影响</w:t>
                  </w:r>
                </w:p>
              </w:tc>
            </w:tr>
            <w:bookmark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continue"/>
                  <w:vAlign w:val="center"/>
                </w:tcPr>
                <w:p>
                  <w:pPr>
                    <w:adjustRightInd w:val="0"/>
                    <w:snapToGrid w:val="0"/>
                    <w:jc w:val="center"/>
                    <w:rPr>
                      <w:bCs/>
                      <w:color w:val="FF0000"/>
                      <w:szCs w:val="21"/>
                    </w:rPr>
                  </w:pPr>
                </w:p>
              </w:tc>
              <w:tc>
                <w:tcPr>
                  <w:tcW w:w="492" w:type="pct"/>
                  <w:vMerge w:val="restart"/>
                  <w:vAlign w:val="center"/>
                </w:tcPr>
                <w:p>
                  <w:pPr>
                    <w:tabs>
                      <w:tab w:val="left" w:pos="677"/>
                    </w:tabs>
                    <w:adjustRightInd w:val="0"/>
                    <w:snapToGrid w:val="0"/>
                    <w:jc w:val="center"/>
                    <w:rPr>
                      <w:bCs/>
                      <w:szCs w:val="21"/>
                    </w:rPr>
                  </w:pPr>
                  <w:r>
                    <w:rPr>
                      <w:rFonts w:hAnsi="宋体"/>
                      <w:bCs/>
                      <w:szCs w:val="21"/>
                    </w:rPr>
                    <w:t>生产</w:t>
                  </w:r>
                </w:p>
                <w:p>
                  <w:pPr>
                    <w:tabs>
                      <w:tab w:val="left" w:pos="677"/>
                    </w:tabs>
                    <w:adjustRightInd w:val="0"/>
                    <w:snapToGrid w:val="0"/>
                    <w:jc w:val="center"/>
                    <w:rPr>
                      <w:bCs/>
                      <w:szCs w:val="21"/>
                    </w:rPr>
                  </w:pPr>
                  <w:r>
                    <w:rPr>
                      <w:rFonts w:hAnsi="宋体"/>
                      <w:bCs/>
                      <w:szCs w:val="21"/>
                    </w:rPr>
                    <w:t>固废</w:t>
                  </w:r>
                </w:p>
              </w:tc>
              <w:tc>
                <w:tcPr>
                  <w:tcW w:w="510" w:type="pct"/>
                  <w:vAlign w:val="center"/>
                </w:tcPr>
                <w:p>
                  <w:pPr>
                    <w:snapToGrid w:val="0"/>
                    <w:jc w:val="center"/>
                    <w:rPr>
                      <w:rFonts w:ascii="Times New Roman" w:hAnsi="Times New Roman" w:eastAsia="宋体" w:cs="Times New Roman"/>
                      <w:bCs/>
                      <w:kern w:val="2"/>
                      <w:sz w:val="21"/>
                      <w:szCs w:val="21"/>
                      <w:lang w:val="en-US" w:eastAsia="zh-CN" w:bidi="ar-SA"/>
                    </w:rPr>
                  </w:pPr>
                  <w:r>
                    <w:rPr>
                      <w:rFonts w:ascii="Times New Roman" w:hAnsi="Times New Roman" w:eastAsia="宋体" w:cs="Times New Roman"/>
                      <w:sz w:val="21"/>
                      <w:szCs w:val="21"/>
                    </w:rPr>
                    <w:t>废丝、废布</w:t>
                  </w:r>
                </w:p>
              </w:tc>
              <w:tc>
                <w:tcPr>
                  <w:tcW w:w="763" w:type="pct"/>
                  <w:vAlign w:val="center"/>
                </w:tcPr>
                <w:p>
                  <w:pPr>
                    <w:adjustRightInd w:val="0"/>
                    <w:snapToGrid w:val="0"/>
                    <w:jc w:val="center"/>
                    <w:rPr>
                      <w:szCs w:val="21"/>
                    </w:rPr>
                  </w:pPr>
                  <w:r>
                    <w:rPr>
                      <w:rFonts w:hint="eastAsia" w:eastAsia="等线"/>
                      <w:szCs w:val="21"/>
                      <w:lang w:val="en-US" w:eastAsia="zh-CN"/>
                    </w:rPr>
                    <w:t>6</w:t>
                  </w:r>
                  <w:r>
                    <w:rPr>
                      <w:rFonts w:hint="eastAsia" w:eastAsia="等线"/>
                      <w:szCs w:val="21"/>
                    </w:rPr>
                    <w:t>/a</w:t>
                  </w:r>
                </w:p>
              </w:tc>
              <w:tc>
                <w:tcPr>
                  <w:tcW w:w="690" w:type="pct"/>
                  <w:vAlign w:val="center"/>
                </w:tcPr>
                <w:p>
                  <w:pPr>
                    <w:adjustRightInd w:val="0"/>
                    <w:snapToGrid w:val="0"/>
                    <w:jc w:val="center"/>
                    <w:rPr>
                      <w:bCs/>
                      <w:szCs w:val="21"/>
                    </w:rPr>
                  </w:pPr>
                  <w:r>
                    <w:rPr>
                      <w:bCs/>
                      <w:szCs w:val="21"/>
                    </w:rPr>
                    <w:t>0</w:t>
                  </w:r>
                </w:p>
              </w:tc>
              <w:tc>
                <w:tcPr>
                  <w:tcW w:w="1168" w:type="pct"/>
                  <w:vMerge w:val="restart"/>
                  <w:vAlign w:val="center"/>
                </w:tcPr>
                <w:p>
                  <w:pPr>
                    <w:adjustRightInd w:val="0"/>
                    <w:snapToGrid w:val="0"/>
                    <w:jc w:val="center"/>
                    <w:rPr>
                      <w:bCs/>
                      <w:szCs w:val="21"/>
                    </w:rPr>
                  </w:pPr>
                  <w:r>
                    <w:rPr>
                      <w:rFonts w:hAnsi="宋体"/>
                      <w:szCs w:val="21"/>
                    </w:rPr>
                    <w:t>出售给物资回收公司</w:t>
                  </w:r>
                </w:p>
              </w:tc>
              <w:tc>
                <w:tcPr>
                  <w:tcW w:w="1046" w:type="pct"/>
                  <w:vMerge w:val="continue"/>
                  <w:vAlign w:val="center"/>
                </w:tcPr>
                <w:p>
                  <w:pPr>
                    <w:adjustRightInd w:val="0"/>
                    <w:snapToGrid w:val="0"/>
                    <w:jc w:val="center"/>
                    <w:rPr>
                      <w:bCs/>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Merge w:val="continue"/>
                  <w:vAlign w:val="center"/>
                </w:tcPr>
                <w:p>
                  <w:pPr>
                    <w:adjustRightInd w:val="0"/>
                    <w:snapToGrid w:val="0"/>
                    <w:jc w:val="center"/>
                    <w:rPr>
                      <w:bCs/>
                      <w:color w:val="FF0000"/>
                      <w:szCs w:val="21"/>
                    </w:rPr>
                  </w:pPr>
                </w:p>
              </w:tc>
              <w:tc>
                <w:tcPr>
                  <w:tcW w:w="492" w:type="pct"/>
                  <w:vMerge w:val="continue"/>
                  <w:vAlign w:val="center"/>
                </w:tcPr>
                <w:p>
                  <w:pPr>
                    <w:tabs>
                      <w:tab w:val="left" w:pos="677"/>
                    </w:tabs>
                    <w:adjustRightInd w:val="0"/>
                    <w:snapToGrid w:val="0"/>
                    <w:jc w:val="center"/>
                    <w:rPr>
                      <w:bCs/>
                      <w:szCs w:val="21"/>
                    </w:rPr>
                  </w:pPr>
                </w:p>
              </w:tc>
              <w:tc>
                <w:tcPr>
                  <w:tcW w:w="510" w:type="pct"/>
                  <w:vAlign w:val="center"/>
                </w:tcPr>
                <w:p>
                  <w:pPr>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废包装材料</w:t>
                  </w:r>
                </w:p>
              </w:tc>
              <w:tc>
                <w:tcPr>
                  <w:tcW w:w="763" w:type="pct"/>
                  <w:vAlign w:val="center"/>
                </w:tcPr>
                <w:p>
                  <w:pPr>
                    <w:adjustRightInd w:val="0"/>
                    <w:snapToGrid w:val="0"/>
                    <w:jc w:val="center"/>
                    <w:rPr>
                      <w:szCs w:val="21"/>
                    </w:rPr>
                  </w:pPr>
                  <w:r>
                    <w:rPr>
                      <w:rFonts w:hint="eastAsia" w:eastAsia="等线"/>
                      <w:szCs w:val="21"/>
                      <w:lang w:val="en-US" w:eastAsia="zh-CN"/>
                    </w:rPr>
                    <w:t>5</w:t>
                  </w:r>
                  <w:r>
                    <w:rPr>
                      <w:rFonts w:hint="eastAsia" w:eastAsia="等线"/>
                      <w:szCs w:val="21"/>
                    </w:rPr>
                    <w:t>t/a</w:t>
                  </w:r>
                </w:p>
              </w:tc>
              <w:tc>
                <w:tcPr>
                  <w:tcW w:w="690" w:type="pct"/>
                  <w:vAlign w:val="center"/>
                </w:tcPr>
                <w:p>
                  <w:pPr>
                    <w:adjustRightInd w:val="0"/>
                    <w:snapToGrid w:val="0"/>
                    <w:jc w:val="center"/>
                    <w:rPr>
                      <w:bCs/>
                      <w:szCs w:val="21"/>
                    </w:rPr>
                  </w:pPr>
                  <w:r>
                    <w:rPr>
                      <w:bCs/>
                      <w:szCs w:val="21"/>
                    </w:rPr>
                    <w:t>0</w:t>
                  </w:r>
                </w:p>
              </w:tc>
              <w:tc>
                <w:tcPr>
                  <w:tcW w:w="1168" w:type="pct"/>
                  <w:vMerge w:val="continue"/>
                  <w:vAlign w:val="center"/>
                </w:tcPr>
                <w:p>
                  <w:pPr>
                    <w:adjustRightInd w:val="0"/>
                    <w:snapToGrid w:val="0"/>
                    <w:jc w:val="center"/>
                    <w:rPr>
                      <w:bCs/>
                      <w:szCs w:val="21"/>
                    </w:rPr>
                  </w:pPr>
                </w:p>
              </w:tc>
              <w:tc>
                <w:tcPr>
                  <w:tcW w:w="1046" w:type="pct"/>
                  <w:vMerge w:val="continue"/>
                  <w:vAlign w:val="center"/>
                </w:tcPr>
                <w:p>
                  <w:pPr>
                    <w:adjustRightInd w:val="0"/>
                    <w:snapToGrid w:val="0"/>
                    <w:jc w:val="center"/>
                    <w:rPr>
                      <w:bCs/>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7" w:type="pct"/>
                  <w:vAlign w:val="center"/>
                </w:tcPr>
                <w:p>
                  <w:pPr>
                    <w:adjustRightInd w:val="0"/>
                    <w:snapToGrid w:val="0"/>
                    <w:jc w:val="center"/>
                    <w:rPr>
                      <w:rFonts w:hint="eastAsia" w:eastAsia="宋体"/>
                      <w:bCs/>
                      <w:color w:val="FF0000"/>
                      <w:szCs w:val="21"/>
                      <w:lang w:eastAsia="zh-CN"/>
                    </w:rPr>
                  </w:pPr>
                  <w:r>
                    <w:rPr>
                      <w:rFonts w:hint="eastAsia"/>
                      <w:bCs/>
                      <w:color w:val="000000" w:themeColor="text1"/>
                      <w:szCs w:val="21"/>
                      <w:lang w:eastAsia="zh-CN"/>
                      <w14:textFill>
                        <w14:solidFill>
                          <w14:schemeClr w14:val="tx1"/>
                        </w14:solidFill>
                      </w14:textFill>
                    </w:rPr>
                    <w:t>噪声</w:t>
                  </w:r>
                </w:p>
              </w:tc>
              <w:tc>
                <w:tcPr>
                  <w:tcW w:w="1003" w:type="pct"/>
                  <w:gridSpan w:val="2"/>
                  <w:vAlign w:val="center"/>
                </w:tcPr>
                <w:p>
                  <w:pPr>
                    <w:adjustRightInd w:val="0"/>
                    <w:snapToGrid w:val="0"/>
                    <w:jc w:val="center"/>
                    <w:rPr>
                      <w:szCs w:val="21"/>
                    </w:rPr>
                  </w:pPr>
                  <w:r>
                    <w:rPr>
                      <w:rFonts w:hint="eastAsia"/>
                      <w:bCs/>
                      <w:szCs w:val="21"/>
                      <w:lang w:eastAsia="zh-CN"/>
                    </w:rPr>
                    <w:t>设备噪声</w:t>
                  </w:r>
                </w:p>
              </w:tc>
              <w:tc>
                <w:tcPr>
                  <w:tcW w:w="763" w:type="pct"/>
                  <w:vAlign w:val="center"/>
                </w:tcPr>
                <w:p>
                  <w:pPr>
                    <w:adjustRightInd w:val="0"/>
                    <w:snapToGrid w:val="0"/>
                    <w:jc w:val="center"/>
                    <w:rPr>
                      <w:rFonts w:hint="default" w:eastAsia="宋体"/>
                      <w:szCs w:val="21"/>
                      <w:lang w:val="en-US" w:eastAsia="zh-CN"/>
                    </w:rPr>
                  </w:pPr>
                  <w:r>
                    <w:rPr>
                      <w:rFonts w:hint="eastAsia"/>
                      <w:szCs w:val="21"/>
                      <w:lang w:val="en-US" w:eastAsia="zh-CN"/>
                    </w:rPr>
                    <w:t>68~88dB(A)</w:t>
                  </w:r>
                </w:p>
              </w:tc>
              <w:tc>
                <w:tcPr>
                  <w:tcW w:w="690" w:type="pct"/>
                  <w:vAlign w:val="center"/>
                </w:tcPr>
                <w:p>
                  <w:pPr>
                    <w:adjustRightInd w:val="0"/>
                    <w:snapToGrid w:val="0"/>
                    <w:jc w:val="center"/>
                    <w:rPr>
                      <w:bCs/>
                      <w:szCs w:val="21"/>
                    </w:rPr>
                  </w:pPr>
                  <w:r>
                    <w:rPr>
                      <w:rFonts w:hint="eastAsia"/>
                      <w:szCs w:val="21"/>
                      <w:lang w:val="en-US" w:eastAsia="zh-CN"/>
                    </w:rPr>
                    <w:t>68~88dB(A)</w:t>
                  </w:r>
                </w:p>
              </w:tc>
              <w:tc>
                <w:tcPr>
                  <w:tcW w:w="1168" w:type="pct"/>
                  <w:vAlign w:val="center"/>
                </w:tcPr>
                <w:p>
                  <w:pPr>
                    <w:adjustRightInd w:val="0"/>
                    <w:snapToGrid w:val="0"/>
                    <w:jc w:val="center"/>
                    <w:rPr>
                      <w:bCs/>
                      <w:szCs w:val="21"/>
                    </w:rPr>
                  </w:pPr>
                  <w:r>
                    <w:rPr>
                      <w:rFonts w:hAnsi="宋体"/>
                      <w:bCs/>
                      <w:szCs w:val="21"/>
                    </w:rPr>
                    <w:t>通过墙体隔声减噪，</w:t>
                  </w:r>
                  <w:r>
                    <w:rPr>
                      <w:rFonts w:hAnsi="宋体"/>
                      <w:bCs/>
                      <w:color w:val="000000"/>
                      <w:szCs w:val="21"/>
                    </w:rPr>
                    <w:t>生产时关闭门窗；加强设备养护和保养等措施。</w:t>
                  </w:r>
                </w:p>
              </w:tc>
              <w:tc>
                <w:tcPr>
                  <w:tcW w:w="1046" w:type="pct"/>
                  <w:vAlign w:val="center"/>
                </w:tcPr>
                <w:p>
                  <w:pPr>
                    <w:adjustRightInd w:val="0"/>
                    <w:snapToGrid w:val="0"/>
                    <w:jc w:val="center"/>
                    <w:rPr>
                      <w:bCs/>
                      <w:szCs w:val="21"/>
                    </w:rPr>
                  </w:pPr>
                  <w:r>
                    <w:rPr>
                      <w:rFonts w:hAnsi="宋体"/>
                      <w:bCs/>
                      <w:szCs w:val="21"/>
                    </w:rPr>
                    <w:t>达到《工业企业厂界环境噪声排放标准》（</w:t>
                  </w:r>
                  <w:r>
                    <w:rPr>
                      <w:bCs/>
                      <w:szCs w:val="21"/>
                    </w:rPr>
                    <w:t>GB12348-2008</w:t>
                  </w:r>
                  <w:r>
                    <w:rPr>
                      <w:rFonts w:hAnsi="宋体"/>
                      <w:bCs/>
                      <w:szCs w:val="21"/>
                    </w:rPr>
                    <w:t>）中的</w:t>
                  </w:r>
                  <w:r>
                    <w:rPr>
                      <w:bCs/>
                      <w:szCs w:val="21"/>
                    </w:rPr>
                    <w:t>3</w:t>
                  </w:r>
                  <w:r>
                    <w:rPr>
                      <w:rFonts w:hAnsi="宋体"/>
                      <w:bCs/>
                      <w:szCs w:val="21"/>
                    </w:rPr>
                    <w:t>类标准</w:t>
                  </w:r>
                </w:p>
              </w:tc>
            </w:tr>
          </w:tbl>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482" w:firstLineChars="200"/>
              <w:textAlignment w:val="auto"/>
              <w:rPr>
                <w:rFonts w:hint="eastAsia" w:hAnsi="宋体" w:eastAsia="宋体"/>
                <w:b/>
                <w:bCs/>
                <w:sz w:val="24"/>
                <w:lang w:eastAsia="zh-CN"/>
              </w:rPr>
            </w:pPr>
            <w:r>
              <w:rPr>
                <w:rFonts w:hint="eastAsia" w:hAnsi="宋体"/>
                <w:b/>
                <w:bCs/>
                <w:sz w:val="24"/>
                <w:lang w:eastAsia="zh-CN"/>
              </w:rPr>
              <w:t>以新带老削减措施</w:t>
            </w:r>
          </w:p>
          <w:p>
            <w:pPr>
              <w:keepNext w:val="0"/>
              <w:keepLines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sz w:val="24"/>
                <w:lang w:eastAsia="zh-CN"/>
              </w:rPr>
            </w:pPr>
            <w:r>
              <w:rPr>
                <w:rFonts w:hint="eastAsia" w:hAnsi="宋体"/>
                <w:sz w:val="24"/>
                <w:lang w:val="en-US" w:eastAsia="zh-CN"/>
              </w:rPr>
              <w:t>*企业</w:t>
            </w:r>
            <w:r>
              <w:rPr>
                <w:rFonts w:hint="eastAsia" w:hAnsi="宋体"/>
                <w:color w:val="auto"/>
                <w:spacing w:val="-2"/>
                <w:sz w:val="24"/>
              </w:rPr>
              <w:t>环境影响现状评价报告</w:t>
            </w:r>
            <w:r>
              <w:rPr>
                <w:rFonts w:hint="eastAsia" w:hAnsi="宋体"/>
                <w:color w:val="auto"/>
                <w:spacing w:val="-2"/>
                <w:sz w:val="24"/>
                <w:lang w:eastAsia="zh-CN"/>
              </w:rPr>
              <w:t>审批时</w:t>
            </w:r>
            <w:r>
              <w:rPr>
                <w:rFonts w:hint="eastAsia" w:hAnsi="宋体"/>
                <w:sz w:val="24"/>
                <w:lang w:eastAsia="zh-CN"/>
              </w:rPr>
              <w:t>，并未要求加弹废气</w:t>
            </w:r>
            <w:r>
              <w:rPr>
                <w:rFonts w:hint="eastAsia" w:hAnsi="宋体"/>
                <w:sz w:val="24"/>
                <w:lang w:val="en-US" w:eastAsia="zh-CN"/>
              </w:rPr>
              <w:t>VOCs</w:t>
            </w:r>
            <w:r>
              <w:rPr>
                <w:rFonts w:hint="eastAsia" w:hAnsi="宋体"/>
                <w:sz w:val="24"/>
                <w:lang w:eastAsia="zh-CN"/>
              </w:rPr>
              <w:t>总量控制要求，故未对加弹废气产生量进行核算，根据同类型企业环评报告、验收监测报告中数据，</w:t>
            </w:r>
            <w:r>
              <w:rPr>
                <w:rFonts w:ascii="Times New Roman" w:hAnsi="Times New Roman" w:eastAsia="宋体" w:cs="Times New Roman"/>
                <w:sz w:val="24"/>
              </w:rPr>
              <w:t>单台加弹机的加弹废气产生量约0.0365~0.045kg/h</w:t>
            </w:r>
            <w:r>
              <w:rPr>
                <w:rFonts w:hint="eastAsia" w:ascii="Times New Roman" w:hAnsi="Times New Roman" w:cs="Times New Roman"/>
                <w:sz w:val="24"/>
                <w:lang w:eastAsia="zh-CN"/>
              </w:rPr>
              <w:t>，经过核算，加弹废气主要污染物非甲烷总烃产生量</w:t>
            </w:r>
            <w:r>
              <w:rPr>
                <w:rFonts w:hint="eastAsia" w:hAnsi="宋体"/>
                <w:sz w:val="24"/>
                <w:lang w:eastAsia="zh-CN"/>
              </w:rPr>
              <w:t>为</w:t>
            </w:r>
            <w:r>
              <w:rPr>
                <w:rFonts w:hint="eastAsia" w:hAnsi="宋体"/>
                <w:sz w:val="24"/>
                <w:lang w:val="en-US" w:eastAsia="zh-CN"/>
              </w:rPr>
              <w:t>0.648t/a，经过本次改建项目，要求企业新增一套加弹废气处理设施（冷却+水喷淋+静电油烟净化器装置）对加弹废气处理后通过20m高空排放，最终加弹废气主要污染物非甲烷总烃排放量为0.152t/a，加弹废气削减全部作为本项目技改内容，</w:t>
            </w:r>
            <w:r>
              <w:rPr>
                <w:rFonts w:hint="eastAsia" w:hAnsi="宋体"/>
                <w:sz w:val="24"/>
                <w:lang w:eastAsia="zh-CN"/>
              </w:rPr>
              <w:t>具体核算见第四章节加弹废气源强分析。</w:t>
            </w:r>
          </w:p>
          <w:p>
            <w:pPr>
              <w:spacing w:line="500" w:lineRule="exact"/>
              <w:ind w:firstLine="480" w:firstLineChars="200"/>
              <w:rPr>
                <w:rFonts w:hint="eastAsia" w:eastAsia="宋体"/>
                <w:bCs/>
                <w:sz w:val="24"/>
                <w:lang w:eastAsia="zh-CN"/>
              </w:rPr>
            </w:pPr>
            <w:r>
              <w:rPr>
                <w:rFonts w:hint="eastAsia"/>
                <w:bCs/>
                <w:sz w:val="24"/>
                <w:lang w:val="en-US" w:eastAsia="zh-CN"/>
              </w:rPr>
              <w:t>*</w:t>
            </w:r>
            <w:r>
              <w:rPr>
                <w:rFonts w:hint="eastAsia"/>
                <w:bCs/>
                <w:sz w:val="24"/>
                <w:lang w:eastAsia="zh-CN"/>
              </w:rPr>
              <w:t>企业</w:t>
            </w:r>
            <w:r>
              <w:rPr>
                <w:rFonts w:hint="eastAsia" w:hAnsi="宋体"/>
                <w:color w:val="auto"/>
                <w:spacing w:val="-2"/>
                <w:sz w:val="24"/>
              </w:rPr>
              <w:t>环境影响现状评价报告</w:t>
            </w:r>
            <w:r>
              <w:rPr>
                <w:rFonts w:hint="eastAsia" w:hAnsi="宋体"/>
                <w:color w:val="auto"/>
                <w:spacing w:val="-2"/>
                <w:sz w:val="24"/>
                <w:lang w:eastAsia="zh-CN"/>
              </w:rPr>
              <w:t>审批时，生活污水去向为“纳管至由长兴顺达环保科技有限公司处理后达到《城镇污水处理厂污染物排放标准》（GB18918-2002）一级A标准后排放”，故生活污水主要污染因</w:t>
            </w:r>
            <w:r>
              <w:rPr>
                <w:rFonts w:hint="eastAsia" w:hAnsi="宋体"/>
                <w:color w:val="auto"/>
                <w:spacing w:val="-2"/>
                <w:sz w:val="24"/>
                <w:szCs w:val="24"/>
                <w:lang w:eastAsia="zh-CN"/>
              </w:rPr>
              <w:t>子</w:t>
            </w:r>
            <w:r>
              <w:rPr>
                <w:bCs/>
                <w:sz w:val="24"/>
                <w:szCs w:val="24"/>
              </w:rPr>
              <w:t>COD</w:t>
            </w:r>
            <w:r>
              <w:rPr>
                <w:bCs/>
                <w:sz w:val="24"/>
                <w:szCs w:val="24"/>
                <w:vertAlign w:val="subscript"/>
              </w:rPr>
              <w:t>Cr</w:t>
            </w:r>
            <w:r>
              <w:rPr>
                <w:rFonts w:hint="eastAsia"/>
                <w:bCs/>
                <w:sz w:val="24"/>
                <w:szCs w:val="24"/>
                <w:vertAlign w:val="baseline"/>
                <w:lang w:eastAsia="zh-CN"/>
              </w:rPr>
              <w:t>、</w:t>
            </w:r>
            <w:r>
              <w:rPr>
                <w:sz w:val="24"/>
                <w:szCs w:val="24"/>
              </w:rPr>
              <w:t>NH</w:t>
            </w:r>
            <w:r>
              <w:rPr>
                <w:sz w:val="24"/>
                <w:szCs w:val="24"/>
                <w:vertAlign w:val="subscript"/>
              </w:rPr>
              <w:t>3</w:t>
            </w:r>
            <w:r>
              <w:rPr>
                <w:sz w:val="24"/>
                <w:szCs w:val="24"/>
              </w:rPr>
              <w:t>-N</w:t>
            </w:r>
            <w:r>
              <w:rPr>
                <w:rFonts w:hint="eastAsia"/>
                <w:sz w:val="24"/>
                <w:szCs w:val="24"/>
                <w:lang w:eastAsia="zh-CN"/>
              </w:rPr>
              <w:t>外排环境浓度以</w:t>
            </w:r>
            <w:r>
              <w:rPr>
                <w:rFonts w:hint="eastAsia"/>
                <w:sz w:val="24"/>
                <w:szCs w:val="24"/>
                <w:lang w:val="en-US" w:eastAsia="zh-CN"/>
              </w:rPr>
              <w:t>50mg/m</w:t>
            </w:r>
            <w:r>
              <w:rPr>
                <w:rFonts w:hint="eastAsia"/>
                <w:sz w:val="24"/>
                <w:szCs w:val="24"/>
                <w:vertAlign w:val="superscript"/>
                <w:lang w:val="en-US" w:eastAsia="zh-CN"/>
              </w:rPr>
              <w:t>3</w:t>
            </w:r>
            <w:r>
              <w:rPr>
                <w:rFonts w:hint="eastAsia"/>
                <w:sz w:val="24"/>
                <w:szCs w:val="24"/>
                <w:lang w:val="en-US" w:eastAsia="zh-CN"/>
              </w:rPr>
              <w:t>、5mg/m</w:t>
            </w:r>
            <w:r>
              <w:rPr>
                <w:rFonts w:hint="eastAsia"/>
                <w:sz w:val="24"/>
                <w:szCs w:val="24"/>
                <w:vertAlign w:val="superscript"/>
                <w:lang w:val="en-US" w:eastAsia="zh-CN"/>
              </w:rPr>
              <w:t>3</w:t>
            </w:r>
            <w:r>
              <w:rPr>
                <w:rFonts w:hint="eastAsia"/>
                <w:sz w:val="24"/>
                <w:szCs w:val="24"/>
                <w:lang w:eastAsia="zh-CN"/>
              </w:rPr>
              <w:t>计。本次技改项目中员工人数未发生变化，生活污水去向转变为由化粪池</w:t>
            </w:r>
            <w:r>
              <w:rPr>
                <w:color w:val="000000"/>
                <w:sz w:val="24"/>
              </w:rPr>
              <w:t>预处理后</w:t>
            </w:r>
            <w:r>
              <w:rPr>
                <w:rFonts w:hint="eastAsia"/>
                <w:color w:val="000000"/>
                <w:sz w:val="24"/>
                <w:lang w:eastAsia="zh-CN"/>
              </w:rPr>
              <w:t>由</w:t>
            </w:r>
            <w:r>
              <w:rPr>
                <w:rFonts w:hint="eastAsia"/>
                <w:color w:val="000000"/>
                <w:sz w:val="24"/>
              </w:rPr>
              <w:t>当地农村生活污水终端系统处理达标后排放</w:t>
            </w:r>
            <w:r>
              <w:rPr>
                <w:rFonts w:hint="eastAsia"/>
                <w:color w:val="000000"/>
                <w:sz w:val="24"/>
                <w:lang w:eastAsia="zh-CN"/>
              </w:rPr>
              <w:t>，对生活污水中</w:t>
            </w:r>
            <w:r>
              <w:rPr>
                <w:bCs/>
                <w:sz w:val="24"/>
                <w:szCs w:val="24"/>
              </w:rPr>
              <w:t>COD</w:t>
            </w:r>
            <w:r>
              <w:rPr>
                <w:bCs/>
                <w:sz w:val="24"/>
                <w:szCs w:val="24"/>
                <w:vertAlign w:val="subscript"/>
              </w:rPr>
              <w:t>Cr</w:t>
            </w:r>
            <w:r>
              <w:rPr>
                <w:rFonts w:hint="eastAsia"/>
                <w:bCs/>
                <w:sz w:val="24"/>
                <w:szCs w:val="24"/>
                <w:vertAlign w:val="baseline"/>
                <w:lang w:eastAsia="zh-CN"/>
              </w:rPr>
              <w:t>、</w:t>
            </w:r>
            <w:r>
              <w:rPr>
                <w:sz w:val="24"/>
                <w:szCs w:val="24"/>
              </w:rPr>
              <w:t>NH</w:t>
            </w:r>
            <w:r>
              <w:rPr>
                <w:sz w:val="24"/>
                <w:szCs w:val="24"/>
                <w:vertAlign w:val="subscript"/>
              </w:rPr>
              <w:t>3</w:t>
            </w:r>
            <w:r>
              <w:rPr>
                <w:sz w:val="24"/>
                <w:szCs w:val="24"/>
              </w:rPr>
              <w:t>-N</w:t>
            </w:r>
            <w:r>
              <w:rPr>
                <w:rFonts w:hint="eastAsia"/>
                <w:sz w:val="24"/>
                <w:szCs w:val="24"/>
                <w:lang w:eastAsia="zh-CN"/>
              </w:rPr>
              <w:t>外排环境量重新进行核算，</w:t>
            </w:r>
            <w:r>
              <w:rPr>
                <w:rFonts w:hint="eastAsia" w:hAnsi="宋体"/>
                <w:sz w:val="24"/>
                <w:lang w:eastAsia="zh-CN"/>
              </w:rPr>
              <w:t>将生活污水排放情况全部作为本次技改内容，</w:t>
            </w:r>
            <w:r>
              <w:rPr>
                <w:rFonts w:hint="eastAsia"/>
                <w:sz w:val="24"/>
                <w:szCs w:val="24"/>
                <w:lang w:eastAsia="zh-CN"/>
              </w:rPr>
              <w:t>具体见</w:t>
            </w:r>
            <w:r>
              <w:rPr>
                <w:rFonts w:hint="eastAsia" w:hAnsi="宋体"/>
                <w:sz w:val="24"/>
                <w:lang w:eastAsia="zh-CN"/>
              </w:rPr>
              <w:t>第四章节生活污水源强分析。</w:t>
            </w:r>
          </w:p>
          <w:p>
            <w:pPr>
              <w:pStyle w:val="2"/>
              <w:rPr>
                <w:bCs/>
                <w:sz w:val="24"/>
              </w:rPr>
            </w:pPr>
          </w:p>
          <w:p>
            <w:pPr>
              <w:spacing w:line="500" w:lineRule="exact"/>
              <w:rPr>
                <w:snapToGrid w:val="0"/>
                <w:sz w:val="30"/>
                <w:szCs w:val="30"/>
              </w:rPr>
            </w:pPr>
          </w:p>
        </w:tc>
      </w:tr>
    </w:tbl>
    <w:p>
      <w:pPr>
        <w:sectPr>
          <w:footerReference r:id="rId18" w:type="default"/>
          <w:footerReference r:id="rId19" w:type="even"/>
          <w:pgSz w:w="16838" w:h="11906" w:orient="landscape"/>
          <w:pgMar w:top="1587" w:right="1587" w:bottom="1587" w:left="1587" w:header="851" w:footer="992" w:gutter="0"/>
          <w:pgBorders>
            <w:top w:val="none" w:sz="0" w:space="0"/>
            <w:left w:val="none" w:sz="0" w:space="0"/>
            <w:bottom w:val="none" w:sz="0" w:space="0"/>
            <w:right w:val="none" w:sz="0" w:space="0"/>
          </w:pgBorders>
          <w:cols w:space="0" w:num="1"/>
          <w:docGrid w:linePitch="312" w:charSpace="0"/>
        </w:sectPr>
      </w:pPr>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2"/>
        <w:gridCol w:w="8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412" w:type="dxa"/>
            <w:noWrap/>
            <w:tcMar>
              <w:top w:w="0" w:type="dxa"/>
              <w:left w:w="108" w:type="dxa"/>
              <w:bottom w:w="0" w:type="dxa"/>
              <w:right w:w="108" w:type="dxa"/>
            </w:tcMar>
            <w:vAlign w:val="center"/>
          </w:tcPr>
          <w:p>
            <w:pPr>
              <w:widowControl/>
              <w:wordWrap w:val="0"/>
              <w:jc w:val="center"/>
              <w:rPr>
                <w:b w:val="0"/>
                <w:bCs w:val="0"/>
                <w:kern w:val="0"/>
                <w:sz w:val="21"/>
                <w:szCs w:val="21"/>
              </w:rPr>
            </w:pPr>
            <w:r>
              <w:rPr>
                <w:rFonts w:hAnsi="宋体"/>
                <w:b w:val="0"/>
                <w:bCs w:val="0"/>
                <w:kern w:val="0"/>
                <w:sz w:val="21"/>
                <w:szCs w:val="21"/>
              </w:rPr>
              <w:t>与项目有关的原有环境污染问题</w:t>
            </w:r>
          </w:p>
        </w:tc>
        <w:tc>
          <w:tcPr>
            <w:tcW w:w="8659" w:type="dxa"/>
            <w:noWrap/>
            <w:tcMar>
              <w:top w:w="0" w:type="dxa"/>
              <w:left w:w="108" w:type="dxa"/>
              <w:bottom w:w="0" w:type="dxa"/>
              <w:right w:w="108" w:type="dxa"/>
            </w:tcMar>
          </w:tcPr>
          <w:p>
            <w:pPr>
              <w:spacing w:line="500" w:lineRule="exact"/>
              <w:ind w:firstLine="480" w:firstLineChars="200"/>
              <w:rPr>
                <w:sz w:val="24"/>
              </w:rPr>
            </w:pPr>
            <w:r>
              <w:rPr>
                <w:rFonts w:hAnsi="宋体"/>
                <w:sz w:val="24"/>
              </w:rPr>
              <w:t>（</w:t>
            </w:r>
            <w:r>
              <w:rPr>
                <w:sz w:val="24"/>
              </w:rPr>
              <w:t>6</w:t>
            </w:r>
            <w:r>
              <w:rPr>
                <w:rFonts w:hAnsi="宋体"/>
                <w:sz w:val="24"/>
              </w:rPr>
              <w:t>）</w:t>
            </w:r>
            <w:r>
              <w:rPr>
                <w:rFonts w:hint="eastAsia" w:hAnsi="宋体"/>
                <w:sz w:val="24"/>
              </w:rPr>
              <w:t>现有生产情况</w:t>
            </w:r>
            <w:r>
              <w:rPr>
                <w:rFonts w:hAnsi="宋体"/>
                <w:sz w:val="24"/>
              </w:rPr>
              <w:t>污染物排放达标分析</w:t>
            </w:r>
          </w:p>
          <w:p>
            <w:pPr>
              <w:adjustRightInd w:val="0"/>
              <w:spacing w:line="500" w:lineRule="exact"/>
              <w:ind w:firstLine="480" w:firstLineChars="200"/>
              <w:rPr>
                <w:rFonts w:hint="eastAsia" w:eastAsia="宋体"/>
                <w:sz w:val="24"/>
                <w:lang w:eastAsia="zh-CN"/>
              </w:rPr>
            </w:pPr>
            <w:r>
              <w:rPr>
                <w:rFonts w:hint="eastAsia"/>
                <w:sz w:val="24"/>
                <w:lang w:eastAsia="zh-CN"/>
              </w:rPr>
              <w:t>为了解企业现有生产废气、废水、噪声污染源排放是否达标的情况，故委托湖州普洛赛斯检测科技有限公司于</w:t>
            </w:r>
            <w:r>
              <w:rPr>
                <w:rFonts w:hint="eastAsia"/>
                <w:sz w:val="24"/>
                <w:lang w:val="en-US" w:eastAsia="zh-CN"/>
              </w:rPr>
              <w:t>2022年5月13日~16日</w:t>
            </w:r>
            <w:r>
              <w:rPr>
                <w:rFonts w:hint="eastAsia"/>
                <w:sz w:val="24"/>
                <w:lang w:eastAsia="zh-CN"/>
              </w:rPr>
              <w:t>对企业废气、废水、噪声污染源排放进行采样检测（报告编号：普洛赛斯检（2022）第H05060号），具体见下文。</w:t>
            </w:r>
          </w:p>
          <w:p>
            <w:pPr>
              <w:adjustRightInd w:val="0"/>
              <w:spacing w:line="500" w:lineRule="exact"/>
              <w:ind w:firstLine="480" w:firstLineChars="200"/>
              <w:rPr>
                <w:sz w:val="24"/>
              </w:rPr>
            </w:pPr>
            <w:r>
              <w:rPr>
                <w:sz w:val="24"/>
              </w:rPr>
              <w:t>a</w:t>
            </w:r>
            <w:r>
              <w:rPr>
                <w:rFonts w:hAnsi="宋体"/>
                <w:sz w:val="24"/>
              </w:rPr>
              <w:t>）废气</w:t>
            </w:r>
          </w:p>
          <w:p>
            <w:pPr>
              <w:adjustRightInd w:val="0"/>
              <w:snapToGrid w:val="0"/>
              <w:spacing w:line="500" w:lineRule="exact"/>
              <w:ind w:firstLine="480" w:firstLineChars="200"/>
              <w:rPr>
                <w:sz w:val="24"/>
              </w:rPr>
            </w:pPr>
            <w:r>
              <w:rPr>
                <w:rFonts w:hint="eastAsia" w:hAnsi="宋体"/>
                <w:sz w:val="24"/>
              </w:rPr>
              <w:t>现有生产情况</w:t>
            </w:r>
            <w:r>
              <w:rPr>
                <w:rFonts w:hAnsi="宋体"/>
                <w:sz w:val="24"/>
              </w:rPr>
              <w:t>无组织废气监测结果见表</w:t>
            </w:r>
            <w:r>
              <w:rPr>
                <w:sz w:val="24"/>
              </w:rPr>
              <w:t>2.</w:t>
            </w:r>
            <w:r>
              <w:rPr>
                <w:rFonts w:hint="eastAsia"/>
                <w:sz w:val="24"/>
              </w:rPr>
              <w:t>4</w:t>
            </w:r>
            <w:r>
              <w:rPr>
                <w:sz w:val="24"/>
              </w:rPr>
              <w:t>-</w:t>
            </w:r>
            <w:r>
              <w:rPr>
                <w:rFonts w:hint="eastAsia"/>
                <w:sz w:val="24"/>
                <w:lang w:val="en-US" w:eastAsia="zh-CN"/>
              </w:rPr>
              <w:t>5</w:t>
            </w:r>
            <w:r>
              <w:rPr>
                <w:rFonts w:hAnsi="宋体"/>
                <w:sz w:val="24"/>
              </w:rPr>
              <w:t>。</w:t>
            </w:r>
          </w:p>
          <w:p>
            <w:pPr>
              <w:spacing w:line="460" w:lineRule="exact"/>
              <w:jc w:val="center"/>
              <w:rPr>
                <w:b/>
                <w:szCs w:val="21"/>
              </w:rPr>
            </w:pPr>
            <w:r>
              <w:rPr>
                <w:rFonts w:hAnsi="宋体"/>
                <w:b/>
                <w:szCs w:val="21"/>
              </w:rPr>
              <w:t>表</w:t>
            </w:r>
            <w:r>
              <w:rPr>
                <w:b/>
                <w:szCs w:val="21"/>
              </w:rPr>
              <w:t>2.</w:t>
            </w:r>
            <w:r>
              <w:rPr>
                <w:rFonts w:hint="eastAsia"/>
                <w:b/>
                <w:szCs w:val="21"/>
              </w:rPr>
              <w:t>4</w:t>
            </w:r>
            <w:r>
              <w:rPr>
                <w:b/>
                <w:szCs w:val="21"/>
              </w:rPr>
              <w:t>-</w:t>
            </w:r>
            <w:r>
              <w:rPr>
                <w:rFonts w:hint="eastAsia"/>
                <w:b/>
                <w:szCs w:val="21"/>
                <w:lang w:val="en-US" w:eastAsia="zh-CN"/>
              </w:rPr>
              <w:t>5</w:t>
            </w:r>
            <w:r>
              <w:rPr>
                <w:b/>
                <w:szCs w:val="21"/>
              </w:rPr>
              <w:t xml:space="preserve"> </w:t>
            </w:r>
            <w:r>
              <w:rPr>
                <w:rFonts w:hint="eastAsia"/>
                <w:b/>
                <w:szCs w:val="21"/>
                <w:lang w:val="en-US" w:eastAsia="zh-CN"/>
              </w:rPr>
              <w:t xml:space="preserve">  </w:t>
            </w:r>
            <w:r>
              <w:rPr>
                <w:rFonts w:hint="eastAsia"/>
                <w:b/>
                <w:szCs w:val="21"/>
              </w:rPr>
              <w:t>现有生产情况</w:t>
            </w:r>
            <w:r>
              <w:rPr>
                <w:rFonts w:hAnsi="宋体"/>
                <w:b/>
                <w:szCs w:val="21"/>
              </w:rPr>
              <w:t>无组织废气监测结果表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4"/>
              <w:gridCol w:w="1371"/>
              <w:gridCol w:w="2027"/>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restart"/>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rPr>
                    <w:t>采样位置</w:t>
                  </w:r>
                </w:p>
              </w:tc>
              <w:tc>
                <w:tcPr>
                  <w:tcW w:w="1416" w:type="dxa"/>
                  <w:vMerge w:val="restart"/>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rPr>
                    <w:t>采样时段</w:t>
                  </w:r>
                </w:p>
              </w:tc>
              <w:tc>
                <w:tcPr>
                  <w:tcW w:w="4194" w:type="dxa"/>
                  <w:gridSpan w:val="2"/>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b w:val="0"/>
                      <w:bCs/>
                      <w:kern w:val="2"/>
                      <w:sz w:val="21"/>
                      <w:szCs w:val="21"/>
                      <w:lang w:eastAsia="zh-CN"/>
                    </w:rPr>
                  </w:pPr>
                  <w:r>
                    <w:rPr>
                      <w:rFonts w:hint="default" w:ascii="Times New Roman" w:hAnsi="Times New Roman" w:eastAsia="宋体" w:cs="Times New Roman"/>
                      <w:b w:val="0"/>
                      <w:bCs/>
                      <w:kern w:val="2"/>
                      <w:sz w:val="21"/>
                      <w:szCs w:val="21"/>
                      <w:lang w:eastAsia="zh-CN"/>
                    </w:rPr>
                    <w:t>总悬浮颗粒物</w:t>
                  </w:r>
                  <w:r>
                    <w:rPr>
                      <w:rFonts w:hint="default" w:ascii="Times New Roman" w:hAnsi="Times New Roman" w:eastAsia="宋体" w:cs="Times New Roman"/>
                      <w:b w:val="0"/>
                      <w:bCs/>
                      <w:kern w:val="2"/>
                      <w:sz w:val="21"/>
                      <w:szCs w:val="21"/>
                    </w:rPr>
                    <w:t>（</w:t>
                  </w:r>
                  <w:r>
                    <w:rPr>
                      <w:rFonts w:hint="default" w:ascii="Times New Roman" w:hAnsi="Times New Roman" w:eastAsia="宋体" w:cs="Times New Roman"/>
                      <w:b w:val="0"/>
                      <w:bCs/>
                      <w:kern w:val="2"/>
                      <w:sz w:val="21"/>
                      <w:szCs w:val="21"/>
                      <w:lang w:eastAsia="zh-CN"/>
                    </w:rPr>
                    <w:t>mg/m</w:t>
                  </w:r>
                  <w:r>
                    <w:rPr>
                      <w:rFonts w:hint="default" w:ascii="Times New Roman" w:hAnsi="Times New Roman" w:eastAsia="宋体" w:cs="Times New Roman"/>
                      <w:b w:val="0"/>
                      <w:bCs/>
                      <w:kern w:val="2"/>
                      <w:sz w:val="21"/>
                      <w:szCs w:val="21"/>
                      <w:vertAlign w:val="superscript"/>
                      <w:lang w:eastAsia="zh-CN"/>
                    </w:rPr>
                    <w:t>3</w:t>
                  </w:r>
                  <w:r>
                    <w:rPr>
                      <w:rFonts w:hint="default" w:ascii="Times New Roman" w:hAnsi="Times New Roman" w:eastAsia="宋体" w:cs="Times New Roman"/>
                      <w:b w:val="0"/>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rPr>
                  </w:pPr>
                </w:p>
              </w:tc>
              <w:tc>
                <w:tcPr>
                  <w:tcW w:w="1416"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rPr>
                  </w:pPr>
                </w:p>
              </w:tc>
              <w:tc>
                <w:tcPr>
                  <w:tcW w:w="2097"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2022/05/13</w:t>
                  </w:r>
                </w:p>
              </w:tc>
              <w:tc>
                <w:tcPr>
                  <w:tcW w:w="2097"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2022/05/14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restart"/>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厂界</w:t>
                  </w:r>
                  <w:r>
                    <w:rPr>
                      <w:rFonts w:hint="default" w:ascii="Times New Roman" w:hAnsi="Times New Roman" w:eastAsia="宋体" w:cs="Times New Roman"/>
                      <w:kern w:val="2"/>
                      <w:sz w:val="21"/>
                      <w:szCs w:val="21"/>
                      <w:lang w:eastAsia="zh-CN"/>
                    </w:rPr>
                    <w:t>上</w:t>
                  </w:r>
                  <w:r>
                    <w:rPr>
                      <w:rFonts w:hint="default" w:ascii="Times New Roman" w:hAnsi="Times New Roman" w:eastAsia="宋体" w:cs="Times New Roman"/>
                      <w:kern w:val="2"/>
                      <w:sz w:val="21"/>
                      <w:szCs w:val="21"/>
                    </w:rPr>
                    <w:t>风向</w:t>
                  </w:r>
                </w:p>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kern w:val="2"/>
                      <w:sz w:val="21"/>
                      <w:szCs w:val="21"/>
                    </w:rPr>
                    <w:t>G0</w:t>
                  </w:r>
                  <w:r>
                    <w:rPr>
                      <w:rFonts w:hint="default" w:ascii="Times New Roman" w:hAnsi="Times New Roman" w:eastAsia="宋体" w:cs="Times New Roman"/>
                      <w:kern w:val="2"/>
                      <w:sz w:val="21"/>
                      <w:szCs w:val="21"/>
                      <w:lang w:val="en-US" w:eastAsia="zh-CN"/>
                    </w:rPr>
                    <w:t>3</w:t>
                  </w: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第一次</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vertAlign w:val="baseline"/>
                      <w:lang w:val="en-US" w:eastAsia="zh-CN" w:bidi="ar-SA"/>
                    </w:rPr>
                    <w:t>0.186</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vertAlign w:val="baseline"/>
                      <w:lang w:val="en-US" w:eastAsia="zh-CN"/>
                    </w:rPr>
                    <w:t>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0"/>
                      <w:szCs w:val="20"/>
                    </w:rPr>
                  </w:pP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第二次</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bidi="ar-SA"/>
                    </w:rPr>
                    <w:t>0.269</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 xml:space="preserve">第三次                                                                 </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bidi="ar-SA"/>
                    </w:rPr>
                    <w:t>0.208</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restart"/>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厂界下风向</w:t>
                  </w:r>
                </w:p>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kern w:val="2"/>
                      <w:sz w:val="21"/>
                      <w:szCs w:val="21"/>
                    </w:rPr>
                    <w:t>G0</w:t>
                  </w:r>
                  <w:r>
                    <w:rPr>
                      <w:rFonts w:hint="default" w:ascii="Times New Roman" w:hAnsi="Times New Roman" w:eastAsia="宋体" w:cs="Times New Roman"/>
                      <w:kern w:val="2"/>
                      <w:sz w:val="21"/>
                      <w:szCs w:val="21"/>
                      <w:lang w:val="en-US" w:eastAsia="zh-CN"/>
                    </w:rPr>
                    <w:t>4</w:t>
                  </w: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rPr>
                  </w:pPr>
                  <w:r>
                    <w:rPr>
                      <w:rFonts w:hint="default" w:ascii="Times New Roman" w:hAnsi="Times New Roman" w:eastAsia="宋体" w:cs="Times New Roman"/>
                      <w:kern w:val="2"/>
                      <w:sz w:val="21"/>
                      <w:szCs w:val="21"/>
                      <w:lang w:val="en-US" w:eastAsia="zh-CN"/>
                    </w:rPr>
                    <w:t>第一次</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vertAlign w:val="baseline"/>
                      <w:lang w:val="en-US" w:eastAsia="zh-CN"/>
                    </w:rPr>
                  </w:pPr>
                  <w:r>
                    <w:rPr>
                      <w:rFonts w:hint="default" w:ascii="Times New Roman" w:hAnsi="Times New Roman" w:cs="Times New Roman"/>
                      <w:kern w:val="2"/>
                      <w:sz w:val="21"/>
                      <w:szCs w:val="21"/>
                      <w:vertAlign w:val="baseline"/>
                      <w:lang w:val="en-US" w:eastAsia="zh-CN" w:bidi="ar-SA"/>
                    </w:rPr>
                    <w:t>0.461</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vertAlign w:val="baseline"/>
                      <w:lang w:val="en-US" w:eastAsia="zh-CN"/>
                    </w:rPr>
                  </w:pPr>
                  <w:r>
                    <w:rPr>
                      <w:rFonts w:hint="default" w:ascii="Times New Roman" w:hAnsi="Times New Roman" w:cs="Times New Roman"/>
                      <w:kern w:val="2"/>
                      <w:sz w:val="21"/>
                      <w:szCs w:val="21"/>
                      <w:vertAlign w:val="baseline"/>
                      <w:lang w:val="en-US" w:eastAsia="zh-CN"/>
                    </w:rPr>
                    <w:t>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0"/>
                      <w:szCs w:val="20"/>
                    </w:rPr>
                  </w:pP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rPr>
                  </w:pPr>
                  <w:r>
                    <w:rPr>
                      <w:rFonts w:hint="default" w:ascii="Times New Roman" w:hAnsi="Times New Roman" w:eastAsia="宋体" w:cs="Times New Roman"/>
                      <w:kern w:val="2"/>
                      <w:sz w:val="21"/>
                      <w:szCs w:val="21"/>
                      <w:lang w:val="en-US" w:eastAsia="zh-CN"/>
                    </w:rPr>
                    <w:t>第二次</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bidi="ar-SA"/>
                    </w:rPr>
                    <w:t>0.466</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0.441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rPr>
                  </w:pP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rPr>
                  </w:pPr>
                  <w:r>
                    <w:rPr>
                      <w:rFonts w:hint="default" w:ascii="Times New Roman" w:hAnsi="Times New Roman" w:eastAsia="宋体" w:cs="Times New Roman"/>
                      <w:kern w:val="2"/>
                      <w:sz w:val="21"/>
                      <w:szCs w:val="21"/>
                      <w:lang w:val="en-US" w:eastAsia="zh-CN"/>
                    </w:rPr>
                    <w:t xml:space="preserve">第三次                                                                 </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bidi="ar-SA"/>
                    </w:rPr>
                    <w:t>0.353</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0.462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restart"/>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厂界下风向</w:t>
                  </w:r>
                </w:p>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kern w:val="2"/>
                      <w:sz w:val="21"/>
                      <w:szCs w:val="21"/>
                    </w:rPr>
                    <w:t>G0</w:t>
                  </w:r>
                  <w:r>
                    <w:rPr>
                      <w:rFonts w:hint="default" w:ascii="Times New Roman" w:hAnsi="Times New Roman" w:eastAsia="宋体" w:cs="Times New Roman"/>
                      <w:kern w:val="2"/>
                      <w:sz w:val="21"/>
                      <w:szCs w:val="21"/>
                      <w:lang w:val="en-US" w:eastAsia="zh-CN"/>
                    </w:rPr>
                    <w:t>5</w:t>
                  </w: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rPr>
                    <w:t>第一次</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bidi="ar-SA"/>
                    </w:rPr>
                    <w:t>0.425</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bidi="ar-SA"/>
                    </w:rPr>
                    <w:t>0.499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0"/>
                      <w:szCs w:val="20"/>
                    </w:rPr>
                  </w:pP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rPr>
                    <w:t>第二次</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0.358</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rPr>
                    <w:t xml:space="preserve">第三次                                                                 </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0.362</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restart"/>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厂界下风向</w:t>
                  </w:r>
                </w:p>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kern w:val="2"/>
                      <w:sz w:val="21"/>
                      <w:szCs w:val="21"/>
                    </w:rPr>
                    <w:t>G0</w:t>
                  </w:r>
                  <w:r>
                    <w:rPr>
                      <w:rFonts w:hint="default" w:ascii="Times New Roman" w:hAnsi="Times New Roman" w:eastAsia="宋体" w:cs="Times New Roman"/>
                      <w:kern w:val="2"/>
                      <w:sz w:val="21"/>
                      <w:szCs w:val="21"/>
                      <w:lang w:val="en-US" w:eastAsia="zh-CN"/>
                    </w:rPr>
                    <w:t>6</w:t>
                  </w: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第一次</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vertAlign w:val="baseline"/>
                      <w:lang w:val="en-US" w:eastAsia="zh-CN"/>
                    </w:rPr>
                  </w:pPr>
                  <w:r>
                    <w:rPr>
                      <w:rFonts w:hint="default" w:ascii="Times New Roman" w:hAnsi="Times New Roman" w:cs="Times New Roman"/>
                      <w:kern w:val="2"/>
                      <w:sz w:val="21"/>
                      <w:szCs w:val="21"/>
                      <w:vertAlign w:val="baseline"/>
                      <w:lang w:val="en-US" w:eastAsia="zh-CN" w:bidi="ar-SA"/>
                    </w:rPr>
                    <w:t>0.478</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vertAlign w:val="baseline"/>
                      <w:lang w:val="en-US" w:eastAsia="zh-CN"/>
                    </w:rPr>
                  </w:pPr>
                  <w:r>
                    <w:rPr>
                      <w:rFonts w:hint="default" w:ascii="Times New Roman" w:hAnsi="Times New Roman" w:cs="Times New Roman"/>
                      <w:kern w:val="2"/>
                      <w:sz w:val="21"/>
                      <w:szCs w:val="21"/>
                      <w:vertAlign w:val="baseline"/>
                      <w:lang w:val="en-US" w:eastAsia="zh-CN"/>
                    </w:rPr>
                    <w:t>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0"/>
                      <w:szCs w:val="20"/>
                    </w:rPr>
                  </w:pP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第二次</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bidi="ar-SA"/>
                    </w:rPr>
                    <w:t>0.484</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4" w:type="dxa"/>
                  <w:vMerge w:val="continue"/>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p>
              </w:tc>
              <w:tc>
                <w:tcPr>
                  <w:tcW w:w="1416" w:type="dxa"/>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 xml:space="preserve">第三次                                                                 </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bidi="ar-SA"/>
                    </w:rPr>
                    <w:t>0.497</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0.489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0" w:type="dxa"/>
                  <w:gridSpan w:val="2"/>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最大值</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bidi="ar-SA"/>
                    </w:rPr>
                    <w:t>0.497</w:t>
                  </w:r>
                </w:p>
              </w:tc>
              <w:tc>
                <w:tcPr>
                  <w:tcW w:w="209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bidi="ar-SA"/>
                    </w:rPr>
                    <w:t>0.499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0" w:type="dxa"/>
                  <w:gridSpan w:val="2"/>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限值（周界外浓度最高点）</w:t>
                  </w:r>
                </w:p>
              </w:tc>
              <w:tc>
                <w:tcPr>
                  <w:tcW w:w="4194" w:type="dxa"/>
                  <w:gridSpan w:val="2"/>
                  <w:vAlign w:val="center"/>
                </w:tcPr>
                <w:p>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1.0</w:t>
                  </w:r>
                </w:p>
              </w:tc>
            </w:tr>
          </w:tbl>
          <w:p>
            <w:pPr>
              <w:spacing w:line="500" w:lineRule="exact"/>
              <w:ind w:firstLine="480" w:firstLineChars="200"/>
              <w:rPr>
                <w:sz w:val="24"/>
              </w:rPr>
            </w:pPr>
            <w:r>
              <w:rPr>
                <w:rFonts w:hAnsi="宋体"/>
                <w:sz w:val="24"/>
              </w:rPr>
              <w:t>根据上表，</w:t>
            </w:r>
            <w:r>
              <w:rPr>
                <w:rFonts w:hint="eastAsia" w:hAnsi="宋体"/>
                <w:sz w:val="24"/>
              </w:rPr>
              <w:t>现有生产情况</w:t>
            </w:r>
            <w:r>
              <w:rPr>
                <w:rFonts w:hAnsi="宋体"/>
                <w:sz w:val="24"/>
              </w:rPr>
              <w:t>无组织监控点的颗粒物</w:t>
            </w:r>
            <w:r>
              <w:rPr>
                <w:rFonts w:hint="eastAsia" w:hAnsi="宋体"/>
                <w:sz w:val="24"/>
              </w:rPr>
              <w:t>符合</w:t>
            </w:r>
            <w:r>
              <w:rPr>
                <w:rFonts w:hAnsi="宋体"/>
                <w:sz w:val="24"/>
              </w:rPr>
              <w:t>《大气污染物综合排放标准》</w:t>
            </w:r>
            <w:r>
              <w:rPr>
                <w:rFonts w:hint="eastAsia" w:hAnsi="宋体"/>
                <w:sz w:val="24"/>
              </w:rPr>
              <w:t>（</w:t>
            </w:r>
            <w:r>
              <w:rPr>
                <w:rFonts w:hAnsi="宋体"/>
                <w:sz w:val="24"/>
              </w:rPr>
              <w:t>GB16297-1996</w:t>
            </w:r>
            <w:r>
              <w:rPr>
                <w:rFonts w:hint="eastAsia" w:hAnsi="宋体"/>
                <w:sz w:val="24"/>
              </w:rPr>
              <w:t>）</w:t>
            </w:r>
            <w:r>
              <w:rPr>
                <w:rFonts w:hAnsi="宋体"/>
                <w:sz w:val="24"/>
              </w:rPr>
              <w:t>表2中的新污染源大气污染物排放限值。</w:t>
            </w:r>
          </w:p>
          <w:p>
            <w:pPr>
              <w:adjustRightInd w:val="0"/>
              <w:spacing w:line="500" w:lineRule="exact"/>
              <w:ind w:firstLine="480" w:firstLineChars="200"/>
              <w:contextualSpacing/>
              <w:rPr>
                <w:sz w:val="24"/>
              </w:rPr>
            </w:pPr>
            <w:r>
              <w:rPr>
                <w:sz w:val="24"/>
              </w:rPr>
              <w:t>b</w:t>
            </w:r>
            <w:r>
              <w:rPr>
                <w:rFonts w:hAnsi="宋体"/>
                <w:sz w:val="24"/>
              </w:rPr>
              <w:t>）废水</w:t>
            </w:r>
          </w:p>
          <w:p>
            <w:pPr>
              <w:adjustRightInd w:val="0"/>
              <w:spacing w:line="500" w:lineRule="exact"/>
              <w:ind w:firstLine="480" w:firstLineChars="200"/>
              <w:contextualSpacing/>
              <w:rPr>
                <w:sz w:val="24"/>
              </w:rPr>
            </w:pPr>
            <w:r>
              <w:rPr>
                <w:rFonts w:hint="eastAsia" w:hAnsi="宋体"/>
                <w:sz w:val="24"/>
              </w:rPr>
              <w:t>现有生产情况综合废水</w:t>
            </w:r>
            <w:r>
              <w:rPr>
                <w:rFonts w:hAnsi="宋体"/>
                <w:sz w:val="24"/>
              </w:rPr>
              <w:t>总排放口监测结果见表</w:t>
            </w:r>
            <w:r>
              <w:rPr>
                <w:sz w:val="24"/>
              </w:rPr>
              <w:t>2.</w:t>
            </w:r>
            <w:r>
              <w:rPr>
                <w:rFonts w:hint="eastAsia"/>
                <w:sz w:val="24"/>
              </w:rPr>
              <w:t>4</w:t>
            </w:r>
            <w:r>
              <w:rPr>
                <w:sz w:val="24"/>
              </w:rPr>
              <w:t>-</w:t>
            </w:r>
            <w:r>
              <w:rPr>
                <w:rFonts w:hint="eastAsia"/>
                <w:sz w:val="24"/>
                <w:lang w:val="en-US" w:eastAsia="zh-CN"/>
              </w:rPr>
              <w:t>6</w:t>
            </w:r>
            <w:r>
              <w:rPr>
                <w:rFonts w:hAnsi="宋体"/>
                <w:sz w:val="24"/>
              </w:rPr>
              <w:t>。</w:t>
            </w:r>
          </w:p>
          <w:p>
            <w:pPr>
              <w:spacing w:line="460" w:lineRule="exact"/>
              <w:jc w:val="center"/>
              <w:rPr>
                <w:rFonts w:hAnsi="宋体"/>
                <w:b/>
                <w:szCs w:val="21"/>
              </w:rPr>
            </w:pPr>
          </w:p>
          <w:p>
            <w:pPr>
              <w:spacing w:line="460" w:lineRule="exact"/>
              <w:jc w:val="center"/>
              <w:rPr>
                <w:rFonts w:hAnsi="宋体"/>
                <w:b/>
                <w:szCs w:val="21"/>
              </w:rPr>
            </w:pPr>
          </w:p>
          <w:p>
            <w:pPr>
              <w:spacing w:line="460" w:lineRule="exact"/>
              <w:jc w:val="center"/>
              <w:rPr>
                <w:b/>
                <w:szCs w:val="21"/>
              </w:rPr>
            </w:pPr>
            <w:r>
              <w:rPr>
                <w:rFonts w:hAnsi="宋体"/>
                <w:b/>
                <w:szCs w:val="21"/>
              </w:rPr>
              <w:t>表</w:t>
            </w:r>
            <w:r>
              <w:rPr>
                <w:b/>
                <w:szCs w:val="21"/>
              </w:rPr>
              <w:t>2.</w:t>
            </w:r>
            <w:r>
              <w:rPr>
                <w:rFonts w:hint="eastAsia"/>
                <w:b/>
                <w:szCs w:val="21"/>
              </w:rPr>
              <w:t>4</w:t>
            </w:r>
            <w:r>
              <w:rPr>
                <w:b/>
                <w:szCs w:val="21"/>
              </w:rPr>
              <w:t>-</w:t>
            </w:r>
            <w:r>
              <w:rPr>
                <w:rFonts w:hint="eastAsia"/>
                <w:b/>
                <w:szCs w:val="21"/>
                <w:lang w:val="en-US" w:eastAsia="zh-CN"/>
              </w:rPr>
              <w:t>6</w:t>
            </w:r>
            <w:r>
              <w:rPr>
                <w:b/>
                <w:szCs w:val="21"/>
              </w:rPr>
              <w:t xml:space="preserve">  </w:t>
            </w:r>
            <w:r>
              <w:rPr>
                <w:rFonts w:hint="eastAsia"/>
                <w:b/>
                <w:szCs w:val="21"/>
              </w:rPr>
              <w:t>现有</w:t>
            </w:r>
            <w:r>
              <w:rPr>
                <w:rFonts w:hint="eastAsia"/>
                <w:b/>
                <w:szCs w:val="21"/>
                <w:lang w:eastAsia="zh-CN"/>
              </w:rPr>
              <w:t>项目生活污水</w:t>
            </w:r>
            <w:r>
              <w:rPr>
                <w:rFonts w:hAnsi="宋体"/>
                <w:b/>
                <w:szCs w:val="21"/>
              </w:rPr>
              <w:t>废水监测结果表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692"/>
              <w:gridCol w:w="910"/>
              <w:gridCol w:w="1545"/>
              <w:gridCol w:w="1545"/>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restart"/>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采样点位</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及性状</w:t>
                  </w:r>
                </w:p>
              </w:tc>
              <w:tc>
                <w:tcPr>
                  <w:tcW w:w="1753" w:type="dxa"/>
                  <w:vMerge w:val="restart"/>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检测项目</w:t>
                  </w:r>
                </w:p>
              </w:tc>
              <w:tc>
                <w:tcPr>
                  <w:tcW w:w="938" w:type="dxa"/>
                  <w:vMerge w:val="restart"/>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单位</w:t>
                  </w:r>
                </w:p>
              </w:tc>
              <w:tc>
                <w:tcPr>
                  <w:tcW w:w="3200" w:type="dxa"/>
                  <w:gridSpan w:val="2"/>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采样时间</w:t>
                  </w:r>
                </w:p>
              </w:tc>
              <w:tc>
                <w:tcPr>
                  <w:tcW w:w="1030" w:type="dxa"/>
                  <w:vMerge w:val="restart"/>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938"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28" w:leftChars="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rPr>
                    <w:t>2022/05/13</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28" w:leftChars="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rPr>
                    <w:t>2022/05/14</w:t>
                  </w:r>
                </w:p>
              </w:tc>
              <w:tc>
                <w:tcPr>
                  <w:tcW w:w="1030"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restart"/>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生活污水排放口</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（W01）</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微黄、微浊</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第一次</w:t>
                  </w: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pH值</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无量纲</w:t>
                  </w:r>
                </w:p>
              </w:tc>
              <w:tc>
                <w:tcPr>
                  <w:tcW w:w="1600" w:type="dxa"/>
                  <w:tcBorders>
                    <w:left w:val="single" w:color="auto" w:sz="4" w:space="0"/>
                    <w:right w:val="single" w:color="auto" w:sz="4" w:space="0"/>
                  </w:tcBorders>
                  <w:vAlign w:val="center"/>
                </w:tcPr>
                <w:p>
                  <w:pPr>
                    <w:keepNext w:val="0"/>
                    <w:keepLines w:val="0"/>
                    <w:widowControl/>
                    <w:suppressLineNumbers w:val="0"/>
                    <w:tabs>
                      <w:tab w:val="left" w:pos="557"/>
                      <w:tab w:val="center" w:pos="916"/>
                    </w:tabs>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7.1</w:t>
                  </w:r>
                </w:p>
              </w:tc>
              <w:tc>
                <w:tcPr>
                  <w:tcW w:w="1600" w:type="dxa"/>
                  <w:tcBorders>
                    <w:left w:val="single" w:color="auto" w:sz="4" w:space="0"/>
                    <w:right w:val="single" w:color="auto" w:sz="4" w:space="0"/>
                  </w:tcBorders>
                  <w:vAlign w:val="center"/>
                </w:tcPr>
                <w:p>
                  <w:pPr>
                    <w:keepNext w:val="0"/>
                    <w:keepLines w:val="0"/>
                    <w:widowControl/>
                    <w:suppressLineNumbers w:val="0"/>
                    <w:tabs>
                      <w:tab w:val="left" w:pos="557"/>
                      <w:tab w:val="center" w:pos="916"/>
                    </w:tabs>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7.2</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化学需氧量</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80</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76</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氨氮</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4.89</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6.03</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总磷</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0.28</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0.32</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悬浮物</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20</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19</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restart"/>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生活污水排放口</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（W01）</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微黄、微浊</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第二次</w:t>
                  </w: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pH值</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无量纲</w:t>
                  </w:r>
                </w:p>
              </w:tc>
              <w:tc>
                <w:tcPr>
                  <w:tcW w:w="1600" w:type="dxa"/>
                  <w:tcBorders>
                    <w:left w:val="single" w:color="auto" w:sz="4" w:space="0"/>
                    <w:right w:val="single" w:color="auto" w:sz="4" w:space="0"/>
                  </w:tcBorders>
                  <w:vAlign w:val="center"/>
                </w:tcPr>
                <w:p>
                  <w:pPr>
                    <w:keepNext w:val="0"/>
                    <w:keepLines w:val="0"/>
                    <w:widowControl/>
                    <w:suppressLineNumbers w:val="0"/>
                    <w:tabs>
                      <w:tab w:val="left" w:pos="557"/>
                      <w:tab w:val="center" w:pos="916"/>
                    </w:tabs>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7.2</w:t>
                  </w:r>
                </w:p>
              </w:tc>
              <w:tc>
                <w:tcPr>
                  <w:tcW w:w="1600" w:type="dxa"/>
                  <w:tcBorders>
                    <w:left w:val="single" w:color="auto" w:sz="4" w:space="0"/>
                    <w:right w:val="single" w:color="auto" w:sz="4" w:space="0"/>
                  </w:tcBorders>
                  <w:vAlign w:val="center"/>
                </w:tcPr>
                <w:p>
                  <w:pPr>
                    <w:keepNext w:val="0"/>
                    <w:keepLines w:val="0"/>
                    <w:widowControl/>
                    <w:suppressLineNumbers w:val="0"/>
                    <w:tabs>
                      <w:tab w:val="left" w:pos="557"/>
                      <w:tab w:val="center" w:pos="916"/>
                    </w:tabs>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7.2</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化学需氧量</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77</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82</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氨氮</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6.27</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5.35</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总磷</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0.29</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0.29</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悬浮物</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21</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20</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restart"/>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生活污水排放口</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（W01）</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微黄、微浊</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第三次</w:t>
                  </w: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pH值</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无量纲</w:t>
                  </w:r>
                </w:p>
              </w:tc>
              <w:tc>
                <w:tcPr>
                  <w:tcW w:w="1600" w:type="dxa"/>
                  <w:tcBorders>
                    <w:left w:val="single" w:color="auto" w:sz="4" w:space="0"/>
                    <w:right w:val="single" w:color="auto" w:sz="4" w:space="0"/>
                  </w:tcBorders>
                  <w:vAlign w:val="center"/>
                </w:tcPr>
                <w:p>
                  <w:pPr>
                    <w:keepNext w:val="0"/>
                    <w:keepLines w:val="0"/>
                    <w:widowControl/>
                    <w:suppressLineNumbers w:val="0"/>
                    <w:tabs>
                      <w:tab w:val="left" w:pos="557"/>
                      <w:tab w:val="center" w:pos="916"/>
                    </w:tabs>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7.1</w:t>
                  </w:r>
                </w:p>
              </w:tc>
              <w:tc>
                <w:tcPr>
                  <w:tcW w:w="1600" w:type="dxa"/>
                  <w:tcBorders>
                    <w:left w:val="single" w:color="auto" w:sz="4" w:space="0"/>
                    <w:right w:val="single" w:color="auto" w:sz="4" w:space="0"/>
                  </w:tcBorders>
                  <w:vAlign w:val="center"/>
                </w:tcPr>
                <w:p>
                  <w:pPr>
                    <w:keepNext w:val="0"/>
                    <w:keepLines w:val="0"/>
                    <w:widowControl/>
                    <w:suppressLineNumbers w:val="0"/>
                    <w:tabs>
                      <w:tab w:val="left" w:pos="557"/>
                      <w:tab w:val="center" w:pos="916"/>
                    </w:tabs>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7.1</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化学需氧量</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84</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79</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氨氮</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5.45</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5.11</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总磷</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0.31</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0.30</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悬浮物</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20</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21</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restart"/>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生活污水排放口</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（W01）</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微黄、微浊</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第四次</w:t>
                  </w: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pH值</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无量纲</w:t>
                  </w:r>
                </w:p>
              </w:tc>
              <w:tc>
                <w:tcPr>
                  <w:tcW w:w="1600" w:type="dxa"/>
                  <w:tcBorders>
                    <w:left w:val="single" w:color="auto" w:sz="4" w:space="0"/>
                    <w:right w:val="single" w:color="auto" w:sz="4" w:space="0"/>
                  </w:tcBorders>
                  <w:vAlign w:val="center"/>
                </w:tcPr>
                <w:p>
                  <w:pPr>
                    <w:keepNext w:val="0"/>
                    <w:keepLines w:val="0"/>
                    <w:widowControl/>
                    <w:suppressLineNumbers w:val="0"/>
                    <w:tabs>
                      <w:tab w:val="left" w:pos="557"/>
                      <w:tab w:val="center" w:pos="916"/>
                    </w:tabs>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7.1</w:t>
                  </w:r>
                </w:p>
              </w:tc>
              <w:tc>
                <w:tcPr>
                  <w:tcW w:w="1600" w:type="dxa"/>
                  <w:tcBorders>
                    <w:left w:val="single" w:color="auto" w:sz="4" w:space="0"/>
                    <w:right w:val="single" w:color="auto" w:sz="4" w:space="0"/>
                  </w:tcBorders>
                  <w:vAlign w:val="center"/>
                </w:tcPr>
                <w:p>
                  <w:pPr>
                    <w:keepNext w:val="0"/>
                    <w:keepLines w:val="0"/>
                    <w:widowControl/>
                    <w:suppressLineNumbers w:val="0"/>
                    <w:tabs>
                      <w:tab w:val="left" w:pos="557"/>
                      <w:tab w:val="center" w:pos="916"/>
                    </w:tabs>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7.2</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化学需氧量</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79</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85</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氨氮</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6.90</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4.97</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总磷</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0.29</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0.28</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3"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p>
              </w:tc>
              <w:tc>
                <w:tcPr>
                  <w:tcW w:w="1753"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悬浮物</w:t>
                  </w:r>
                </w:p>
              </w:tc>
              <w:tc>
                <w:tcPr>
                  <w:tcW w:w="938"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mg/L</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19</w:t>
                  </w:r>
                </w:p>
              </w:tc>
              <w:tc>
                <w:tcPr>
                  <w:tcW w:w="160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20</w:t>
                  </w:r>
                </w:p>
              </w:tc>
              <w:tc>
                <w:tcPr>
                  <w:tcW w:w="1030"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8504" w:type="dxa"/>
                  <w:gridSpan w:val="6"/>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备注：限值来源于《污水综合排放标准》GB 8978-1996表4中的三级标准；其中氨氮、总磷限值来源于《工业企业废水氮、磷污染物间接排放限值》（DB33/887-2013）。</w:t>
                  </w:r>
                </w:p>
              </w:tc>
            </w:tr>
          </w:tbl>
          <w:p>
            <w:pPr>
              <w:spacing w:line="500" w:lineRule="exact"/>
              <w:ind w:firstLine="480" w:firstLineChars="200"/>
              <w:rPr>
                <w:sz w:val="24"/>
              </w:rPr>
            </w:pPr>
            <w:r>
              <w:rPr>
                <w:rFonts w:hint="eastAsia" w:hAnsi="宋体"/>
                <w:sz w:val="24"/>
                <w:lang w:eastAsia="zh-CN"/>
              </w:rPr>
              <w:t>经监测数据表明，</w:t>
            </w:r>
            <w:r>
              <w:rPr>
                <w:rFonts w:hAnsi="宋体"/>
                <w:sz w:val="24"/>
              </w:rPr>
              <w:t>企业</w:t>
            </w:r>
            <w:r>
              <w:rPr>
                <w:rFonts w:hint="eastAsia" w:hAnsi="宋体"/>
                <w:sz w:val="24"/>
                <w:lang w:eastAsia="zh-CN"/>
              </w:rPr>
              <w:t>生活污水各指标符</w:t>
            </w:r>
            <w:r>
              <w:rPr>
                <w:rFonts w:hint="eastAsia"/>
                <w:sz w:val="24"/>
              </w:rPr>
              <w:t>合《污水综合排放标准》（GB8978-1996）三级标准。</w:t>
            </w:r>
          </w:p>
          <w:p>
            <w:pPr>
              <w:spacing w:line="500" w:lineRule="exact"/>
              <w:ind w:firstLine="480" w:firstLineChars="200"/>
              <w:contextualSpacing/>
              <w:rPr>
                <w:sz w:val="24"/>
              </w:rPr>
            </w:pPr>
            <w:r>
              <w:rPr>
                <w:sz w:val="24"/>
              </w:rPr>
              <w:t>c</w:t>
            </w:r>
            <w:r>
              <w:rPr>
                <w:rFonts w:hAnsi="宋体"/>
                <w:sz w:val="24"/>
              </w:rPr>
              <w:t>）噪声</w:t>
            </w:r>
          </w:p>
          <w:p>
            <w:pPr>
              <w:spacing w:line="500" w:lineRule="exact"/>
              <w:ind w:firstLine="480" w:firstLineChars="200"/>
              <w:rPr>
                <w:sz w:val="24"/>
              </w:rPr>
            </w:pPr>
            <w:r>
              <w:rPr>
                <w:rFonts w:hint="eastAsia" w:hAnsi="宋体"/>
                <w:sz w:val="24"/>
              </w:rPr>
              <w:t>现有生产情况</w:t>
            </w:r>
            <w:r>
              <w:rPr>
                <w:rFonts w:hAnsi="宋体"/>
                <w:sz w:val="24"/>
              </w:rPr>
              <w:t>噪声排放监测结果见表</w:t>
            </w:r>
            <w:r>
              <w:rPr>
                <w:sz w:val="24"/>
              </w:rPr>
              <w:t>2.</w:t>
            </w:r>
            <w:r>
              <w:rPr>
                <w:rFonts w:hint="eastAsia"/>
                <w:sz w:val="24"/>
              </w:rPr>
              <w:t>4</w:t>
            </w:r>
            <w:r>
              <w:rPr>
                <w:rFonts w:hint="eastAsia"/>
                <w:sz w:val="24"/>
                <w:lang w:val="en-US" w:eastAsia="zh-CN"/>
              </w:rPr>
              <w:t>-7</w:t>
            </w:r>
            <w:r>
              <w:rPr>
                <w:rFonts w:hAnsi="宋体"/>
                <w:sz w:val="24"/>
              </w:rPr>
              <w:t>。</w:t>
            </w:r>
          </w:p>
          <w:p>
            <w:pPr>
              <w:spacing w:line="500" w:lineRule="exact"/>
              <w:jc w:val="center"/>
              <w:rPr>
                <w:b/>
                <w:bCs/>
                <w:szCs w:val="21"/>
              </w:rPr>
            </w:pPr>
            <w:r>
              <w:rPr>
                <w:rFonts w:hAnsi="宋体"/>
                <w:b/>
                <w:bCs/>
                <w:szCs w:val="21"/>
              </w:rPr>
              <w:t>表</w:t>
            </w:r>
            <w:r>
              <w:rPr>
                <w:b/>
                <w:bCs/>
                <w:szCs w:val="21"/>
              </w:rPr>
              <w:t>2.</w:t>
            </w:r>
            <w:r>
              <w:rPr>
                <w:rFonts w:hint="eastAsia"/>
                <w:b/>
                <w:bCs/>
                <w:szCs w:val="21"/>
              </w:rPr>
              <w:t>4</w:t>
            </w:r>
            <w:r>
              <w:rPr>
                <w:b/>
                <w:bCs/>
                <w:szCs w:val="21"/>
              </w:rPr>
              <w:t>-</w:t>
            </w:r>
            <w:r>
              <w:rPr>
                <w:rFonts w:hint="eastAsia"/>
                <w:b/>
                <w:bCs/>
                <w:szCs w:val="21"/>
                <w:lang w:val="en-US" w:eastAsia="zh-CN"/>
              </w:rPr>
              <w:t>7</w:t>
            </w:r>
            <w:r>
              <w:rPr>
                <w:rFonts w:hint="eastAsia"/>
                <w:b/>
                <w:bCs/>
                <w:szCs w:val="21"/>
              </w:rPr>
              <w:t xml:space="preserve"> </w:t>
            </w:r>
            <w:r>
              <w:rPr>
                <w:b/>
                <w:bCs/>
                <w:szCs w:val="21"/>
              </w:rPr>
              <w:t xml:space="preserve"> </w:t>
            </w:r>
            <w:r>
              <w:rPr>
                <w:rFonts w:hint="eastAsia"/>
                <w:b/>
                <w:bCs/>
                <w:szCs w:val="21"/>
              </w:rPr>
              <w:t>现有生产情况</w:t>
            </w:r>
            <w:r>
              <w:rPr>
                <w:rFonts w:hAnsi="宋体"/>
                <w:b/>
                <w:bCs/>
                <w:szCs w:val="21"/>
              </w:rPr>
              <w:t>噪声排放监测结果表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2058"/>
              <w:gridCol w:w="1892"/>
              <w:gridCol w:w="1211"/>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restart"/>
                  <w:vAlign w:val="center"/>
                </w:tcPr>
                <w:p>
                  <w:pPr>
                    <w:keepNext w:val="0"/>
                    <w:keepLines w:val="0"/>
                    <w:widowControl/>
                    <w:suppressLineNumbers w:val="0"/>
                    <w:spacing w:before="0" w:beforeAutospacing="0" w:after="0" w:afterAutospacing="0" w:line="240" w:lineRule="atLeast"/>
                    <w:ind w:left="-716" w:leftChars="-341" w:right="0" w:firstLine="595" w:firstLineChars="282"/>
                    <w:jc w:val="center"/>
                    <w:rPr>
                      <w:rFonts w:ascii="Times New Roman" w:hAnsi="Times New Roman" w:cs="Times New Roman" w:eastAsiaTheme="minorEastAsia"/>
                      <w:b/>
                      <w:bCs/>
                      <w:color w:val="000000"/>
                      <w:kern w:val="2"/>
                      <w:sz w:val="21"/>
                      <w:szCs w:val="21"/>
                    </w:rPr>
                  </w:pPr>
                  <w:r>
                    <w:rPr>
                      <w:rFonts w:ascii="Times New Roman" w:cs="Times New Roman" w:hAnsiTheme="minorEastAsia" w:eastAsiaTheme="minorEastAsia"/>
                      <w:b/>
                      <w:bCs/>
                      <w:color w:val="000000"/>
                      <w:kern w:val="2"/>
                      <w:sz w:val="21"/>
                      <w:szCs w:val="21"/>
                    </w:rPr>
                    <w:t>检测点</w:t>
                  </w:r>
                </w:p>
              </w:tc>
              <w:tc>
                <w:tcPr>
                  <w:tcW w:w="2132" w:type="dxa"/>
                  <w:vMerge w:val="restart"/>
                  <w:vAlign w:val="center"/>
                </w:tcPr>
                <w:p>
                  <w:pPr>
                    <w:keepNext w:val="0"/>
                    <w:keepLines w:val="0"/>
                    <w:widowControl/>
                    <w:suppressLineNumbers w:val="0"/>
                    <w:spacing w:before="0" w:beforeAutospacing="0" w:after="0" w:afterAutospacing="0"/>
                    <w:ind w:left="0" w:right="0"/>
                    <w:jc w:val="center"/>
                    <w:rPr>
                      <w:rFonts w:ascii="Times New Roman" w:hAnsi="Times New Roman" w:cs="Times New Roman" w:eastAsiaTheme="minorEastAsia"/>
                      <w:b/>
                      <w:bCs/>
                      <w:color w:val="000000"/>
                      <w:kern w:val="2"/>
                      <w:sz w:val="21"/>
                      <w:szCs w:val="21"/>
                    </w:rPr>
                  </w:pPr>
                  <w:r>
                    <w:rPr>
                      <w:rFonts w:ascii="Times New Roman" w:cs="Times New Roman" w:hAnsiTheme="minorEastAsia" w:eastAsiaTheme="minorEastAsia"/>
                      <w:b/>
                      <w:bCs/>
                      <w:color w:val="000000"/>
                      <w:kern w:val="2"/>
                      <w:sz w:val="21"/>
                      <w:szCs w:val="21"/>
                    </w:rPr>
                    <w:t>时间</w:t>
                  </w:r>
                </w:p>
              </w:tc>
              <w:tc>
                <w:tcPr>
                  <w:tcW w:w="1959" w:type="dxa"/>
                  <w:vMerge w:val="restart"/>
                  <w:vAlign w:val="center"/>
                </w:tcPr>
                <w:p>
                  <w:pPr>
                    <w:keepNext w:val="0"/>
                    <w:keepLines w:val="0"/>
                    <w:widowControl/>
                    <w:suppressLineNumbers w:val="0"/>
                    <w:spacing w:before="0" w:beforeAutospacing="0" w:after="0" w:afterAutospacing="0"/>
                    <w:ind w:left="0" w:right="0"/>
                    <w:jc w:val="center"/>
                    <w:rPr>
                      <w:rFonts w:ascii="Times New Roman" w:hAnsi="Times New Roman" w:cs="Times New Roman" w:eastAsiaTheme="minorEastAsia"/>
                      <w:b/>
                      <w:bCs/>
                      <w:color w:val="000000"/>
                      <w:kern w:val="2"/>
                      <w:sz w:val="21"/>
                      <w:szCs w:val="21"/>
                    </w:rPr>
                  </w:pPr>
                  <w:r>
                    <w:rPr>
                      <w:rFonts w:ascii="Times New Roman" w:hAnsi="Times New Roman" w:cs="Times New Roman" w:eastAsiaTheme="minorEastAsia"/>
                      <w:b/>
                      <w:bCs/>
                      <w:color w:val="000000"/>
                      <w:kern w:val="2"/>
                      <w:sz w:val="21"/>
                      <w:szCs w:val="21"/>
                    </w:rPr>
                    <w:t> </w:t>
                  </w:r>
                  <w:r>
                    <w:rPr>
                      <w:rFonts w:ascii="Times New Roman" w:cs="Times New Roman" w:hAnsiTheme="minorEastAsia" w:eastAsiaTheme="minorEastAsia"/>
                      <w:b/>
                      <w:bCs/>
                      <w:color w:val="000000"/>
                      <w:kern w:val="2"/>
                      <w:sz w:val="21"/>
                      <w:szCs w:val="21"/>
                    </w:rPr>
                    <w:t>声源描述</w:t>
                  </w:r>
                </w:p>
              </w:tc>
              <w:tc>
                <w:tcPr>
                  <w:tcW w:w="1251" w:type="dxa"/>
                  <w:vAlign w:val="center"/>
                </w:tcPr>
                <w:p>
                  <w:pPr>
                    <w:keepNext w:val="0"/>
                    <w:keepLines w:val="0"/>
                    <w:widowControl/>
                    <w:suppressLineNumbers w:val="0"/>
                    <w:spacing w:before="0" w:beforeAutospacing="0" w:after="0" w:afterAutospacing="0" w:line="240" w:lineRule="atLeast"/>
                    <w:ind w:left="0" w:right="0"/>
                    <w:jc w:val="center"/>
                    <w:rPr>
                      <w:rFonts w:ascii="Times New Roman" w:hAnsi="Times New Roman" w:cs="Times New Roman" w:eastAsiaTheme="minorEastAsia"/>
                      <w:b/>
                      <w:bCs/>
                      <w:color w:val="000000"/>
                      <w:kern w:val="2"/>
                      <w:sz w:val="21"/>
                      <w:szCs w:val="21"/>
                    </w:rPr>
                  </w:pPr>
                  <w:r>
                    <w:rPr>
                      <w:rFonts w:ascii="Times New Roman" w:hAnsi="Times New Roman" w:cs="Times New Roman" w:eastAsiaTheme="minorEastAsia"/>
                      <w:b/>
                      <w:bCs/>
                      <w:color w:val="000000"/>
                      <w:kern w:val="2"/>
                      <w:sz w:val="21"/>
                      <w:szCs w:val="21"/>
                    </w:rPr>
                    <w:t>L</w:t>
                  </w:r>
                  <w:r>
                    <w:rPr>
                      <w:rFonts w:ascii="Times New Roman" w:hAnsi="Times New Roman" w:cs="Times New Roman" w:eastAsiaTheme="minorEastAsia"/>
                      <w:b/>
                      <w:bCs/>
                      <w:color w:val="000000"/>
                      <w:kern w:val="2"/>
                      <w:sz w:val="21"/>
                      <w:szCs w:val="21"/>
                      <w:vertAlign w:val="subscript"/>
                    </w:rPr>
                    <w:t>eq</w:t>
                  </w:r>
                </w:p>
              </w:tc>
              <w:tc>
                <w:tcPr>
                  <w:tcW w:w="1455" w:type="dxa"/>
                  <w:vMerge w:val="restart"/>
                  <w:vAlign w:val="center"/>
                </w:tcPr>
                <w:p>
                  <w:pPr>
                    <w:keepNext w:val="0"/>
                    <w:keepLines w:val="0"/>
                    <w:widowControl/>
                    <w:suppressLineNumbers w:val="0"/>
                    <w:spacing w:before="0" w:beforeAutospacing="0" w:after="0" w:afterAutospacing="0" w:line="240" w:lineRule="atLeast"/>
                    <w:ind w:left="0" w:right="0"/>
                    <w:jc w:val="center"/>
                    <w:rPr>
                      <w:rFonts w:ascii="Times New Roman" w:hAnsi="Times New Roman" w:cs="Times New Roman" w:eastAsiaTheme="minorEastAsia"/>
                      <w:b/>
                      <w:bCs/>
                      <w:color w:val="000000"/>
                      <w:kern w:val="2"/>
                      <w:sz w:val="21"/>
                      <w:szCs w:val="21"/>
                    </w:rPr>
                  </w:pPr>
                  <w:r>
                    <w:rPr>
                      <w:rFonts w:ascii="Times New Roman" w:cs="Times New Roman" w:hAnsiTheme="minorEastAsia" w:eastAsiaTheme="minorEastAsia"/>
                      <w:b/>
                      <w:bCs/>
                      <w:color w:val="000000"/>
                      <w:kern w:val="2"/>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continue"/>
                  <w:vAlign w:val="center"/>
                </w:tcPr>
                <w:p>
                  <w:pPr>
                    <w:keepNext w:val="0"/>
                    <w:keepLines w:val="0"/>
                    <w:widowControl/>
                    <w:suppressLineNumbers w:val="0"/>
                    <w:spacing w:before="0" w:beforeAutospacing="0" w:after="0" w:afterAutospacing="0"/>
                    <w:ind w:left="0" w:right="0"/>
                    <w:rPr>
                      <w:rFonts w:ascii="Times New Roman" w:hAnsi="Times New Roman" w:cs="Times New Roman" w:eastAsiaTheme="minorEastAsia"/>
                      <w:b/>
                      <w:bCs/>
                      <w:color w:val="000000"/>
                      <w:kern w:val="2"/>
                      <w:sz w:val="21"/>
                      <w:szCs w:val="21"/>
                    </w:rPr>
                  </w:pPr>
                </w:p>
              </w:tc>
              <w:tc>
                <w:tcPr>
                  <w:tcW w:w="2132" w:type="dxa"/>
                  <w:vMerge w:val="continue"/>
                  <w:vAlign w:val="center"/>
                </w:tcPr>
                <w:p>
                  <w:pPr>
                    <w:keepNext w:val="0"/>
                    <w:keepLines w:val="0"/>
                    <w:widowControl/>
                    <w:suppressLineNumbers w:val="0"/>
                    <w:spacing w:before="0" w:beforeAutospacing="0" w:after="0" w:afterAutospacing="0"/>
                    <w:ind w:left="0" w:right="0"/>
                    <w:rPr>
                      <w:rFonts w:ascii="Times New Roman" w:hAnsi="Times New Roman" w:cs="Times New Roman" w:eastAsiaTheme="minorEastAsia"/>
                      <w:b/>
                      <w:bCs/>
                      <w:color w:val="000000"/>
                      <w:kern w:val="2"/>
                      <w:sz w:val="21"/>
                      <w:szCs w:val="21"/>
                    </w:rPr>
                  </w:pPr>
                </w:p>
              </w:tc>
              <w:tc>
                <w:tcPr>
                  <w:tcW w:w="1959" w:type="dxa"/>
                  <w:vMerge w:val="continue"/>
                  <w:vAlign w:val="center"/>
                </w:tcPr>
                <w:p>
                  <w:pPr>
                    <w:keepNext w:val="0"/>
                    <w:keepLines w:val="0"/>
                    <w:widowControl/>
                    <w:suppressLineNumbers w:val="0"/>
                    <w:spacing w:before="0" w:beforeAutospacing="0" w:after="0" w:afterAutospacing="0"/>
                    <w:ind w:left="0" w:right="0"/>
                    <w:rPr>
                      <w:rFonts w:ascii="Times New Roman" w:hAnsi="Times New Roman" w:cs="Times New Roman" w:eastAsiaTheme="minorEastAsia"/>
                      <w:b/>
                      <w:bCs/>
                      <w:color w:val="000000"/>
                      <w:kern w:val="2"/>
                      <w:sz w:val="21"/>
                      <w:szCs w:val="21"/>
                    </w:rPr>
                  </w:pPr>
                </w:p>
              </w:tc>
              <w:tc>
                <w:tcPr>
                  <w:tcW w:w="1251" w:type="dxa"/>
                  <w:vAlign w:val="center"/>
                </w:tcPr>
                <w:p>
                  <w:pPr>
                    <w:keepNext w:val="0"/>
                    <w:keepLines w:val="0"/>
                    <w:widowControl/>
                    <w:suppressLineNumbers w:val="0"/>
                    <w:spacing w:before="0" w:beforeAutospacing="0" w:after="0" w:afterAutospacing="0" w:line="240" w:lineRule="atLeast"/>
                    <w:ind w:left="0" w:right="0"/>
                    <w:jc w:val="center"/>
                    <w:rPr>
                      <w:rFonts w:ascii="Times New Roman" w:hAnsi="Times New Roman" w:cs="Times New Roman" w:eastAsiaTheme="minorEastAsia"/>
                      <w:b/>
                      <w:bCs/>
                      <w:color w:val="000000"/>
                      <w:kern w:val="2"/>
                      <w:sz w:val="21"/>
                      <w:szCs w:val="21"/>
                    </w:rPr>
                  </w:pPr>
                  <w:r>
                    <w:rPr>
                      <w:rFonts w:ascii="Times New Roman" w:cs="Times New Roman" w:hAnsiTheme="minorEastAsia" w:eastAsiaTheme="minorEastAsia"/>
                      <w:b/>
                      <w:bCs/>
                      <w:color w:val="000000"/>
                      <w:kern w:val="2"/>
                      <w:sz w:val="21"/>
                      <w:szCs w:val="21"/>
                    </w:rPr>
                    <w:t>单位</w:t>
                  </w:r>
                  <w:r>
                    <w:rPr>
                      <w:rFonts w:ascii="Times New Roman" w:hAnsi="Times New Roman" w:cs="Times New Roman" w:eastAsiaTheme="minorEastAsia"/>
                      <w:b/>
                      <w:bCs/>
                      <w:color w:val="000000"/>
                      <w:kern w:val="2"/>
                      <w:sz w:val="21"/>
                      <w:szCs w:val="21"/>
                    </w:rPr>
                    <w:t>dB</w:t>
                  </w:r>
                  <w:r>
                    <w:rPr>
                      <w:rFonts w:ascii="Times New Roman" w:cs="Times New Roman" w:hAnsiTheme="minorEastAsia" w:eastAsiaTheme="minorEastAsia"/>
                      <w:b/>
                      <w:bCs/>
                      <w:color w:val="000000"/>
                      <w:kern w:val="2"/>
                      <w:sz w:val="21"/>
                      <w:szCs w:val="21"/>
                    </w:rPr>
                    <w:t>（</w:t>
                  </w:r>
                  <w:r>
                    <w:rPr>
                      <w:rFonts w:ascii="Times New Roman" w:hAnsi="Times New Roman" w:cs="Times New Roman" w:eastAsiaTheme="minorEastAsia"/>
                      <w:b/>
                      <w:bCs/>
                      <w:color w:val="000000"/>
                      <w:kern w:val="2"/>
                      <w:sz w:val="21"/>
                      <w:szCs w:val="21"/>
                    </w:rPr>
                    <w:t>A</w:t>
                  </w:r>
                  <w:r>
                    <w:rPr>
                      <w:rFonts w:ascii="Times New Roman" w:cs="Times New Roman" w:hAnsiTheme="minorEastAsia" w:eastAsiaTheme="minorEastAsia"/>
                      <w:b/>
                      <w:bCs/>
                      <w:color w:val="000000"/>
                      <w:kern w:val="2"/>
                      <w:sz w:val="21"/>
                      <w:szCs w:val="21"/>
                    </w:rPr>
                    <w:t>）</w:t>
                  </w:r>
                </w:p>
              </w:tc>
              <w:tc>
                <w:tcPr>
                  <w:tcW w:w="1455" w:type="dxa"/>
                  <w:vMerge w:val="continue"/>
                  <w:vAlign w:val="center"/>
                </w:tcPr>
                <w:p>
                  <w:pPr>
                    <w:keepNext w:val="0"/>
                    <w:keepLines w:val="0"/>
                    <w:widowControl/>
                    <w:suppressLineNumbers w:val="0"/>
                    <w:spacing w:before="0" w:beforeAutospacing="0" w:after="0" w:afterAutospacing="0"/>
                    <w:ind w:left="0" w:right="0"/>
                    <w:rPr>
                      <w:rFonts w:ascii="Times New Roman" w:hAnsi="Times New Roman" w:cs="Times New Roman" w:eastAsiaTheme="minorEastAsia"/>
                      <w:b/>
                      <w:bCs/>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restart"/>
                  <w:vAlign w:val="center"/>
                </w:tcPr>
                <w:p>
                  <w:pPr>
                    <w:keepNext w:val="0"/>
                    <w:keepLines w:val="0"/>
                    <w:widowControl/>
                    <w:suppressLineNumbers w:val="0"/>
                    <w:spacing w:before="0" w:beforeAutospacing="0" w:after="0" w:afterAutospacing="0" w:line="240" w:lineRule="atLeast"/>
                    <w:ind w:left="0" w:right="0"/>
                    <w:jc w:val="center"/>
                    <w:rPr>
                      <w:rFonts w:ascii="Times New Roman" w:cs="Times New Roman" w:hAnsiTheme="minorEastAsia" w:eastAsiaTheme="minorEastAsia"/>
                      <w:color w:val="000000"/>
                      <w:kern w:val="2"/>
                      <w:sz w:val="21"/>
                      <w:szCs w:val="21"/>
                    </w:rPr>
                  </w:pPr>
                  <w:r>
                    <w:rPr>
                      <w:rFonts w:ascii="Times New Roman" w:cs="Times New Roman" w:hAnsiTheme="minorEastAsia" w:eastAsiaTheme="minorEastAsia"/>
                      <w:color w:val="000000"/>
                      <w:kern w:val="2"/>
                      <w:sz w:val="21"/>
                      <w:szCs w:val="21"/>
                    </w:rPr>
                    <w:t>厂界东侧</w:t>
                  </w:r>
                  <w:r>
                    <w:rPr>
                      <w:rFonts w:hint="eastAsia" w:ascii="Times New Roman" w:cs="Times New Roman" w:hAnsiTheme="minorEastAsia" w:eastAsiaTheme="minorEastAsia"/>
                      <w:color w:val="000000"/>
                      <w:kern w:val="2"/>
                      <w:sz w:val="21"/>
                      <w:szCs w:val="21"/>
                      <w:lang w:eastAsia="zh-CN"/>
                    </w:rPr>
                    <w:t>（</w:t>
                  </w:r>
                  <w:r>
                    <w:rPr>
                      <w:rFonts w:ascii="Times New Roman" w:cs="Times New Roman" w:hAnsiTheme="minorEastAsia" w:eastAsiaTheme="minorEastAsia"/>
                      <w:color w:val="000000"/>
                      <w:kern w:val="2"/>
                      <w:sz w:val="21"/>
                      <w:szCs w:val="21"/>
                    </w:rPr>
                    <w:t>N01</w:t>
                  </w:r>
                  <w:r>
                    <w:rPr>
                      <w:rFonts w:hint="eastAsia" w:ascii="Times New Roman" w:cs="Times New Roman" w:hAnsiTheme="minorEastAsia" w:eastAsiaTheme="minorEastAsia"/>
                      <w:color w:val="000000"/>
                      <w:kern w:val="2"/>
                      <w:sz w:val="21"/>
                      <w:szCs w:val="21"/>
                      <w:lang w:eastAsia="zh-CN"/>
                    </w:rPr>
                    <w:t>）</w:t>
                  </w:r>
                </w:p>
              </w:tc>
              <w:tc>
                <w:tcPr>
                  <w:tcW w:w="2132" w:type="dxa"/>
                  <w:vAlign w:val="center"/>
                </w:tcPr>
                <w:p>
                  <w:pPr>
                    <w:keepNext w:val="0"/>
                    <w:keepLines w:val="0"/>
                    <w:widowControl/>
                    <w:suppressLineNumbers w:val="0"/>
                    <w:spacing w:before="0" w:beforeAutospacing="0" w:after="0" w:afterAutospacing="0"/>
                    <w:ind w:left="0" w:right="0"/>
                    <w:jc w:val="center"/>
                    <w:rPr>
                      <w:rFonts w:hint="default" w:ascii="Times New Roman" w:cs="Times New Roman" w:hAnsiTheme="minorEastAsia" w:eastAsiaTheme="minorEastAsia"/>
                      <w:color w:val="000000"/>
                      <w:kern w:val="2"/>
                      <w:sz w:val="21"/>
                      <w:szCs w:val="21"/>
                      <w:lang w:val="en-US"/>
                    </w:rPr>
                  </w:pPr>
                  <w:r>
                    <w:rPr>
                      <w:rFonts w:hint="eastAsia" w:ascii="宋体"/>
                      <w:kern w:val="2"/>
                      <w:sz w:val="21"/>
                      <w:szCs w:val="21"/>
                      <w:lang w:val="en-US" w:eastAsia="zh-CN"/>
                    </w:rPr>
                    <w:t>2022/05/14 10:01</w:t>
                  </w:r>
                </w:p>
              </w:tc>
              <w:tc>
                <w:tcPr>
                  <w:tcW w:w="1959" w:type="dxa"/>
                  <w:vMerge w:val="restart"/>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lang w:val="en-US" w:eastAsia="zh-CN"/>
                    </w:rPr>
                  </w:pPr>
                  <w:r>
                    <w:rPr>
                      <w:rFonts w:hint="eastAsia" w:ascii="Times New Roman" w:cs="Times New Roman" w:hAnsiTheme="minorEastAsia" w:eastAsiaTheme="minorEastAsia"/>
                      <w:color w:val="000000"/>
                      <w:kern w:val="2"/>
                      <w:sz w:val="21"/>
                      <w:szCs w:val="21"/>
                      <w:lang w:val="en-US" w:eastAsia="zh-CN"/>
                    </w:rPr>
                    <w:t>设备噪声</w:t>
                  </w:r>
                </w:p>
              </w:tc>
              <w:tc>
                <w:tcPr>
                  <w:tcW w:w="1251" w:type="dxa"/>
                  <w:vAlign w:val="center"/>
                </w:tcPr>
                <w:p>
                  <w:pPr>
                    <w:keepNext w:val="0"/>
                    <w:keepLines w:val="0"/>
                    <w:widowControl/>
                    <w:suppressLineNumbers w:val="0"/>
                    <w:snapToGrid w:val="0"/>
                    <w:spacing w:before="0" w:beforeAutospacing="0" w:after="0" w:afterAutospacing="0" w:line="160" w:lineRule="atLeast"/>
                    <w:ind w:left="0" w:right="0"/>
                    <w:jc w:val="center"/>
                    <w:rPr>
                      <w:rFonts w:hint="default" w:ascii="Times New Roman" w:cs="Times New Roman" w:hAnsiTheme="minorEastAsia" w:eastAsiaTheme="minorEastAsia"/>
                      <w:color w:val="000000"/>
                      <w:kern w:val="2"/>
                      <w:sz w:val="21"/>
                      <w:szCs w:val="21"/>
                      <w:lang w:val="en-US"/>
                    </w:rPr>
                  </w:pPr>
                  <w:r>
                    <w:rPr>
                      <w:rFonts w:hint="eastAsia" w:ascii="宋体"/>
                      <w:color w:val="000000"/>
                      <w:kern w:val="2"/>
                      <w:sz w:val="21"/>
                      <w:szCs w:val="21"/>
                      <w:lang w:val="en-US" w:eastAsia="zh-CN"/>
                    </w:rPr>
                    <w:t>56.8</w:t>
                  </w:r>
                </w:p>
              </w:tc>
              <w:tc>
                <w:tcPr>
                  <w:tcW w:w="1455" w:type="dxa"/>
                  <w:vMerge w:val="restart"/>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r>
                    <w:rPr>
                      <w:rFonts w:hint="eastAsia" w:ascii="Times New Roman" w:cs="Times New Roman" w:hAnsiTheme="minorEastAsia" w:eastAsiaTheme="minorEastAsia"/>
                      <w:color w:val="000000"/>
                      <w:kern w:val="2"/>
                      <w:sz w:val="21"/>
                      <w:szCs w:val="21"/>
                    </w:rPr>
                    <w:t>昼间≤6</w:t>
                  </w:r>
                  <w:r>
                    <w:rPr>
                      <w:rFonts w:hint="eastAsia" w:ascii="Times New Roman" w:cs="Times New Roman" w:hAnsiTheme="minorEastAsia" w:eastAsiaTheme="minorEastAsia"/>
                      <w:color w:val="000000"/>
                      <w:kern w:val="2"/>
                      <w:sz w:val="21"/>
                      <w:szCs w:val="21"/>
                      <w:lang w:val="en-US" w:eastAsia="zh-CN"/>
                    </w:rPr>
                    <w:t>5</w:t>
                  </w:r>
                  <w:r>
                    <w:rPr>
                      <w:rFonts w:hint="eastAsia" w:ascii="Times New Roman" w:cs="Times New Roman" w:hAnsiTheme="minorEastAsia" w:eastAsiaTheme="minorEastAsia"/>
                      <w:color w:val="000000"/>
                      <w:kern w:val="2"/>
                      <w:sz w:val="21"/>
                      <w:szCs w:val="21"/>
                    </w:rPr>
                    <w:t>dB（A）</w:t>
                  </w:r>
                </w:p>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r>
                    <w:rPr>
                      <w:rFonts w:hint="eastAsia" w:ascii="Times New Roman" w:cs="Times New Roman" w:hAnsiTheme="minorEastAsia" w:eastAsiaTheme="minorEastAsia"/>
                      <w:color w:val="000000"/>
                      <w:kern w:val="2"/>
                      <w:sz w:val="21"/>
                      <w:szCs w:val="21"/>
                    </w:rPr>
                    <w:t>夜间≤5</w:t>
                  </w:r>
                  <w:r>
                    <w:rPr>
                      <w:rFonts w:hint="eastAsia" w:ascii="Times New Roman" w:cs="Times New Roman" w:hAnsiTheme="minorEastAsia" w:eastAsiaTheme="minorEastAsia"/>
                      <w:color w:val="000000"/>
                      <w:kern w:val="2"/>
                      <w:sz w:val="21"/>
                      <w:szCs w:val="21"/>
                      <w:lang w:val="en-US" w:eastAsia="zh-CN"/>
                    </w:rPr>
                    <w:t>5</w:t>
                  </w:r>
                  <w:r>
                    <w:rPr>
                      <w:rFonts w:hint="eastAsia" w:ascii="Times New Roman" w:cs="Times New Roman" w:hAnsiTheme="minorEastAsia" w:eastAsiaTheme="minorEastAsia"/>
                      <w:color w:val="000000"/>
                      <w:kern w:val="2"/>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continue"/>
                  <w:vAlign w:val="center"/>
                </w:tcPr>
                <w:p>
                  <w:pPr>
                    <w:keepNext w:val="0"/>
                    <w:keepLines w:val="0"/>
                    <w:widowControl/>
                    <w:suppressLineNumbers w:val="0"/>
                    <w:spacing w:before="0" w:beforeAutospacing="0" w:after="0" w:afterAutospacing="0" w:line="240" w:lineRule="atLeast"/>
                    <w:ind w:left="0" w:right="0"/>
                    <w:jc w:val="center"/>
                    <w:rPr>
                      <w:rFonts w:ascii="Times New Roman" w:cs="Times New Roman" w:hAnsiTheme="minorEastAsia" w:eastAsiaTheme="minorEastAsia"/>
                      <w:color w:val="000000"/>
                      <w:kern w:val="2"/>
                      <w:sz w:val="21"/>
                      <w:szCs w:val="21"/>
                    </w:rPr>
                  </w:pPr>
                </w:p>
              </w:tc>
              <w:tc>
                <w:tcPr>
                  <w:tcW w:w="2132" w:type="dxa"/>
                  <w:vAlign w:val="center"/>
                </w:tcPr>
                <w:p>
                  <w:pPr>
                    <w:keepNext w:val="0"/>
                    <w:keepLines w:val="0"/>
                    <w:widowControl/>
                    <w:suppressLineNumbers w:val="0"/>
                    <w:spacing w:before="0" w:beforeAutospacing="0" w:after="0" w:afterAutospacing="0"/>
                    <w:ind w:left="0" w:right="0"/>
                    <w:jc w:val="center"/>
                    <w:rPr>
                      <w:rFonts w:hint="default" w:ascii="Times New Roman" w:cs="Times New Roman" w:hAnsiTheme="minorEastAsia" w:eastAsiaTheme="minorEastAsia"/>
                      <w:color w:val="000000"/>
                      <w:kern w:val="2"/>
                      <w:sz w:val="21"/>
                      <w:szCs w:val="21"/>
                      <w:lang w:val="en-US"/>
                    </w:rPr>
                  </w:pPr>
                  <w:r>
                    <w:rPr>
                      <w:rFonts w:hint="eastAsia" w:ascii="宋体"/>
                      <w:kern w:val="2"/>
                      <w:sz w:val="21"/>
                      <w:szCs w:val="21"/>
                      <w:lang w:val="en-US" w:eastAsia="zh-CN"/>
                    </w:rPr>
                    <w:t>2022/05/14 22:03</w:t>
                  </w:r>
                </w:p>
              </w:tc>
              <w:tc>
                <w:tcPr>
                  <w:tcW w:w="1959"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lang w:val="en-US" w:eastAsia="zh-CN"/>
                    </w:rPr>
                  </w:pPr>
                </w:p>
              </w:tc>
              <w:tc>
                <w:tcPr>
                  <w:tcW w:w="1251" w:type="dxa"/>
                  <w:vAlign w:val="center"/>
                </w:tcPr>
                <w:p>
                  <w:pPr>
                    <w:keepNext w:val="0"/>
                    <w:keepLines w:val="0"/>
                    <w:widowControl/>
                    <w:suppressLineNumbers w:val="0"/>
                    <w:snapToGrid w:val="0"/>
                    <w:spacing w:before="0" w:beforeAutospacing="0" w:after="0" w:afterAutospacing="0" w:line="160" w:lineRule="atLeast"/>
                    <w:ind w:left="0" w:right="0"/>
                    <w:jc w:val="center"/>
                    <w:rPr>
                      <w:rFonts w:hint="default" w:ascii="Times New Roman" w:cs="Times New Roman" w:hAnsiTheme="minorEastAsia" w:eastAsiaTheme="minorEastAsia"/>
                      <w:color w:val="000000"/>
                      <w:kern w:val="2"/>
                      <w:sz w:val="21"/>
                      <w:szCs w:val="21"/>
                      <w:lang w:val="en-US"/>
                    </w:rPr>
                  </w:pPr>
                  <w:r>
                    <w:rPr>
                      <w:rFonts w:hint="eastAsia" w:ascii="宋体" w:hAnsi="Times New Roman" w:cs="Times New Roman"/>
                      <w:color w:val="000000"/>
                      <w:kern w:val="2"/>
                      <w:sz w:val="21"/>
                      <w:szCs w:val="21"/>
                      <w:lang w:val="en-US" w:eastAsia="zh-CN" w:bidi="ar-SA"/>
                    </w:rPr>
                    <w:t>48.5</w:t>
                  </w:r>
                </w:p>
              </w:tc>
              <w:tc>
                <w:tcPr>
                  <w:tcW w:w="1455"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restart"/>
                  <w:vAlign w:val="center"/>
                </w:tcPr>
                <w:p>
                  <w:pPr>
                    <w:keepNext w:val="0"/>
                    <w:keepLines w:val="0"/>
                    <w:widowControl/>
                    <w:suppressLineNumbers w:val="0"/>
                    <w:spacing w:before="0" w:beforeAutospacing="0" w:after="0" w:afterAutospacing="0" w:line="240" w:lineRule="atLeast"/>
                    <w:ind w:left="0" w:right="0"/>
                    <w:jc w:val="center"/>
                    <w:rPr>
                      <w:rFonts w:ascii="Times New Roman" w:cs="Times New Roman" w:hAnsiTheme="minorEastAsia" w:eastAsiaTheme="minorEastAsia"/>
                      <w:color w:val="000000"/>
                      <w:kern w:val="2"/>
                      <w:sz w:val="21"/>
                      <w:szCs w:val="21"/>
                    </w:rPr>
                  </w:pPr>
                  <w:r>
                    <w:rPr>
                      <w:rFonts w:ascii="Times New Roman" w:cs="Times New Roman" w:hAnsiTheme="minorEastAsia" w:eastAsiaTheme="minorEastAsia"/>
                      <w:color w:val="000000"/>
                      <w:kern w:val="2"/>
                      <w:sz w:val="21"/>
                      <w:szCs w:val="21"/>
                    </w:rPr>
                    <w:t>厂界南侧</w:t>
                  </w:r>
                  <w:r>
                    <w:rPr>
                      <w:rFonts w:hint="eastAsia" w:ascii="Times New Roman" w:cs="Times New Roman" w:hAnsiTheme="minorEastAsia" w:eastAsiaTheme="minorEastAsia"/>
                      <w:color w:val="000000"/>
                      <w:kern w:val="2"/>
                      <w:sz w:val="21"/>
                      <w:szCs w:val="21"/>
                      <w:lang w:eastAsia="zh-CN"/>
                    </w:rPr>
                    <w:t>（</w:t>
                  </w:r>
                  <w:r>
                    <w:rPr>
                      <w:rFonts w:ascii="Times New Roman" w:cs="Times New Roman" w:hAnsiTheme="minorEastAsia" w:eastAsiaTheme="minorEastAsia"/>
                      <w:color w:val="000000"/>
                      <w:kern w:val="2"/>
                      <w:sz w:val="21"/>
                      <w:szCs w:val="21"/>
                    </w:rPr>
                    <w:t>N02</w:t>
                  </w:r>
                  <w:r>
                    <w:rPr>
                      <w:rFonts w:hint="eastAsia" w:ascii="Times New Roman" w:cs="Times New Roman" w:hAnsiTheme="minorEastAsia" w:eastAsiaTheme="minorEastAsia"/>
                      <w:color w:val="000000"/>
                      <w:kern w:val="2"/>
                      <w:sz w:val="21"/>
                      <w:szCs w:val="21"/>
                      <w:lang w:eastAsia="zh-CN"/>
                    </w:rPr>
                    <w:t>）</w:t>
                  </w:r>
                </w:p>
              </w:tc>
              <w:tc>
                <w:tcPr>
                  <w:tcW w:w="2132" w:type="dxa"/>
                  <w:vAlign w:val="center"/>
                </w:tcPr>
                <w:p>
                  <w:pPr>
                    <w:keepNext w:val="0"/>
                    <w:keepLines w:val="0"/>
                    <w:widowControl/>
                    <w:suppressLineNumbers w:val="0"/>
                    <w:spacing w:before="0" w:beforeAutospacing="0" w:after="0" w:afterAutospacing="0"/>
                    <w:ind w:left="0" w:right="0"/>
                    <w:jc w:val="center"/>
                    <w:rPr>
                      <w:rFonts w:hint="default" w:ascii="Times New Roman" w:cs="Times New Roman" w:hAnsiTheme="minorEastAsia" w:eastAsiaTheme="minorEastAsia"/>
                      <w:color w:val="000000"/>
                      <w:kern w:val="2"/>
                      <w:sz w:val="21"/>
                      <w:szCs w:val="21"/>
                      <w:lang w:val="en-US"/>
                    </w:rPr>
                  </w:pPr>
                  <w:r>
                    <w:rPr>
                      <w:rFonts w:hint="eastAsia" w:ascii="宋体"/>
                      <w:kern w:val="2"/>
                      <w:sz w:val="21"/>
                      <w:szCs w:val="21"/>
                      <w:lang w:val="en-US" w:eastAsia="zh-CN"/>
                    </w:rPr>
                    <w:t>2022/05/14 10:05</w:t>
                  </w:r>
                </w:p>
              </w:tc>
              <w:tc>
                <w:tcPr>
                  <w:tcW w:w="1959" w:type="dxa"/>
                  <w:vMerge w:val="restart"/>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lang w:val="en-US" w:eastAsia="zh-CN"/>
                    </w:rPr>
                  </w:pPr>
                  <w:r>
                    <w:rPr>
                      <w:rFonts w:hint="eastAsia" w:ascii="Times New Roman" w:cs="Times New Roman" w:hAnsiTheme="minorEastAsia" w:eastAsiaTheme="minorEastAsia"/>
                      <w:color w:val="000000"/>
                      <w:kern w:val="2"/>
                      <w:sz w:val="21"/>
                      <w:szCs w:val="21"/>
                      <w:lang w:val="en-US" w:eastAsia="zh-CN"/>
                    </w:rPr>
                    <w:t>设备噪声</w:t>
                  </w:r>
                </w:p>
              </w:tc>
              <w:tc>
                <w:tcPr>
                  <w:tcW w:w="1251" w:type="dxa"/>
                  <w:vAlign w:val="center"/>
                </w:tcPr>
                <w:p>
                  <w:pPr>
                    <w:keepNext w:val="0"/>
                    <w:keepLines w:val="0"/>
                    <w:widowControl/>
                    <w:suppressLineNumbers w:val="0"/>
                    <w:snapToGrid w:val="0"/>
                    <w:spacing w:before="0" w:beforeAutospacing="0" w:after="0" w:afterAutospacing="0" w:line="160" w:lineRule="atLeast"/>
                    <w:ind w:left="0" w:right="0"/>
                    <w:jc w:val="center"/>
                    <w:rPr>
                      <w:rFonts w:hint="default" w:ascii="Times New Roman" w:cs="Times New Roman" w:hAnsiTheme="minorEastAsia" w:eastAsiaTheme="minorEastAsia"/>
                      <w:color w:val="000000"/>
                      <w:kern w:val="2"/>
                      <w:sz w:val="21"/>
                      <w:szCs w:val="21"/>
                      <w:lang w:val="en-US"/>
                    </w:rPr>
                  </w:pPr>
                  <w:r>
                    <w:rPr>
                      <w:rFonts w:hint="eastAsia" w:ascii="宋体"/>
                      <w:color w:val="000000"/>
                      <w:kern w:val="2"/>
                      <w:sz w:val="21"/>
                      <w:szCs w:val="21"/>
                      <w:lang w:val="en-US" w:eastAsia="zh-CN"/>
                    </w:rPr>
                    <w:t>57.3</w:t>
                  </w:r>
                </w:p>
              </w:tc>
              <w:tc>
                <w:tcPr>
                  <w:tcW w:w="1455"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continue"/>
                  <w:vAlign w:val="center"/>
                </w:tcPr>
                <w:p>
                  <w:pPr>
                    <w:keepNext w:val="0"/>
                    <w:keepLines w:val="0"/>
                    <w:widowControl/>
                    <w:suppressLineNumbers w:val="0"/>
                    <w:spacing w:before="0" w:beforeAutospacing="0" w:after="0" w:afterAutospacing="0" w:line="240" w:lineRule="atLeast"/>
                    <w:ind w:left="0" w:right="0"/>
                    <w:jc w:val="center"/>
                    <w:rPr>
                      <w:rFonts w:ascii="Times New Roman" w:cs="Times New Roman" w:hAnsiTheme="minorEastAsia" w:eastAsiaTheme="minorEastAsia"/>
                      <w:color w:val="000000"/>
                      <w:kern w:val="2"/>
                      <w:sz w:val="21"/>
                      <w:szCs w:val="21"/>
                    </w:rPr>
                  </w:pPr>
                </w:p>
              </w:tc>
              <w:tc>
                <w:tcPr>
                  <w:tcW w:w="2132" w:type="dxa"/>
                  <w:vAlign w:val="center"/>
                </w:tcPr>
                <w:p>
                  <w:pPr>
                    <w:keepNext w:val="0"/>
                    <w:keepLines w:val="0"/>
                    <w:widowControl/>
                    <w:suppressLineNumbers w:val="0"/>
                    <w:spacing w:before="0" w:beforeAutospacing="0" w:after="0" w:afterAutospacing="0"/>
                    <w:ind w:left="0" w:right="0"/>
                    <w:jc w:val="center"/>
                    <w:rPr>
                      <w:rFonts w:hint="default" w:ascii="Times New Roman" w:cs="Times New Roman" w:hAnsiTheme="minorEastAsia" w:eastAsiaTheme="minorEastAsia"/>
                      <w:color w:val="000000"/>
                      <w:kern w:val="2"/>
                      <w:sz w:val="21"/>
                      <w:szCs w:val="21"/>
                      <w:lang w:val="en-US"/>
                    </w:rPr>
                  </w:pPr>
                  <w:r>
                    <w:rPr>
                      <w:rFonts w:hint="eastAsia" w:ascii="宋体"/>
                      <w:kern w:val="2"/>
                      <w:sz w:val="21"/>
                      <w:szCs w:val="21"/>
                      <w:lang w:val="en-US" w:eastAsia="zh-CN"/>
                    </w:rPr>
                    <w:t>2022/05/14 22:08</w:t>
                  </w:r>
                </w:p>
              </w:tc>
              <w:tc>
                <w:tcPr>
                  <w:tcW w:w="1959"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lang w:val="en-US" w:eastAsia="zh-CN"/>
                    </w:rPr>
                  </w:pPr>
                </w:p>
              </w:tc>
              <w:tc>
                <w:tcPr>
                  <w:tcW w:w="1251" w:type="dxa"/>
                  <w:vAlign w:val="center"/>
                </w:tcPr>
                <w:p>
                  <w:pPr>
                    <w:keepNext w:val="0"/>
                    <w:keepLines w:val="0"/>
                    <w:widowControl/>
                    <w:suppressLineNumbers w:val="0"/>
                    <w:snapToGrid w:val="0"/>
                    <w:spacing w:before="0" w:beforeAutospacing="0" w:after="0" w:afterAutospacing="0" w:line="160" w:lineRule="atLeast"/>
                    <w:ind w:left="0" w:right="0"/>
                    <w:jc w:val="center"/>
                    <w:rPr>
                      <w:rFonts w:hint="default" w:ascii="Times New Roman" w:cs="Times New Roman" w:hAnsiTheme="minorEastAsia" w:eastAsiaTheme="minorEastAsia"/>
                      <w:color w:val="000000"/>
                      <w:kern w:val="2"/>
                      <w:sz w:val="21"/>
                      <w:szCs w:val="21"/>
                      <w:lang w:val="en-US"/>
                    </w:rPr>
                  </w:pPr>
                  <w:r>
                    <w:rPr>
                      <w:rFonts w:hint="eastAsia" w:ascii="宋体" w:hAnsi="Times New Roman" w:cs="Times New Roman"/>
                      <w:color w:val="000000"/>
                      <w:kern w:val="2"/>
                      <w:sz w:val="21"/>
                      <w:szCs w:val="21"/>
                      <w:lang w:val="en-US" w:eastAsia="zh-CN" w:bidi="ar-SA"/>
                    </w:rPr>
                    <w:t>49.1</w:t>
                  </w:r>
                </w:p>
              </w:tc>
              <w:tc>
                <w:tcPr>
                  <w:tcW w:w="1455"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restart"/>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lang w:eastAsia="zh-CN"/>
                    </w:rPr>
                  </w:pPr>
                  <w:r>
                    <w:rPr>
                      <w:rFonts w:ascii="Times New Roman" w:cs="Times New Roman" w:hAnsiTheme="minorEastAsia" w:eastAsiaTheme="minorEastAsia"/>
                      <w:color w:val="000000"/>
                      <w:kern w:val="2"/>
                      <w:sz w:val="21"/>
                      <w:szCs w:val="21"/>
                    </w:rPr>
                    <w:t>厂界西侧</w:t>
                  </w:r>
                  <w:r>
                    <w:rPr>
                      <w:rFonts w:hint="eastAsia" w:ascii="宋体" w:hAnsi="宋体" w:eastAsia="宋体" w:cs="宋体"/>
                      <w:color w:val="000000"/>
                      <w:kern w:val="2"/>
                      <w:sz w:val="21"/>
                      <w:szCs w:val="21"/>
                      <w:lang w:val="en-US" w:eastAsia="zh-CN"/>
                    </w:rPr>
                    <w:t>(</w:t>
                  </w:r>
                  <w:r>
                    <w:rPr>
                      <w:rFonts w:ascii="Times New Roman" w:cs="Times New Roman" w:hAnsiTheme="minorEastAsia" w:eastAsiaTheme="minorEastAsia"/>
                      <w:color w:val="000000"/>
                      <w:kern w:val="2"/>
                      <w:sz w:val="21"/>
                      <w:szCs w:val="21"/>
                    </w:rPr>
                    <w:t>N03</w:t>
                  </w:r>
                  <w:r>
                    <w:rPr>
                      <w:rFonts w:hint="eastAsia" w:ascii="Times New Roman" w:cs="Times New Roman" w:hAnsiTheme="minorEastAsia" w:eastAsiaTheme="minorEastAsia"/>
                      <w:color w:val="000000"/>
                      <w:kern w:val="2"/>
                      <w:sz w:val="21"/>
                      <w:szCs w:val="21"/>
                      <w:lang w:eastAsia="zh-CN"/>
                    </w:rPr>
                    <w:t>）</w:t>
                  </w:r>
                </w:p>
              </w:tc>
              <w:tc>
                <w:tcPr>
                  <w:tcW w:w="2132" w:type="dxa"/>
                  <w:vAlign w:val="center"/>
                </w:tcPr>
                <w:p>
                  <w:pPr>
                    <w:keepNext w:val="0"/>
                    <w:keepLines w:val="0"/>
                    <w:widowControl/>
                    <w:suppressLineNumbers w:val="0"/>
                    <w:spacing w:before="0" w:beforeAutospacing="0" w:after="0" w:afterAutospacing="0"/>
                    <w:ind w:left="0" w:right="0"/>
                    <w:jc w:val="center"/>
                    <w:rPr>
                      <w:rFonts w:ascii="Times New Roman" w:cs="Times New Roman" w:hAnsiTheme="minorEastAsia" w:eastAsiaTheme="minorEastAsia"/>
                      <w:color w:val="000000"/>
                      <w:kern w:val="2"/>
                      <w:sz w:val="21"/>
                      <w:szCs w:val="21"/>
                    </w:rPr>
                  </w:pPr>
                  <w:r>
                    <w:rPr>
                      <w:rFonts w:hint="eastAsia" w:ascii="宋体"/>
                      <w:kern w:val="2"/>
                      <w:sz w:val="21"/>
                      <w:szCs w:val="21"/>
                      <w:lang w:val="en-US" w:eastAsia="zh-CN"/>
                    </w:rPr>
                    <w:t>2022/05/14 10:10</w:t>
                  </w:r>
                </w:p>
              </w:tc>
              <w:tc>
                <w:tcPr>
                  <w:tcW w:w="1959" w:type="dxa"/>
                  <w:vMerge w:val="restart"/>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lang w:val="en-US" w:eastAsia="zh-CN"/>
                    </w:rPr>
                  </w:pPr>
                  <w:r>
                    <w:rPr>
                      <w:rFonts w:hint="eastAsia" w:ascii="Times New Roman" w:cs="Times New Roman" w:hAnsiTheme="minorEastAsia" w:eastAsiaTheme="minorEastAsia"/>
                      <w:color w:val="000000"/>
                      <w:kern w:val="2"/>
                      <w:sz w:val="21"/>
                      <w:szCs w:val="21"/>
                      <w:lang w:val="en-US" w:eastAsia="zh-CN"/>
                    </w:rPr>
                    <w:t>设备噪声</w:t>
                  </w:r>
                </w:p>
              </w:tc>
              <w:tc>
                <w:tcPr>
                  <w:tcW w:w="1251" w:type="dxa"/>
                  <w:vAlign w:val="center"/>
                </w:tcPr>
                <w:p>
                  <w:pPr>
                    <w:keepNext w:val="0"/>
                    <w:keepLines w:val="0"/>
                    <w:widowControl/>
                    <w:suppressLineNumbers w:val="0"/>
                    <w:snapToGrid w:val="0"/>
                    <w:spacing w:before="0" w:beforeAutospacing="0" w:after="0" w:afterAutospacing="0" w:line="160" w:lineRule="atLeast"/>
                    <w:ind w:left="0" w:right="0"/>
                    <w:jc w:val="center"/>
                    <w:rPr>
                      <w:rFonts w:hint="default" w:ascii="Times New Roman" w:cs="Times New Roman" w:hAnsiTheme="minorEastAsia" w:eastAsiaTheme="minorEastAsia"/>
                      <w:color w:val="000000"/>
                      <w:kern w:val="2"/>
                      <w:sz w:val="21"/>
                      <w:szCs w:val="21"/>
                      <w:lang w:val="en-US"/>
                    </w:rPr>
                  </w:pPr>
                  <w:r>
                    <w:rPr>
                      <w:rFonts w:hint="eastAsia" w:ascii="宋体"/>
                      <w:color w:val="000000"/>
                      <w:kern w:val="2"/>
                      <w:sz w:val="21"/>
                      <w:szCs w:val="21"/>
                      <w:lang w:val="en-US" w:eastAsia="zh-CN"/>
                    </w:rPr>
                    <w:t>56.7</w:t>
                  </w:r>
                </w:p>
              </w:tc>
              <w:tc>
                <w:tcPr>
                  <w:tcW w:w="1455"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continue"/>
                  <w:vAlign w:val="center"/>
                </w:tcPr>
                <w:p>
                  <w:pPr>
                    <w:keepNext w:val="0"/>
                    <w:keepLines w:val="0"/>
                    <w:widowControl/>
                    <w:suppressLineNumbers w:val="0"/>
                    <w:spacing w:before="0" w:beforeAutospacing="0" w:after="0" w:afterAutospacing="0" w:line="240" w:lineRule="atLeast"/>
                    <w:ind w:left="0" w:right="0"/>
                    <w:jc w:val="center"/>
                    <w:rPr>
                      <w:rFonts w:ascii="Times New Roman" w:cs="Times New Roman" w:hAnsiTheme="minorEastAsia" w:eastAsiaTheme="minorEastAsia"/>
                      <w:color w:val="000000"/>
                      <w:kern w:val="2"/>
                      <w:sz w:val="21"/>
                      <w:szCs w:val="21"/>
                    </w:rPr>
                  </w:pPr>
                </w:p>
              </w:tc>
              <w:tc>
                <w:tcPr>
                  <w:tcW w:w="2132" w:type="dxa"/>
                  <w:vAlign w:val="center"/>
                </w:tcPr>
                <w:p>
                  <w:pPr>
                    <w:keepNext w:val="0"/>
                    <w:keepLines w:val="0"/>
                    <w:widowControl/>
                    <w:suppressLineNumbers w:val="0"/>
                    <w:spacing w:before="0" w:beforeAutospacing="0" w:after="0" w:afterAutospacing="0"/>
                    <w:ind w:left="0" w:right="0"/>
                    <w:jc w:val="center"/>
                    <w:rPr>
                      <w:rFonts w:hint="default" w:ascii="Times New Roman" w:cs="Times New Roman" w:hAnsiTheme="minorEastAsia" w:eastAsiaTheme="minorEastAsia"/>
                      <w:color w:val="000000"/>
                      <w:kern w:val="2"/>
                      <w:sz w:val="21"/>
                      <w:szCs w:val="21"/>
                      <w:lang w:val="en-US"/>
                    </w:rPr>
                  </w:pPr>
                  <w:r>
                    <w:rPr>
                      <w:rFonts w:hint="eastAsia" w:ascii="宋体"/>
                      <w:kern w:val="2"/>
                      <w:sz w:val="21"/>
                      <w:szCs w:val="21"/>
                      <w:lang w:val="en-US" w:eastAsia="zh-CN"/>
                    </w:rPr>
                    <w:t>2022/05/14 22:13</w:t>
                  </w:r>
                </w:p>
              </w:tc>
              <w:tc>
                <w:tcPr>
                  <w:tcW w:w="1959"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lang w:val="en-US" w:eastAsia="zh-CN"/>
                    </w:rPr>
                  </w:pPr>
                </w:p>
              </w:tc>
              <w:tc>
                <w:tcPr>
                  <w:tcW w:w="1251" w:type="dxa"/>
                  <w:vAlign w:val="center"/>
                </w:tcPr>
                <w:p>
                  <w:pPr>
                    <w:keepNext w:val="0"/>
                    <w:keepLines w:val="0"/>
                    <w:widowControl/>
                    <w:suppressLineNumbers w:val="0"/>
                    <w:snapToGrid w:val="0"/>
                    <w:spacing w:before="0" w:beforeAutospacing="0" w:after="0" w:afterAutospacing="0" w:line="160" w:lineRule="atLeast"/>
                    <w:ind w:left="0" w:right="0"/>
                    <w:jc w:val="center"/>
                    <w:rPr>
                      <w:rFonts w:hint="default" w:ascii="Times New Roman" w:cs="Times New Roman" w:hAnsiTheme="minorEastAsia" w:eastAsiaTheme="minorEastAsia"/>
                      <w:color w:val="000000"/>
                      <w:kern w:val="2"/>
                      <w:sz w:val="21"/>
                      <w:szCs w:val="21"/>
                      <w:lang w:val="en-US"/>
                    </w:rPr>
                  </w:pPr>
                  <w:r>
                    <w:rPr>
                      <w:rFonts w:hint="eastAsia" w:ascii="宋体" w:hAnsi="Times New Roman" w:cs="Times New Roman"/>
                      <w:color w:val="000000"/>
                      <w:kern w:val="2"/>
                      <w:sz w:val="21"/>
                      <w:szCs w:val="21"/>
                      <w:lang w:val="en-US" w:eastAsia="zh-CN" w:bidi="ar-SA"/>
                    </w:rPr>
                    <w:t>48.7</w:t>
                  </w:r>
                </w:p>
              </w:tc>
              <w:tc>
                <w:tcPr>
                  <w:tcW w:w="1455"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restart"/>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lang w:eastAsia="zh-CN"/>
                    </w:rPr>
                  </w:pPr>
                  <w:r>
                    <w:rPr>
                      <w:rFonts w:ascii="Times New Roman" w:cs="Times New Roman" w:hAnsiTheme="minorEastAsia" w:eastAsiaTheme="minorEastAsia"/>
                      <w:color w:val="000000"/>
                      <w:kern w:val="2"/>
                      <w:sz w:val="21"/>
                      <w:szCs w:val="21"/>
                    </w:rPr>
                    <w:t>厂界北侧</w:t>
                  </w:r>
                  <w:r>
                    <w:rPr>
                      <w:rFonts w:hint="eastAsia" w:ascii="Times New Roman" w:cs="Times New Roman" w:hAnsiTheme="minorEastAsia" w:eastAsiaTheme="minorEastAsia"/>
                      <w:color w:val="000000"/>
                      <w:kern w:val="2"/>
                      <w:sz w:val="21"/>
                      <w:szCs w:val="21"/>
                      <w:lang w:eastAsia="zh-CN"/>
                    </w:rPr>
                    <w:t>（</w:t>
                  </w:r>
                  <w:r>
                    <w:rPr>
                      <w:rFonts w:ascii="Times New Roman" w:cs="Times New Roman" w:hAnsiTheme="minorEastAsia" w:eastAsiaTheme="minorEastAsia"/>
                      <w:color w:val="000000"/>
                      <w:kern w:val="2"/>
                      <w:sz w:val="21"/>
                      <w:szCs w:val="21"/>
                    </w:rPr>
                    <w:t>N04</w:t>
                  </w:r>
                  <w:r>
                    <w:rPr>
                      <w:rFonts w:hint="eastAsia" w:ascii="Times New Roman" w:cs="Times New Roman" w:hAnsiTheme="minorEastAsia" w:eastAsiaTheme="minorEastAsia"/>
                      <w:color w:val="000000"/>
                      <w:kern w:val="2"/>
                      <w:sz w:val="21"/>
                      <w:szCs w:val="21"/>
                      <w:lang w:eastAsia="zh-CN"/>
                    </w:rPr>
                    <w:t>）</w:t>
                  </w:r>
                </w:p>
              </w:tc>
              <w:tc>
                <w:tcPr>
                  <w:tcW w:w="2132" w:type="dxa"/>
                  <w:vAlign w:val="center"/>
                </w:tcPr>
                <w:p>
                  <w:pPr>
                    <w:keepNext w:val="0"/>
                    <w:keepLines w:val="0"/>
                    <w:widowControl/>
                    <w:suppressLineNumbers w:val="0"/>
                    <w:spacing w:before="0" w:beforeAutospacing="0" w:after="0" w:afterAutospacing="0"/>
                    <w:ind w:left="0" w:right="0"/>
                    <w:jc w:val="center"/>
                    <w:rPr>
                      <w:rFonts w:hint="default" w:ascii="Times New Roman" w:cs="Times New Roman" w:hAnsiTheme="minorEastAsia" w:eastAsiaTheme="minorEastAsia"/>
                      <w:color w:val="000000"/>
                      <w:kern w:val="2"/>
                      <w:sz w:val="21"/>
                      <w:szCs w:val="21"/>
                      <w:lang w:val="en-US"/>
                    </w:rPr>
                  </w:pPr>
                  <w:r>
                    <w:rPr>
                      <w:rFonts w:hint="eastAsia" w:ascii="宋体"/>
                      <w:kern w:val="2"/>
                      <w:sz w:val="21"/>
                      <w:szCs w:val="21"/>
                      <w:lang w:val="en-US" w:eastAsia="zh-CN"/>
                    </w:rPr>
                    <w:t>2022/05/14 10:14</w:t>
                  </w:r>
                </w:p>
              </w:tc>
              <w:tc>
                <w:tcPr>
                  <w:tcW w:w="1959" w:type="dxa"/>
                  <w:vMerge w:val="restart"/>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lang w:val="en-US" w:eastAsia="zh-CN"/>
                    </w:rPr>
                  </w:pPr>
                  <w:r>
                    <w:rPr>
                      <w:rFonts w:hint="eastAsia" w:ascii="Times New Roman" w:cs="Times New Roman" w:hAnsiTheme="minorEastAsia" w:eastAsiaTheme="minorEastAsia"/>
                      <w:color w:val="000000"/>
                      <w:kern w:val="2"/>
                      <w:sz w:val="21"/>
                      <w:szCs w:val="21"/>
                      <w:lang w:val="en-US" w:eastAsia="zh-CN"/>
                    </w:rPr>
                    <w:t>交通噪声</w:t>
                  </w:r>
                </w:p>
              </w:tc>
              <w:tc>
                <w:tcPr>
                  <w:tcW w:w="1251" w:type="dxa"/>
                  <w:vAlign w:val="center"/>
                </w:tcPr>
                <w:p>
                  <w:pPr>
                    <w:keepNext w:val="0"/>
                    <w:keepLines w:val="0"/>
                    <w:widowControl/>
                    <w:suppressLineNumbers w:val="0"/>
                    <w:snapToGrid w:val="0"/>
                    <w:spacing w:before="0" w:beforeAutospacing="0" w:after="0" w:afterAutospacing="0" w:line="160" w:lineRule="atLeast"/>
                    <w:ind w:left="0" w:right="0"/>
                    <w:jc w:val="center"/>
                    <w:rPr>
                      <w:rFonts w:hint="default" w:ascii="Times New Roman" w:cs="Times New Roman" w:hAnsiTheme="minorEastAsia" w:eastAsiaTheme="minorEastAsia"/>
                      <w:color w:val="000000"/>
                      <w:kern w:val="2"/>
                      <w:sz w:val="21"/>
                      <w:szCs w:val="21"/>
                      <w:lang w:val="en-US"/>
                    </w:rPr>
                  </w:pPr>
                  <w:r>
                    <w:rPr>
                      <w:rFonts w:hint="eastAsia" w:ascii="宋体"/>
                      <w:color w:val="000000"/>
                      <w:kern w:val="2"/>
                      <w:sz w:val="21"/>
                      <w:szCs w:val="21"/>
                      <w:lang w:val="en-US" w:eastAsia="zh-CN"/>
                    </w:rPr>
                    <w:t>57.0</w:t>
                  </w:r>
                </w:p>
              </w:tc>
              <w:tc>
                <w:tcPr>
                  <w:tcW w:w="1455"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08" w:type="dxa"/>
                  <w:vMerge w:val="continue"/>
                  <w:vAlign w:val="center"/>
                </w:tcPr>
                <w:p>
                  <w:pPr>
                    <w:keepNext w:val="0"/>
                    <w:keepLines w:val="0"/>
                    <w:widowControl/>
                    <w:suppressLineNumbers w:val="0"/>
                    <w:spacing w:before="0" w:beforeAutospacing="0" w:after="0" w:afterAutospacing="0" w:line="240" w:lineRule="atLeast"/>
                    <w:ind w:left="0" w:right="0"/>
                    <w:jc w:val="center"/>
                    <w:rPr>
                      <w:rFonts w:ascii="Times New Roman" w:cs="Times New Roman" w:hAnsiTheme="minorEastAsia" w:eastAsiaTheme="minorEastAsia"/>
                      <w:color w:val="000000"/>
                      <w:kern w:val="2"/>
                      <w:sz w:val="21"/>
                      <w:szCs w:val="21"/>
                    </w:rPr>
                  </w:pPr>
                </w:p>
              </w:tc>
              <w:tc>
                <w:tcPr>
                  <w:tcW w:w="2132" w:type="dxa"/>
                  <w:vAlign w:val="center"/>
                </w:tcPr>
                <w:p>
                  <w:pPr>
                    <w:keepNext w:val="0"/>
                    <w:keepLines w:val="0"/>
                    <w:widowControl/>
                    <w:suppressLineNumbers w:val="0"/>
                    <w:spacing w:before="0" w:beforeAutospacing="0" w:after="0" w:afterAutospacing="0"/>
                    <w:ind w:left="0" w:right="0"/>
                    <w:jc w:val="center"/>
                    <w:rPr>
                      <w:rFonts w:hint="eastAsia" w:ascii="Times New Roman" w:cs="Times New Roman" w:hAnsiTheme="minorEastAsia" w:eastAsiaTheme="minorEastAsia"/>
                      <w:color w:val="000000"/>
                      <w:kern w:val="2"/>
                      <w:sz w:val="21"/>
                      <w:szCs w:val="21"/>
                    </w:rPr>
                  </w:pPr>
                  <w:r>
                    <w:rPr>
                      <w:rFonts w:hint="eastAsia" w:ascii="宋体"/>
                      <w:kern w:val="2"/>
                      <w:sz w:val="21"/>
                      <w:szCs w:val="21"/>
                      <w:lang w:val="en-US" w:eastAsia="zh-CN"/>
                    </w:rPr>
                    <w:t>2022/05/14 22:17</w:t>
                  </w:r>
                </w:p>
              </w:tc>
              <w:tc>
                <w:tcPr>
                  <w:tcW w:w="1959"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p>
              </w:tc>
              <w:tc>
                <w:tcPr>
                  <w:tcW w:w="1251" w:type="dxa"/>
                  <w:vAlign w:val="center"/>
                </w:tcPr>
                <w:p>
                  <w:pPr>
                    <w:keepNext w:val="0"/>
                    <w:keepLines w:val="0"/>
                    <w:widowControl/>
                    <w:suppressLineNumbers w:val="0"/>
                    <w:snapToGrid w:val="0"/>
                    <w:spacing w:before="0" w:beforeAutospacing="0" w:after="0" w:afterAutospacing="0" w:line="160" w:lineRule="atLeast"/>
                    <w:ind w:left="0" w:right="0"/>
                    <w:jc w:val="center"/>
                    <w:rPr>
                      <w:rFonts w:hint="default" w:ascii="Times New Roman" w:cs="Times New Roman" w:hAnsiTheme="minorEastAsia" w:eastAsiaTheme="minorEastAsia"/>
                      <w:color w:val="000000"/>
                      <w:kern w:val="2"/>
                      <w:sz w:val="21"/>
                      <w:szCs w:val="21"/>
                      <w:lang w:val="en-US"/>
                    </w:rPr>
                  </w:pPr>
                  <w:r>
                    <w:rPr>
                      <w:rFonts w:hint="eastAsia" w:ascii="宋体" w:hAnsi="Times New Roman" w:cs="Times New Roman"/>
                      <w:color w:val="000000"/>
                      <w:kern w:val="2"/>
                      <w:sz w:val="21"/>
                      <w:szCs w:val="21"/>
                      <w:lang w:val="en-US" w:eastAsia="zh-CN" w:bidi="ar-SA"/>
                    </w:rPr>
                    <w:t>48.6</w:t>
                  </w:r>
                </w:p>
              </w:tc>
              <w:tc>
                <w:tcPr>
                  <w:tcW w:w="1455" w:type="dxa"/>
                  <w:vMerge w:val="continue"/>
                  <w:vAlign w:val="center"/>
                </w:tcPr>
                <w:p>
                  <w:pPr>
                    <w:keepNext w:val="0"/>
                    <w:keepLines w:val="0"/>
                    <w:widowControl/>
                    <w:suppressLineNumbers w:val="0"/>
                    <w:spacing w:before="0" w:beforeAutospacing="0" w:after="0" w:afterAutospacing="0" w:line="240" w:lineRule="atLeast"/>
                    <w:ind w:left="0" w:right="0"/>
                    <w:jc w:val="center"/>
                    <w:rPr>
                      <w:rFonts w:hint="eastAsia" w:ascii="Times New Roman" w:cs="Times New Roman" w:hAnsiTheme="minorEastAsia" w:eastAsiaTheme="minorEastAsia"/>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05" w:type="dxa"/>
                  <w:gridSpan w:val="5"/>
                  <w:vAlign w:val="center"/>
                </w:tcPr>
                <w:p>
                  <w:pPr>
                    <w:keepNext w:val="0"/>
                    <w:keepLines w:val="0"/>
                    <w:widowControl/>
                    <w:suppressLineNumbers w:val="0"/>
                    <w:spacing w:before="0" w:beforeAutospacing="0" w:after="0" w:afterAutospacing="0" w:line="240" w:lineRule="atLeast"/>
                    <w:ind w:left="0" w:right="0"/>
                    <w:jc w:val="center"/>
                    <w:rPr>
                      <w:rFonts w:ascii="Times New Roman" w:cs="Times New Roman" w:hAnsiTheme="minorEastAsia" w:eastAsiaTheme="minorEastAsia"/>
                      <w:color w:val="000000"/>
                      <w:kern w:val="2"/>
                      <w:sz w:val="21"/>
                      <w:szCs w:val="21"/>
                    </w:rPr>
                  </w:pPr>
                  <w:r>
                    <w:rPr>
                      <w:rFonts w:hint="eastAsia" w:ascii="Times New Roman" w:cs="Times New Roman" w:hAnsiTheme="minorEastAsia" w:eastAsiaTheme="minorEastAsia"/>
                      <w:color w:val="000000"/>
                      <w:kern w:val="2"/>
                      <w:sz w:val="21"/>
                      <w:szCs w:val="21"/>
                    </w:rPr>
                    <w:t>备注：噪声限值来源于《工业企业厂界环境噪声排放标准》GB</w:t>
                  </w:r>
                  <w:r>
                    <w:rPr>
                      <w:rFonts w:hint="eastAsia" w:ascii="Times New Roman" w:cs="Times New Roman" w:hAnsiTheme="minorEastAsia" w:eastAsiaTheme="minorEastAsia"/>
                      <w:color w:val="000000"/>
                      <w:kern w:val="2"/>
                      <w:sz w:val="21"/>
                      <w:szCs w:val="21"/>
                      <w:lang w:val="en-US" w:eastAsia="zh-CN"/>
                    </w:rPr>
                    <w:t xml:space="preserve"> </w:t>
                  </w:r>
                  <w:r>
                    <w:rPr>
                      <w:rFonts w:hint="eastAsia" w:ascii="Times New Roman" w:cs="Times New Roman" w:hAnsiTheme="minorEastAsia" w:eastAsiaTheme="minorEastAsia"/>
                      <w:color w:val="000000"/>
                      <w:kern w:val="2"/>
                      <w:sz w:val="21"/>
                      <w:szCs w:val="21"/>
                    </w:rPr>
                    <w:t>12348-2008中</w:t>
                  </w:r>
                  <w:r>
                    <w:rPr>
                      <w:rFonts w:hint="eastAsia" w:ascii="Times New Roman" w:cs="Times New Roman" w:hAnsiTheme="minorEastAsia" w:eastAsiaTheme="minorEastAsia"/>
                      <w:color w:val="000000"/>
                      <w:kern w:val="2"/>
                      <w:sz w:val="21"/>
                      <w:szCs w:val="21"/>
                      <w:lang w:val="en-US" w:eastAsia="zh-CN"/>
                    </w:rPr>
                    <w:t>3</w:t>
                  </w:r>
                  <w:r>
                    <w:rPr>
                      <w:rFonts w:hint="eastAsia" w:ascii="Times New Roman" w:cs="Times New Roman" w:hAnsiTheme="minorEastAsia" w:eastAsiaTheme="minorEastAsia"/>
                      <w:color w:val="000000"/>
                      <w:kern w:val="2"/>
                      <w:sz w:val="21"/>
                      <w:szCs w:val="21"/>
                    </w:rPr>
                    <w:t>类标准</w:t>
                  </w:r>
                </w:p>
              </w:tc>
            </w:tr>
          </w:tbl>
          <w:p>
            <w:pPr>
              <w:spacing w:line="500" w:lineRule="exact"/>
              <w:ind w:firstLine="480" w:firstLineChars="200"/>
              <w:rPr>
                <w:bCs/>
                <w:sz w:val="24"/>
              </w:rPr>
            </w:pPr>
            <w:r>
              <w:rPr>
                <w:rFonts w:hAnsi="宋体"/>
                <w:sz w:val="24"/>
              </w:rPr>
              <w:t>经监测数据表明，厂界各测点噪声排放能达到</w:t>
            </w:r>
            <w:r>
              <w:rPr>
                <w:rFonts w:hAnsi="宋体"/>
                <w:bCs/>
                <w:sz w:val="24"/>
              </w:rPr>
              <w:t>《工业企业厂界环境噪声排放标准》（</w:t>
            </w:r>
            <w:r>
              <w:rPr>
                <w:bCs/>
                <w:sz w:val="24"/>
              </w:rPr>
              <w:t>GB12348-2008</w:t>
            </w:r>
            <w:r>
              <w:rPr>
                <w:rFonts w:hAnsi="宋体"/>
                <w:bCs/>
                <w:sz w:val="24"/>
              </w:rPr>
              <w:t>）中的</w:t>
            </w:r>
            <w:r>
              <w:rPr>
                <w:bCs/>
                <w:sz w:val="24"/>
              </w:rPr>
              <w:t>3</w:t>
            </w:r>
            <w:r>
              <w:rPr>
                <w:rFonts w:hAnsi="宋体"/>
                <w:bCs/>
                <w:sz w:val="24"/>
              </w:rPr>
              <w:t>类标准，对周围环境影响较小。</w:t>
            </w:r>
          </w:p>
          <w:p>
            <w:pPr>
              <w:spacing w:line="500" w:lineRule="exact"/>
              <w:ind w:firstLine="480" w:firstLineChars="200"/>
              <w:rPr>
                <w:bCs/>
                <w:color w:val="auto"/>
                <w:sz w:val="24"/>
              </w:rPr>
            </w:pPr>
            <w:r>
              <w:rPr>
                <w:rFonts w:hAnsi="宋体"/>
                <w:bCs/>
                <w:color w:val="auto"/>
                <w:sz w:val="24"/>
              </w:rPr>
              <w:t>（</w:t>
            </w:r>
            <w:r>
              <w:rPr>
                <w:bCs/>
                <w:color w:val="auto"/>
                <w:sz w:val="24"/>
              </w:rPr>
              <w:t>7</w:t>
            </w:r>
            <w:r>
              <w:rPr>
                <w:rFonts w:hAnsi="宋体"/>
                <w:bCs/>
                <w:color w:val="auto"/>
                <w:sz w:val="24"/>
              </w:rPr>
              <w:t>）</w:t>
            </w:r>
            <w:r>
              <w:rPr>
                <w:rFonts w:hint="eastAsia" w:hAnsi="宋体"/>
                <w:bCs/>
                <w:color w:val="auto"/>
                <w:sz w:val="24"/>
              </w:rPr>
              <w:t>现有生产情况</w:t>
            </w:r>
            <w:r>
              <w:rPr>
                <w:rFonts w:hAnsi="宋体"/>
                <w:bCs/>
                <w:color w:val="auto"/>
                <w:sz w:val="24"/>
              </w:rPr>
              <w:t>总量控制指标</w:t>
            </w:r>
          </w:p>
          <w:p>
            <w:pPr>
              <w:spacing w:line="460" w:lineRule="exact"/>
              <w:jc w:val="center"/>
              <w:rPr>
                <w:b/>
                <w:color w:val="auto"/>
                <w:szCs w:val="21"/>
              </w:rPr>
            </w:pPr>
            <w:r>
              <w:rPr>
                <w:rFonts w:hAnsi="宋体"/>
                <w:b/>
                <w:color w:val="auto"/>
                <w:szCs w:val="21"/>
              </w:rPr>
              <w:t>表</w:t>
            </w:r>
            <w:r>
              <w:rPr>
                <w:b/>
                <w:color w:val="auto"/>
                <w:szCs w:val="21"/>
              </w:rPr>
              <w:t>2.4-</w:t>
            </w:r>
            <w:r>
              <w:rPr>
                <w:rFonts w:hint="eastAsia"/>
                <w:b/>
                <w:color w:val="auto"/>
                <w:szCs w:val="21"/>
                <w:lang w:val="en-US" w:eastAsia="zh-CN"/>
              </w:rPr>
              <w:t>8</w:t>
            </w:r>
            <w:r>
              <w:rPr>
                <w:b/>
                <w:color w:val="auto"/>
                <w:szCs w:val="21"/>
              </w:rPr>
              <w:t xml:space="preserve">  </w:t>
            </w:r>
            <w:r>
              <w:rPr>
                <w:rFonts w:hint="eastAsia"/>
                <w:b/>
                <w:color w:val="auto"/>
                <w:szCs w:val="21"/>
              </w:rPr>
              <w:t>现有生产情况</w:t>
            </w:r>
            <w:r>
              <w:rPr>
                <w:rFonts w:hAnsi="宋体"/>
                <w:b/>
                <w:color w:val="auto"/>
                <w:szCs w:val="21"/>
              </w:rPr>
              <w:t>总量控制指标</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3084"/>
              <w:gridCol w:w="3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vAlign w:val="center"/>
                </w:tcPr>
                <w:p>
                  <w:pPr>
                    <w:adjustRightInd w:val="0"/>
                    <w:snapToGrid w:val="0"/>
                    <w:jc w:val="center"/>
                    <w:rPr>
                      <w:bCs/>
                      <w:color w:val="auto"/>
                      <w:szCs w:val="21"/>
                    </w:rPr>
                  </w:pPr>
                  <w:r>
                    <w:rPr>
                      <w:rFonts w:hAnsi="宋体"/>
                      <w:bCs/>
                      <w:color w:val="auto"/>
                      <w:szCs w:val="21"/>
                    </w:rPr>
                    <w:t>类别</w:t>
                  </w:r>
                </w:p>
              </w:tc>
              <w:tc>
                <w:tcPr>
                  <w:tcW w:w="2154" w:type="dxa"/>
                  <w:vAlign w:val="center"/>
                </w:tcPr>
                <w:p>
                  <w:pPr>
                    <w:adjustRightInd w:val="0"/>
                    <w:snapToGrid w:val="0"/>
                    <w:jc w:val="center"/>
                    <w:rPr>
                      <w:bCs/>
                      <w:color w:val="auto"/>
                      <w:szCs w:val="21"/>
                    </w:rPr>
                  </w:pPr>
                  <w:r>
                    <w:rPr>
                      <w:rFonts w:hAnsi="宋体"/>
                      <w:bCs/>
                      <w:color w:val="auto"/>
                      <w:szCs w:val="21"/>
                    </w:rPr>
                    <w:t>总量控制指标名称</w:t>
                  </w:r>
                </w:p>
              </w:tc>
              <w:tc>
                <w:tcPr>
                  <w:tcW w:w="2478"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报批排放量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vMerge w:val="restart"/>
                  <w:vAlign w:val="center"/>
                </w:tcPr>
                <w:p>
                  <w:pPr>
                    <w:adjustRightInd w:val="0"/>
                    <w:snapToGrid w:val="0"/>
                    <w:jc w:val="center"/>
                    <w:rPr>
                      <w:bCs/>
                      <w:color w:val="auto"/>
                      <w:szCs w:val="21"/>
                    </w:rPr>
                  </w:pPr>
                  <w:r>
                    <w:rPr>
                      <w:rFonts w:hAnsi="宋体"/>
                      <w:bCs/>
                      <w:color w:val="auto"/>
                      <w:szCs w:val="21"/>
                    </w:rPr>
                    <w:t>废水</w:t>
                  </w:r>
                </w:p>
              </w:tc>
              <w:tc>
                <w:tcPr>
                  <w:tcW w:w="2154" w:type="dxa"/>
                  <w:vAlign w:val="center"/>
                </w:tcPr>
                <w:p>
                  <w:pPr>
                    <w:adjustRightInd w:val="0"/>
                    <w:snapToGrid w:val="0"/>
                    <w:jc w:val="center"/>
                    <w:rPr>
                      <w:bCs/>
                      <w:color w:val="auto"/>
                      <w:szCs w:val="21"/>
                    </w:rPr>
                  </w:pPr>
                  <w:r>
                    <w:rPr>
                      <w:rFonts w:hAnsi="宋体"/>
                      <w:bCs/>
                      <w:color w:val="auto"/>
                      <w:szCs w:val="21"/>
                    </w:rPr>
                    <w:t>废水量</w:t>
                  </w:r>
                </w:p>
              </w:tc>
              <w:tc>
                <w:tcPr>
                  <w:tcW w:w="2478" w:type="dxa"/>
                  <w:vAlign w:val="center"/>
                </w:tcPr>
                <w:p>
                  <w:pPr>
                    <w:jc w:val="center"/>
                    <w:rPr>
                      <w:rFonts w:hint="default" w:eastAsia="宋体"/>
                      <w:color w:val="auto"/>
                      <w:szCs w:val="21"/>
                      <w:lang w:val="en-US" w:eastAsia="zh-CN"/>
                    </w:rPr>
                  </w:pPr>
                  <w:r>
                    <w:rPr>
                      <w:rFonts w:hint="eastAsia"/>
                      <w:color w:val="auto"/>
                      <w:szCs w:val="21"/>
                      <w:lang w:val="en-US" w:eastAsia="zh-CN"/>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vMerge w:val="continue"/>
                  <w:vAlign w:val="center"/>
                </w:tcPr>
                <w:p>
                  <w:pPr>
                    <w:adjustRightInd w:val="0"/>
                    <w:snapToGrid w:val="0"/>
                    <w:jc w:val="center"/>
                    <w:rPr>
                      <w:bCs/>
                      <w:color w:val="auto"/>
                      <w:szCs w:val="21"/>
                    </w:rPr>
                  </w:pPr>
                </w:p>
              </w:tc>
              <w:tc>
                <w:tcPr>
                  <w:tcW w:w="2154" w:type="dxa"/>
                  <w:vAlign w:val="center"/>
                </w:tcPr>
                <w:p>
                  <w:pPr>
                    <w:adjustRightInd w:val="0"/>
                    <w:snapToGrid w:val="0"/>
                    <w:jc w:val="center"/>
                    <w:rPr>
                      <w:bCs/>
                      <w:color w:val="auto"/>
                      <w:szCs w:val="21"/>
                    </w:rPr>
                  </w:pPr>
                  <w:r>
                    <w:rPr>
                      <w:bCs/>
                      <w:color w:val="auto"/>
                      <w:szCs w:val="21"/>
                    </w:rPr>
                    <w:t>COD</w:t>
                  </w:r>
                  <w:r>
                    <w:rPr>
                      <w:bCs/>
                      <w:color w:val="auto"/>
                      <w:szCs w:val="21"/>
                      <w:vertAlign w:val="subscript"/>
                    </w:rPr>
                    <w:t>Cr</w:t>
                  </w:r>
                </w:p>
              </w:tc>
              <w:tc>
                <w:tcPr>
                  <w:tcW w:w="2478" w:type="dxa"/>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vMerge w:val="continue"/>
                  <w:vAlign w:val="center"/>
                </w:tcPr>
                <w:p>
                  <w:pPr>
                    <w:adjustRightInd w:val="0"/>
                    <w:snapToGrid w:val="0"/>
                    <w:jc w:val="center"/>
                    <w:rPr>
                      <w:bCs/>
                      <w:color w:val="auto"/>
                      <w:szCs w:val="21"/>
                    </w:rPr>
                  </w:pPr>
                </w:p>
              </w:tc>
              <w:tc>
                <w:tcPr>
                  <w:tcW w:w="2154" w:type="dxa"/>
                  <w:vAlign w:val="center"/>
                </w:tcPr>
                <w:p>
                  <w:pPr>
                    <w:adjustRightInd w:val="0"/>
                    <w:snapToGrid w:val="0"/>
                    <w:jc w:val="center"/>
                    <w:rPr>
                      <w:bCs/>
                      <w:color w:val="auto"/>
                      <w:szCs w:val="21"/>
                    </w:rPr>
                  </w:pPr>
                  <w:r>
                    <w:rPr>
                      <w:bCs/>
                      <w:color w:val="auto"/>
                      <w:szCs w:val="21"/>
                    </w:rPr>
                    <w:t>NH</w:t>
                  </w:r>
                  <w:r>
                    <w:rPr>
                      <w:bCs/>
                      <w:color w:val="auto"/>
                      <w:szCs w:val="21"/>
                      <w:vertAlign w:val="subscript"/>
                    </w:rPr>
                    <w:t>3</w:t>
                  </w:r>
                  <w:r>
                    <w:rPr>
                      <w:bCs/>
                      <w:color w:val="auto"/>
                      <w:szCs w:val="21"/>
                    </w:rPr>
                    <w:t>-N</w:t>
                  </w:r>
                </w:p>
              </w:tc>
              <w:tc>
                <w:tcPr>
                  <w:tcW w:w="2478" w:type="dxa"/>
                  <w:vAlign w:val="center"/>
                </w:tcPr>
                <w:p>
                  <w:pPr>
                    <w:jc w:val="center"/>
                    <w:rPr>
                      <w:rFonts w:hint="default" w:eastAsia="宋体"/>
                      <w:color w:val="auto"/>
                      <w:szCs w:val="21"/>
                      <w:lang w:val="en-US" w:eastAsia="zh-CN"/>
                    </w:rPr>
                  </w:pPr>
                  <w:r>
                    <w:rPr>
                      <w:rFonts w:hint="eastAsia"/>
                      <w:color w:val="auto"/>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废气</w:t>
                  </w:r>
                </w:p>
              </w:tc>
              <w:tc>
                <w:tcPr>
                  <w:tcW w:w="2154" w:type="dxa"/>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VOCs</w:t>
                  </w:r>
                </w:p>
              </w:tc>
              <w:tc>
                <w:tcPr>
                  <w:tcW w:w="2478" w:type="dxa"/>
                  <w:vAlign w:val="center"/>
                </w:tcPr>
                <w:p>
                  <w:pPr>
                    <w:jc w:val="center"/>
                    <w:rPr>
                      <w:rFonts w:hint="eastAsia" w:eastAsia="宋体"/>
                      <w:color w:val="auto"/>
                      <w:szCs w:val="21"/>
                      <w:lang w:val="en-US" w:eastAsia="zh-CN"/>
                    </w:rPr>
                  </w:pPr>
                  <w:r>
                    <w:rPr>
                      <w:rFonts w:hint="eastAsia"/>
                      <w:color w:val="auto"/>
                      <w:szCs w:val="21"/>
                      <w:lang w:val="en-US" w:eastAsia="zh-CN"/>
                    </w:rPr>
                    <w:t>/</w:t>
                  </w:r>
                </w:p>
              </w:tc>
            </w:tr>
          </w:tbl>
          <w:p>
            <w:pPr>
              <w:adjustRightInd w:val="0"/>
              <w:spacing w:line="500" w:lineRule="exact"/>
              <w:contextualSpacing/>
              <w:rPr>
                <w:rFonts w:hint="eastAsia"/>
                <w:b/>
                <w:color w:val="auto"/>
                <w:sz w:val="24"/>
                <w:lang w:val="en-US" w:eastAsia="zh-CN"/>
              </w:rPr>
            </w:pPr>
            <w:r>
              <w:rPr>
                <w:rFonts w:hint="eastAsia"/>
                <w:b/>
                <w:color w:val="auto"/>
                <w:sz w:val="24"/>
                <w:lang w:val="en-US" w:eastAsia="zh-CN"/>
              </w:rPr>
              <w:t>2.4.2 结论</w:t>
            </w:r>
          </w:p>
          <w:p>
            <w:pPr>
              <w:spacing w:line="500" w:lineRule="exact"/>
              <w:ind w:firstLine="480" w:firstLineChars="200"/>
              <w:rPr>
                <w:rFonts w:hint="default" w:hAnsi="宋体"/>
                <w:color w:val="auto"/>
                <w:sz w:val="24"/>
                <w:lang w:val="en-US" w:eastAsia="zh-CN"/>
              </w:rPr>
            </w:pPr>
            <w:r>
              <w:rPr>
                <w:rFonts w:hint="eastAsia" w:hAnsi="宋体"/>
                <w:color w:val="auto"/>
                <w:sz w:val="24"/>
              </w:rPr>
              <w:t>根据</w:t>
            </w:r>
            <w:r>
              <w:rPr>
                <w:rFonts w:hint="eastAsia" w:hAnsi="宋体"/>
                <w:color w:val="auto"/>
                <w:sz w:val="24"/>
                <w:lang w:eastAsia="zh-CN"/>
              </w:rPr>
              <w:t>长兴钱宇纺织有限公司</w:t>
            </w:r>
            <w:r>
              <w:rPr>
                <w:rFonts w:hint="eastAsia" w:hAnsi="宋体"/>
                <w:color w:val="auto"/>
                <w:sz w:val="24"/>
              </w:rPr>
              <w:t>现有生产情况废气、废水、噪声等污染物排放监测可知，</w:t>
            </w:r>
            <w:r>
              <w:rPr>
                <w:rFonts w:hint="eastAsia" w:hAnsi="宋体"/>
                <w:color w:val="auto"/>
                <w:sz w:val="24"/>
                <w:lang w:val="en-GB"/>
              </w:rPr>
              <w:t>生活污水经预处理后</w:t>
            </w:r>
            <w:r>
              <w:rPr>
                <w:rFonts w:hint="eastAsia" w:hAnsi="宋体"/>
                <w:color w:val="auto"/>
                <w:sz w:val="24"/>
                <w:lang w:val="en-GB" w:eastAsia="zh-CN"/>
              </w:rPr>
              <w:t>达标</w:t>
            </w:r>
            <w:r>
              <w:rPr>
                <w:rFonts w:hint="eastAsia" w:hAnsi="宋体"/>
                <w:color w:val="auto"/>
                <w:sz w:val="24"/>
                <w:lang w:val="en-GB"/>
              </w:rPr>
              <w:t>排放，废气和噪声能做到达标排放，固废不排放，对周围环境影响不大。</w:t>
            </w:r>
          </w:p>
          <w:p>
            <w:pPr>
              <w:adjustRightInd w:val="0"/>
              <w:spacing w:line="500" w:lineRule="exact"/>
              <w:contextualSpacing/>
              <w:rPr>
                <w:b/>
                <w:color w:val="auto"/>
                <w:sz w:val="24"/>
              </w:rPr>
            </w:pPr>
            <w:r>
              <w:rPr>
                <w:b/>
                <w:color w:val="auto"/>
                <w:sz w:val="24"/>
              </w:rPr>
              <w:t>2.4.</w:t>
            </w:r>
            <w:r>
              <w:rPr>
                <w:rFonts w:hint="eastAsia"/>
                <w:b/>
                <w:color w:val="auto"/>
                <w:sz w:val="24"/>
                <w:lang w:val="en-US" w:eastAsia="zh-CN"/>
              </w:rPr>
              <w:t>3</w:t>
            </w:r>
            <w:r>
              <w:rPr>
                <w:b/>
                <w:color w:val="auto"/>
                <w:sz w:val="24"/>
              </w:rPr>
              <w:t xml:space="preserve"> </w:t>
            </w:r>
            <w:r>
              <w:rPr>
                <w:rFonts w:hAnsi="宋体"/>
                <w:b/>
                <w:color w:val="auto"/>
                <w:sz w:val="24"/>
                <w:highlight w:val="none"/>
              </w:rPr>
              <w:t>与项目有关的主要环境问题和整改措施</w:t>
            </w:r>
          </w:p>
          <w:p>
            <w:pPr>
              <w:spacing w:line="500" w:lineRule="exact"/>
              <w:ind w:firstLine="480" w:firstLineChars="200"/>
              <w:rPr>
                <w:rFonts w:hint="eastAsia" w:hAnsi="宋体" w:eastAsia="宋体"/>
                <w:color w:val="auto"/>
                <w:sz w:val="24"/>
                <w:lang w:val="en-GB" w:eastAsia="zh-CN"/>
              </w:rPr>
            </w:pPr>
            <w:r>
              <w:rPr>
                <w:rFonts w:hint="eastAsia" w:hAnsi="宋体"/>
                <w:color w:val="auto"/>
                <w:sz w:val="24"/>
                <w:lang w:val="en-GB" w:eastAsia="zh-CN"/>
              </w:rPr>
              <w:t>（</w:t>
            </w:r>
            <w:r>
              <w:rPr>
                <w:rFonts w:hint="eastAsia" w:hAnsi="宋体"/>
                <w:color w:val="auto"/>
                <w:sz w:val="24"/>
                <w:lang w:val="en-US" w:eastAsia="zh-CN"/>
              </w:rPr>
              <w:t>1</w:t>
            </w:r>
            <w:r>
              <w:rPr>
                <w:rFonts w:hint="eastAsia" w:hAnsi="宋体"/>
                <w:color w:val="auto"/>
                <w:sz w:val="24"/>
                <w:lang w:val="en-GB" w:eastAsia="zh-CN"/>
              </w:rPr>
              <w:t>）存在问题</w:t>
            </w:r>
          </w:p>
          <w:p>
            <w:pPr>
              <w:spacing w:line="500" w:lineRule="exact"/>
              <w:ind w:firstLine="480" w:firstLineChars="200"/>
              <w:rPr>
                <w:rFonts w:hint="eastAsia" w:hAnsi="宋体" w:eastAsia="宋体"/>
                <w:color w:val="auto"/>
                <w:sz w:val="24"/>
                <w:lang w:val="en-GB" w:eastAsia="zh-CN"/>
              </w:rPr>
            </w:pPr>
            <w:r>
              <w:rPr>
                <w:rFonts w:hint="eastAsia" w:hAnsi="宋体"/>
                <w:color w:val="auto"/>
                <w:sz w:val="24"/>
                <w:lang w:val="en-US" w:eastAsia="zh-CN"/>
              </w:rPr>
              <w:t>a）目前加弹机未安装废气污染防治措施</w:t>
            </w:r>
            <w:r>
              <w:rPr>
                <w:rFonts w:hint="eastAsia"/>
                <w:bCs/>
                <w:color w:val="auto"/>
                <w:sz w:val="24"/>
                <w:vertAlign w:val="baseline"/>
                <w:lang w:val="en-US" w:eastAsia="zh-CN"/>
              </w:rPr>
              <w:t>。</w:t>
            </w:r>
          </w:p>
          <w:p>
            <w:pPr>
              <w:spacing w:line="500" w:lineRule="exact"/>
              <w:ind w:firstLine="480" w:firstLineChars="200"/>
              <w:rPr>
                <w:rFonts w:hint="default" w:hAnsi="宋体" w:eastAsia="宋体"/>
                <w:color w:val="auto"/>
                <w:sz w:val="24"/>
                <w:lang w:val="en-US" w:eastAsia="zh-CN"/>
              </w:rPr>
            </w:pPr>
            <w:r>
              <w:rPr>
                <w:rFonts w:hint="eastAsia" w:hAnsi="宋体"/>
                <w:color w:val="auto"/>
                <w:sz w:val="24"/>
                <w:lang w:val="en-US" w:eastAsia="zh-CN"/>
              </w:rPr>
              <w:t>b</w:t>
            </w:r>
            <w:r>
              <w:rPr>
                <w:rFonts w:hint="eastAsia" w:hAnsi="宋体"/>
                <w:color w:val="auto"/>
                <w:sz w:val="24"/>
                <w:lang w:val="en-GB" w:eastAsia="zh-CN"/>
              </w:rPr>
              <w:t>）企业日常生产管理上还有所欠缺，设备日常维护的情况极少。</w:t>
            </w:r>
          </w:p>
          <w:p>
            <w:pPr>
              <w:spacing w:line="500" w:lineRule="exact"/>
              <w:ind w:firstLine="480" w:firstLineChars="200"/>
              <w:rPr>
                <w:rFonts w:hint="eastAsia" w:hAnsi="宋体"/>
                <w:color w:val="auto"/>
                <w:sz w:val="24"/>
                <w:lang w:val="en-GB" w:eastAsia="zh-CN"/>
              </w:rPr>
            </w:pPr>
            <w:r>
              <w:rPr>
                <w:rFonts w:hint="eastAsia" w:hAnsi="宋体"/>
                <w:color w:val="auto"/>
                <w:sz w:val="24"/>
                <w:lang w:val="en-GB" w:eastAsia="zh-CN"/>
              </w:rPr>
              <w:t>（</w:t>
            </w:r>
            <w:r>
              <w:rPr>
                <w:rFonts w:hint="eastAsia" w:hAnsi="宋体"/>
                <w:color w:val="auto"/>
                <w:sz w:val="24"/>
                <w:lang w:val="en-US" w:eastAsia="zh-CN"/>
              </w:rPr>
              <w:t>2</w:t>
            </w:r>
            <w:r>
              <w:rPr>
                <w:rFonts w:hint="eastAsia" w:hAnsi="宋体"/>
                <w:color w:val="auto"/>
                <w:sz w:val="24"/>
                <w:lang w:val="en-GB" w:eastAsia="zh-CN"/>
              </w:rPr>
              <w:t>）整改措施</w:t>
            </w:r>
          </w:p>
          <w:p>
            <w:pPr>
              <w:spacing w:line="500" w:lineRule="exact"/>
              <w:ind w:firstLine="480" w:firstLineChars="200"/>
              <w:rPr>
                <w:rFonts w:hAnsi="宋体"/>
                <w:color w:val="auto"/>
                <w:sz w:val="24"/>
              </w:rPr>
            </w:pPr>
            <w:r>
              <w:rPr>
                <w:rFonts w:hint="eastAsia" w:hAnsi="宋体"/>
                <w:color w:val="auto"/>
                <w:sz w:val="24"/>
                <w:lang w:val="en-US" w:eastAsia="zh-CN"/>
              </w:rPr>
              <w:t>a</w:t>
            </w:r>
            <w:r>
              <w:rPr>
                <w:rFonts w:hAnsi="宋体"/>
                <w:color w:val="auto"/>
                <w:sz w:val="24"/>
              </w:rPr>
              <w:t>）</w:t>
            </w:r>
            <w:r>
              <w:rPr>
                <w:rFonts w:hint="eastAsia" w:hAnsi="宋体"/>
                <w:color w:val="auto"/>
                <w:sz w:val="24"/>
                <w:lang w:eastAsia="zh-CN"/>
              </w:rPr>
              <w:t>本次评价</w:t>
            </w:r>
            <w:r>
              <w:rPr>
                <w:rFonts w:hint="eastAsia" w:hAnsi="宋体"/>
                <w:color w:val="auto"/>
                <w:sz w:val="24"/>
              </w:rPr>
              <w:t>要求对</w:t>
            </w:r>
            <w:r>
              <w:rPr>
                <w:rFonts w:hint="eastAsia" w:hAnsi="宋体"/>
                <w:color w:val="auto"/>
                <w:sz w:val="24"/>
                <w:lang w:eastAsia="zh-CN"/>
              </w:rPr>
              <w:t>加弹机配套冷却</w:t>
            </w:r>
            <w:r>
              <w:rPr>
                <w:rFonts w:hint="eastAsia" w:hAnsi="宋体"/>
                <w:color w:val="auto"/>
                <w:sz w:val="24"/>
                <w:lang w:val="en-US" w:eastAsia="zh-CN"/>
              </w:rPr>
              <w:t>+</w:t>
            </w:r>
            <w:r>
              <w:rPr>
                <w:rFonts w:hint="eastAsia" w:hAnsi="宋体"/>
                <w:color w:val="auto"/>
                <w:sz w:val="24"/>
                <w:lang w:eastAsia="zh-CN"/>
              </w:rPr>
              <w:t>水喷淋</w:t>
            </w:r>
            <w:r>
              <w:rPr>
                <w:rFonts w:hint="eastAsia" w:hAnsi="宋体"/>
                <w:color w:val="auto"/>
                <w:sz w:val="24"/>
                <w:lang w:val="en-US" w:eastAsia="zh-CN"/>
              </w:rPr>
              <w:t>+静电</w:t>
            </w:r>
            <w:r>
              <w:rPr>
                <w:rFonts w:hAnsi="宋体"/>
                <w:color w:val="auto"/>
                <w:sz w:val="24"/>
              </w:rPr>
              <w:t>油烟净化装置进行处理后，</w:t>
            </w:r>
            <w:r>
              <w:rPr>
                <w:rFonts w:hint="eastAsia" w:hAnsi="宋体"/>
                <w:color w:val="auto"/>
                <w:sz w:val="24"/>
                <w:lang w:eastAsia="zh-CN"/>
              </w:rPr>
              <w:t>加弹废气经处理后通过</w:t>
            </w:r>
            <w:r>
              <w:rPr>
                <w:rFonts w:hint="eastAsia" w:hAnsi="宋体"/>
                <w:color w:val="auto"/>
                <w:sz w:val="24"/>
                <w:lang w:val="en-US" w:eastAsia="zh-CN"/>
              </w:rPr>
              <w:t>20m高排气筒高空排放</w:t>
            </w:r>
            <w:r>
              <w:rPr>
                <w:rFonts w:hint="eastAsia" w:hAnsi="宋体"/>
                <w:color w:val="auto"/>
                <w:sz w:val="24"/>
              </w:rPr>
              <w:t>，达到</w:t>
            </w:r>
            <w:r>
              <w:rPr>
                <w:rFonts w:ascii="Times New Roman" w:hAnsi="Times New Roman" w:eastAsia="宋体" w:cs="Times New Roman"/>
                <w:color w:val="auto"/>
                <w:sz w:val="24"/>
              </w:rPr>
              <w:t>《大气污染物综合排放标准》（GB16297-1996）中的新污染源二级标准</w:t>
            </w:r>
            <w:r>
              <w:rPr>
                <w:rFonts w:hint="eastAsia" w:hAnsi="宋体"/>
                <w:color w:val="auto"/>
                <w:sz w:val="24"/>
              </w:rPr>
              <w:t>。</w:t>
            </w:r>
          </w:p>
          <w:p>
            <w:pPr>
              <w:spacing w:line="500" w:lineRule="exact"/>
              <w:ind w:firstLine="480" w:firstLineChars="200"/>
              <w:rPr>
                <w:color w:val="auto"/>
                <w:sz w:val="24"/>
                <w:lang w:val="en-GB"/>
              </w:rPr>
            </w:pPr>
            <w:r>
              <w:rPr>
                <w:rFonts w:hint="eastAsia" w:hAnsi="宋体"/>
                <w:color w:val="auto"/>
                <w:sz w:val="24"/>
                <w:lang w:val="en-US" w:eastAsia="zh-CN"/>
              </w:rPr>
              <w:t>d</w:t>
            </w:r>
            <w:r>
              <w:rPr>
                <w:rFonts w:hint="eastAsia" w:hAnsi="宋体"/>
                <w:color w:val="auto"/>
                <w:sz w:val="24"/>
                <w:lang w:val="en-GB"/>
              </w:rPr>
              <w:t>）</w:t>
            </w:r>
            <w:r>
              <w:rPr>
                <w:rFonts w:hint="eastAsia" w:hAnsi="宋体"/>
                <w:color w:val="auto"/>
                <w:sz w:val="24"/>
                <w:lang w:val="en-GB" w:eastAsia="zh-CN"/>
              </w:rPr>
              <w:t>要求企业</w:t>
            </w:r>
            <w:r>
              <w:rPr>
                <w:rFonts w:hAnsi="宋体"/>
                <w:color w:val="auto"/>
                <w:sz w:val="24"/>
                <w:lang w:val="en-GB"/>
              </w:rPr>
              <w:t>进一步加强生产管理和设备维护保养，加强工人的生产操作管理，减少或降低人为噪声的产生。</w:t>
            </w:r>
          </w:p>
          <w:p>
            <w:pPr>
              <w:spacing w:line="500" w:lineRule="exact"/>
              <w:ind w:firstLine="480" w:firstLineChars="200"/>
              <w:rPr>
                <w:color w:val="auto"/>
                <w:sz w:val="24"/>
                <w:lang w:val="en-GB"/>
              </w:rPr>
            </w:pPr>
            <w:r>
              <w:rPr>
                <w:rFonts w:hAnsi="宋体"/>
                <w:color w:val="auto"/>
                <w:sz w:val="24"/>
                <w:lang w:val="en-GB"/>
              </w:rPr>
              <w:t>整改提升后</w:t>
            </w:r>
            <w:r>
              <w:rPr>
                <w:rFonts w:hint="eastAsia" w:hAnsi="宋体"/>
                <w:color w:val="auto"/>
                <w:sz w:val="24"/>
                <w:lang w:val="en-GB"/>
              </w:rPr>
              <w:t>，企业全厂</w:t>
            </w:r>
            <w:r>
              <w:rPr>
                <w:rFonts w:hAnsi="宋体"/>
                <w:color w:val="auto"/>
                <w:sz w:val="24"/>
                <w:lang w:val="en-GB"/>
              </w:rPr>
              <w:t>的污源强见</w:t>
            </w:r>
            <w:r>
              <w:rPr>
                <w:rFonts w:hint="eastAsia" w:hAnsi="宋体"/>
                <w:color w:val="auto"/>
                <w:sz w:val="24"/>
                <w:lang w:val="en-GB"/>
              </w:rPr>
              <w:t>第四章节</w:t>
            </w:r>
            <w:r>
              <w:rPr>
                <w:rFonts w:hAnsi="宋体"/>
                <w:color w:val="auto"/>
                <w:sz w:val="24"/>
                <w:lang w:val="en-GB"/>
              </w:rPr>
              <w:t>。</w:t>
            </w:r>
          </w:p>
          <w:p>
            <w:pPr>
              <w:pStyle w:val="39"/>
              <w:ind w:firstLine="482"/>
              <w:rPr>
                <w:rFonts w:hint="eastAsia"/>
                <w:szCs w:val="22"/>
                <w:lang w:eastAsia="zh-CN"/>
              </w:rPr>
            </w:pPr>
          </w:p>
          <w:p>
            <w:pPr>
              <w:rPr>
                <w:b/>
                <w:szCs w:val="21"/>
              </w:rPr>
            </w:pPr>
          </w:p>
        </w:tc>
      </w:tr>
    </w:tbl>
    <w:p>
      <w:pPr>
        <w:spacing w:line="500" w:lineRule="exact"/>
        <w:jc w:val="center"/>
        <w:outlineLvl w:val="0"/>
        <w:rPr>
          <w:b/>
          <w:bCs/>
          <w:sz w:val="28"/>
          <w:szCs w:val="28"/>
        </w:rPr>
        <w:sectPr>
          <w:pgSz w:w="11906" w:h="16838"/>
          <w:pgMar w:top="1587" w:right="1587" w:bottom="1587" w:left="1587" w:header="851" w:footer="992" w:gutter="0"/>
          <w:pgBorders>
            <w:top w:val="none" w:sz="0" w:space="0"/>
            <w:left w:val="none" w:sz="0" w:space="0"/>
            <w:bottom w:val="none" w:sz="0" w:space="0"/>
            <w:right w:val="none" w:sz="0" w:space="0"/>
          </w:pgBorders>
          <w:cols w:space="0" w:num="1"/>
          <w:docGrid w:linePitch="312" w:charSpace="0"/>
        </w:sectPr>
      </w:pPr>
    </w:p>
    <w:p>
      <w:pPr>
        <w:spacing w:line="500" w:lineRule="exact"/>
        <w:jc w:val="center"/>
        <w:outlineLvl w:val="0"/>
        <w:rPr>
          <w:rFonts w:hint="eastAsia" w:ascii="黑体" w:hAnsi="黑体" w:eastAsia="黑体" w:cs="黑体"/>
          <w:sz w:val="28"/>
          <w:szCs w:val="28"/>
        </w:rPr>
      </w:pPr>
      <w:r>
        <w:rPr>
          <w:rFonts w:hint="eastAsia" w:ascii="黑体" w:hAnsi="黑体" w:eastAsia="黑体" w:cs="黑体"/>
          <w:sz w:val="28"/>
          <w:szCs w:val="28"/>
        </w:rPr>
        <w:t>三、区域环境质量现状、环境保护目标及评价标准</w:t>
      </w:r>
      <w:bookmarkEnd w:id="10"/>
      <w:bookmarkEnd w:id="11"/>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4"/>
        <w:gridCol w:w="8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0" w:hRule="atLeast"/>
          <w:jc w:val="center"/>
        </w:trPr>
        <w:tc>
          <w:tcPr>
            <w:tcW w:w="394" w:type="dxa"/>
            <w:noWrap/>
            <w:tcMar>
              <w:top w:w="0" w:type="dxa"/>
              <w:left w:w="108" w:type="dxa"/>
              <w:bottom w:w="0" w:type="dxa"/>
              <w:right w:w="108" w:type="dxa"/>
            </w:tcMar>
            <w:vAlign w:val="center"/>
          </w:tcPr>
          <w:p>
            <w:pPr>
              <w:widowControl/>
              <w:wordWrap w:val="0"/>
              <w:jc w:val="center"/>
              <w:rPr>
                <w:b/>
                <w:bCs/>
                <w:kern w:val="0"/>
                <w:sz w:val="24"/>
              </w:rPr>
            </w:pPr>
            <w:r>
              <w:rPr>
                <w:rFonts w:hAnsi="宋体"/>
                <w:b/>
                <w:bCs/>
                <w:kern w:val="0"/>
                <w:sz w:val="24"/>
              </w:rPr>
              <w:t>区域</w:t>
            </w:r>
          </w:p>
          <w:p>
            <w:pPr>
              <w:widowControl/>
              <w:wordWrap w:val="0"/>
              <w:jc w:val="center"/>
              <w:rPr>
                <w:b/>
                <w:bCs/>
                <w:kern w:val="0"/>
                <w:sz w:val="24"/>
              </w:rPr>
            </w:pPr>
            <w:r>
              <w:rPr>
                <w:rFonts w:hAnsi="宋体"/>
                <w:b/>
                <w:bCs/>
                <w:kern w:val="0"/>
                <w:sz w:val="24"/>
              </w:rPr>
              <w:t>环境</w:t>
            </w:r>
          </w:p>
          <w:p>
            <w:pPr>
              <w:widowControl/>
              <w:wordWrap w:val="0"/>
              <w:jc w:val="center"/>
              <w:rPr>
                <w:b/>
                <w:bCs/>
                <w:kern w:val="0"/>
                <w:sz w:val="24"/>
              </w:rPr>
            </w:pPr>
            <w:r>
              <w:rPr>
                <w:rFonts w:hAnsi="宋体"/>
                <w:b/>
                <w:bCs/>
                <w:kern w:val="0"/>
                <w:sz w:val="24"/>
              </w:rPr>
              <w:t>质量</w:t>
            </w:r>
          </w:p>
          <w:p>
            <w:pPr>
              <w:widowControl/>
              <w:wordWrap w:val="0"/>
              <w:jc w:val="center"/>
              <w:rPr>
                <w:b/>
                <w:bCs/>
                <w:kern w:val="0"/>
                <w:sz w:val="24"/>
              </w:rPr>
            </w:pPr>
            <w:r>
              <w:rPr>
                <w:rFonts w:hAnsi="宋体"/>
                <w:b/>
                <w:bCs/>
                <w:kern w:val="0"/>
                <w:sz w:val="24"/>
              </w:rPr>
              <w:t>现状</w:t>
            </w:r>
          </w:p>
        </w:tc>
        <w:tc>
          <w:tcPr>
            <w:tcW w:w="8677" w:type="dxa"/>
            <w:noWrap/>
            <w:tcMar>
              <w:top w:w="0" w:type="dxa"/>
              <w:left w:w="108" w:type="dxa"/>
              <w:bottom w:w="0" w:type="dxa"/>
              <w:right w:w="108" w:type="dxa"/>
            </w:tcMar>
            <w:vAlign w:val="center"/>
          </w:tcPr>
          <w:p>
            <w:pPr>
              <w:pStyle w:val="5"/>
              <w:spacing w:line="500" w:lineRule="exact"/>
              <w:ind w:firstLine="0" w:firstLineChars="0"/>
              <w:rPr>
                <w:b/>
                <w:bCs/>
              </w:rPr>
            </w:pPr>
            <w:bookmarkStart w:id="15" w:name="_Toc7365"/>
            <w:r>
              <w:rPr>
                <w:b/>
                <w:bCs/>
              </w:rPr>
              <w:t>3.1</w:t>
            </w:r>
            <w:r>
              <w:rPr>
                <w:rFonts w:hAnsi="宋体"/>
                <w:b/>
                <w:bCs/>
              </w:rPr>
              <w:t>区域环境质量现状</w:t>
            </w:r>
          </w:p>
          <w:p>
            <w:pPr>
              <w:pStyle w:val="5"/>
              <w:spacing w:line="500" w:lineRule="exact"/>
              <w:ind w:firstLine="0" w:firstLineChars="0"/>
              <w:rPr>
                <w:b/>
                <w:bCs/>
              </w:rPr>
            </w:pPr>
            <w:r>
              <w:rPr>
                <w:b/>
                <w:bCs/>
              </w:rPr>
              <w:t>3.1.1</w:t>
            </w:r>
            <w:r>
              <w:rPr>
                <w:rFonts w:hAnsi="宋体"/>
                <w:b/>
                <w:bCs/>
              </w:rPr>
              <w:t>环境空气现状监测数据</w:t>
            </w:r>
            <w:bookmarkEnd w:id="15"/>
          </w:p>
          <w:p>
            <w:pPr>
              <w:pStyle w:val="3"/>
              <w:spacing w:line="500" w:lineRule="exact"/>
              <w:ind w:firstLine="480" w:firstLineChars="200"/>
              <w:textAlignment w:val="center"/>
              <w:rPr>
                <w:rStyle w:val="43"/>
                <w:rFonts w:ascii="Times New Roman" w:hAnsi="Times New Roman" w:cs="Times New Roman"/>
                <w:b w:val="0"/>
                <w:sz w:val="24"/>
                <w:szCs w:val="24"/>
              </w:rPr>
            </w:pPr>
            <w:r>
              <w:rPr>
                <w:rStyle w:val="43"/>
                <w:rFonts w:ascii="Times New Roman" w:hAnsi="Times New Roman" w:cs="Times New Roman"/>
                <w:b w:val="0"/>
                <w:sz w:val="24"/>
                <w:szCs w:val="24"/>
              </w:rPr>
              <w:t>根据《湖州市环境空气质量功能区划》，本项目所在区域属于环境空气质量二类功能区。</w:t>
            </w:r>
            <w:r>
              <w:rPr>
                <w:rStyle w:val="43"/>
                <w:rFonts w:hint="eastAsia" w:ascii="Times New Roman" w:hAnsi="Times New Roman" w:cs="Times New Roman"/>
                <w:b w:val="0"/>
                <w:sz w:val="24"/>
                <w:szCs w:val="24"/>
              </w:rPr>
              <w:t>为了解项目周围空气环境质量现状，本次评价收集了长兴县环境保护监测站 2020 年常规大气环境监测资料进行现状评价，见表 3</w:t>
            </w:r>
            <w:r>
              <w:rPr>
                <w:rStyle w:val="43"/>
                <w:rFonts w:hint="eastAsia" w:cs="Times New Roman"/>
                <w:b w:val="0"/>
                <w:sz w:val="24"/>
                <w:szCs w:val="24"/>
                <w:lang w:val="en-US" w:eastAsia="zh-CN"/>
              </w:rPr>
              <w:t>.1</w:t>
            </w:r>
            <w:r>
              <w:rPr>
                <w:rStyle w:val="43"/>
                <w:rFonts w:hint="eastAsia" w:ascii="Times New Roman" w:hAnsi="Times New Roman" w:cs="Times New Roman"/>
                <w:b w:val="0"/>
                <w:sz w:val="24"/>
                <w:szCs w:val="24"/>
              </w:rPr>
              <w:t>-1。</w:t>
            </w:r>
          </w:p>
          <w:p>
            <w:pPr>
              <w:pStyle w:val="3"/>
              <w:spacing w:line="460" w:lineRule="exact"/>
              <w:ind w:firstLine="0"/>
              <w:jc w:val="center"/>
              <w:textAlignment w:val="center"/>
              <w:rPr>
                <w:rFonts w:ascii="Times New Roman" w:hAnsi="Times New Roman" w:cs="Times New Roman"/>
                <w:b/>
                <w:bCs/>
                <w:szCs w:val="21"/>
              </w:rPr>
            </w:pPr>
            <w:r>
              <w:rPr>
                <w:rFonts w:ascii="Times New Roman" w:hAnsi="Times New Roman" w:cs="Times New Roman"/>
                <w:b/>
                <w:bCs/>
                <w:szCs w:val="21"/>
              </w:rPr>
              <w:t>表3</w:t>
            </w:r>
            <w:r>
              <w:rPr>
                <w:rFonts w:hint="eastAsia" w:cs="Times New Roman"/>
                <w:b/>
                <w:bCs/>
                <w:szCs w:val="21"/>
                <w:lang w:val="en-US" w:eastAsia="zh-CN"/>
              </w:rPr>
              <w:t>.1</w:t>
            </w:r>
            <w:r>
              <w:rPr>
                <w:rFonts w:ascii="Times New Roman" w:hAnsi="Times New Roman" w:cs="Times New Roman"/>
                <w:b/>
                <w:bCs/>
                <w:szCs w:val="21"/>
              </w:rPr>
              <w:t>-</w:t>
            </w:r>
            <w:r>
              <w:rPr>
                <w:rFonts w:hint="eastAsia" w:ascii="Times New Roman" w:hAnsi="Times New Roman" w:cs="Times New Roman"/>
                <w:b/>
                <w:bCs/>
                <w:szCs w:val="21"/>
              </w:rPr>
              <w:t>1</w:t>
            </w:r>
            <w:r>
              <w:rPr>
                <w:rFonts w:ascii="Times New Roman" w:hAnsi="Times New Roman" w:cs="Times New Roman"/>
                <w:b/>
                <w:bCs/>
                <w:szCs w:val="21"/>
              </w:rPr>
              <w:t xml:space="preserve">  长兴县 2020 年环境空气质量现状评价表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58"/>
              <w:gridCol w:w="1908"/>
              <w:gridCol w:w="1330"/>
              <w:gridCol w:w="1387"/>
              <w:gridCol w:w="1195"/>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Align w:val="center"/>
                </w:tcPr>
                <w:p>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点位名称</w:t>
                  </w:r>
                </w:p>
              </w:tc>
              <w:tc>
                <w:tcPr>
                  <w:tcW w:w="887"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1984"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年评价指标</w:t>
                  </w:r>
                </w:p>
              </w:tc>
              <w:tc>
                <w:tcPr>
                  <w:tcW w:w="1380"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现状浓度（μg/m</w:t>
                  </w:r>
                  <w:r>
                    <w:rPr>
                      <w:rFonts w:ascii="Times New Roman" w:hAnsi="Times New Roman" w:eastAsia="宋体" w:cs="Times New Roman"/>
                      <w:b/>
                      <w:bCs/>
                      <w:szCs w:val="21"/>
                      <w:vertAlign w:val="superscript"/>
                    </w:rPr>
                    <w:t>3</w:t>
                  </w:r>
                  <w:r>
                    <w:rPr>
                      <w:rFonts w:ascii="Times New Roman" w:hAnsi="Times New Roman" w:eastAsia="宋体" w:cs="Times New Roman"/>
                      <w:b/>
                      <w:bCs/>
                      <w:szCs w:val="21"/>
                    </w:rPr>
                    <w:t>）</w:t>
                  </w:r>
                </w:p>
              </w:tc>
              <w:tc>
                <w:tcPr>
                  <w:tcW w:w="1439"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标准值（μg/m</w:t>
                  </w:r>
                  <w:r>
                    <w:rPr>
                      <w:rFonts w:ascii="Times New Roman" w:hAnsi="Times New Roman" w:eastAsia="宋体" w:cs="Times New Roman"/>
                      <w:b/>
                      <w:bCs/>
                      <w:szCs w:val="21"/>
                      <w:vertAlign w:val="superscript"/>
                    </w:rPr>
                    <w:t>3</w:t>
                  </w:r>
                  <w:r>
                    <w:rPr>
                      <w:rFonts w:ascii="Times New Roman" w:hAnsi="Times New Roman" w:eastAsia="宋体" w:cs="Times New Roman"/>
                      <w:b/>
                      <w:bCs/>
                      <w:szCs w:val="21"/>
                    </w:rPr>
                    <w:t>）</w:t>
                  </w:r>
                </w:p>
              </w:tc>
              <w:tc>
                <w:tcPr>
                  <w:tcW w:w="1239"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占标率（%）</w:t>
                  </w:r>
                </w:p>
              </w:tc>
              <w:tc>
                <w:tcPr>
                  <w:tcW w:w="810"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达标</w:t>
                  </w:r>
                </w:p>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restart"/>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长兴县大气自动监测站</w:t>
                  </w:r>
                </w:p>
              </w:tc>
              <w:tc>
                <w:tcPr>
                  <w:tcW w:w="88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SO</w:t>
                  </w:r>
                  <w:r>
                    <w:rPr>
                      <w:rFonts w:ascii="Times New Roman" w:hAnsi="Times New Roman" w:eastAsia="宋体" w:cs="Times New Roman"/>
                      <w:kern w:val="0"/>
                      <w:szCs w:val="21"/>
                      <w:vertAlign w:val="subscript"/>
                    </w:rPr>
                    <w:t>2</w:t>
                  </w: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38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43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60</w:t>
                  </w:r>
                </w:p>
              </w:tc>
              <w:tc>
                <w:tcPr>
                  <w:tcW w:w="1239" w:type="dxa"/>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8.3</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pPr>
                    <w:adjustRightInd w:val="0"/>
                    <w:snapToGrid w:val="0"/>
                    <w:jc w:val="center"/>
                    <w:rPr>
                      <w:rFonts w:ascii="Times New Roman" w:hAnsi="Times New Roman" w:eastAsia="宋体" w:cs="Times New Roman"/>
                      <w:kern w:val="0"/>
                      <w:szCs w:val="21"/>
                    </w:rPr>
                  </w:pPr>
                </w:p>
              </w:tc>
              <w:tc>
                <w:tcPr>
                  <w:tcW w:w="887" w:type="dxa"/>
                  <w:vMerge w:val="continue"/>
                  <w:vAlign w:val="center"/>
                </w:tcPr>
                <w:p>
                  <w:pPr>
                    <w:adjustRightInd w:val="0"/>
                    <w:snapToGrid w:val="0"/>
                    <w:jc w:val="center"/>
                    <w:rPr>
                      <w:rFonts w:ascii="Times New Roman" w:hAnsi="Times New Roman" w:eastAsia="宋体" w:cs="Times New Roman"/>
                      <w:kern w:val="0"/>
                      <w:szCs w:val="21"/>
                    </w:rPr>
                  </w:pP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24小时平均</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第98百分位数</w:t>
                  </w:r>
                </w:p>
              </w:tc>
              <w:tc>
                <w:tcPr>
                  <w:tcW w:w="138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143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150</w:t>
                  </w:r>
                </w:p>
              </w:tc>
              <w:tc>
                <w:tcPr>
                  <w:tcW w:w="1239" w:type="dxa"/>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pPr>
                    <w:adjustRightInd w:val="0"/>
                    <w:snapToGrid w:val="0"/>
                    <w:jc w:val="center"/>
                    <w:rPr>
                      <w:rFonts w:ascii="Times New Roman" w:hAnsi="Times New Roman" w:eastAsia="宋体" w:cs="Times New Roman"/>
                      <w:kern w:val="0"/>
                      <w:szCs w:val="21"/>
                    </w:rPr>
                  </w:pPr>
                </w:p>
              </w:tc>
              <w:tc>
                <w:tcPr>
                  <w:tcW w:w="88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NO</w:t>
                  </w:r>
                  <w:r>
                    <w:rPr>
                      <w:rFonts w:ascii="Times New Roman" w:hAnsi="Times New Roman" w:eastAsia="宋体" w:cs="Times New Roman"/>
                      <w:kern w:val="0"/>
                      <w:szCs w:val="21"/>
                      <w:vertAlign w:val="subscript"/>
                    </w:rPr>
                    <w:t>2</w:t>
                  </w: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38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kern w:val="0"/>
                      <w:szCs w:val="21"/>
                    </w:rPr>
                    <w:t>27</w:t>
                  </w:r>
                </w:p>
              </w:tc>
              <w:tc>
                <w:tcPr>
                  <w:tcW w:w="143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40</w:t>
                  </w:r>
                </w:p>
              </w:tc>
              <w:tc>
                <w:tcPr>
                  <w:tcW w:w="12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67.5</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pPr>
                    <w:adjustRightInd w:val="0"/>
                    <w:snapToGrid w:val="0"/>
                    <w:jc w:val="center"/>
                    <w:rPr>
                      <w:rFonts w:ascii="Times New Roman" w:hAnsi="Times New Roman" w:eastAsia="宋体" w:cs="Times New Roman"/>
                      <w:kern w:val="0"/>
                      <w:szCs w:val="21"/>
                    </w:rPr>
                  </w:pPr>
                </w:p>
              </w:tc>
              <w:tc>
                <w:tcPr>
                  <w:tcW w:w="887" w:type="dxa"/>
                  <w:vMerge w:val="continue"/>
                  <w:vAlign w:val="center"/>
                </w:tcPr>
                <w:p>
                  <w:pPr>
                    <w:adjustRightInd w:val="0"/>
                    <w:snapToGrid w:val="0"/>
                    <w:jc w:val="center"/>
                    <w:rPr>
                      <w:rFonts w:ascii="Times New Roman" w:hAnsi="Times New Roman" w:eastAsia="宋体" w:cs="Times New Roman"/>
                      <w:kern w:val="0"/>
                      <w:szCs w:val="21"/>
                    </w:rPr>
                  </w:pP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24小时平均</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第98百分位数</w:t>
                  </w:r>
                </w:p>
              </w:tc>
              <w:tc>
                <w:tcPr>
                  <w:tcW w:w="1380"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66</w:t>
                  </w:r>
                </w:p>
              </w:tc>
              <w:tc>
                <w:tcPr>
                  <w:tcW w:w="143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80</w:t>
                  </w:r>
                </w:p>
              </w:tc>
              <w:tc>
                <w:tcPr>
                  <w:tcW w:w="12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82.5</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pPr>
                    <w:adjustRightInd w:val="0"/>
                    <w:snapToGrid w:val="0"/>
                    <w:jc w:val="center"/>
                    <w:rPr>
                      <w:rFonts w:ascii="Times New Roman" w:hAnsi="Times New Roman" w:eastAsia="宋体" w:cs="Times New Roman"/>
                      <w:kern w:val="0"/>
                      <w:szCs w:val="21"/>
                    </w:rPr>
                  </w:pPr>
                </w:p>
              </w:tc>
              <w:tc>
                <w:tcPr>
                  <w:tcW w:w="88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PM</w:t>
                  </w:r>
                  <w:r>
                    <w:rPr>
                      <w:rFonts w:ascii="Times New Roman" w:hAnsi="Times New Roman" w:eastAsia="宋体" w:cs="Times New Roman"/>
                      <w:kern w:val="0"/>
                      <w:szCs w:val="21"/>
                      <w:vertAlign w:val="subscript"/>
                    </w:rPr>
                    <w:t>10</w:t>
                  </w: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38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kern w:val="0"/>
                      <w:szCs w:val="21"/>
                    </w:rPr>
                    <w:t>46</w:t>
                  </w:r>
                </w:p>
              </w:tc>
              <w:tc>
                <w:tcPr>
                  <w:tcW w:w="143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70</w:t>
                  </w:r>
                </w:p>
              </w:tc>
              <w:tc>
                <w:tcPr>
                  <w:tcW w:w="12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65.7</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pPr>
                    <w:adjustRightInd w:val="0"/>
                    <w:snapToGrid w:val="0"/>
                    <w:jc w:val="center"/>
                    <w:rPr>
                      <w:rFonts w:ascii="Times New Roman" w:hAnsi="Times New Roman" w:eastAsia="宋体" w:cs="Times New Roman"/>
                      <w:kern w:val="0"/>
                      <w:szCs w:val="21"/>
                    </w:rPr>
                  </w:pPr>
                </w:p>
              </w:tc>
              <w:tc>
                <w:tcPr>
                  <w:tcW w:w="887" w:type="dxa"/>
                  <w:vMerge w:val="continue"/>
                  <w:vAlign w:val="center"/>
                </w:tcPr>
                <w:p>
                  <w:pPr>
                    <w:adjustRightInd w:val="0"/>
                    <w:snapToGrid w:val="0"/>
                    <w:jc w:val="center"/>
                    <w:rPr>
                      <w:rFonts w:ascii="Times New Roman" w:hAnsi="Times New Roman" w:eastAsia="宋体" w:cs="Times New Roman"/>
                      <w:kern w:val="0"/>
                      <w:szCs w:val="21"/>
                    </w:rPr>
                  </w:pP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24小时平均</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第95百分位数</w:t>
                  </w:r>
                </w:p>
              </w:tc>
              <w:tc>
                <w:tcPr>
                  <w:tcW w:w="1380" w:type="dxa"/>
                  <w:vAlign w:val="center"/>
                </w:tcPr>
                <w:p>
                  <w:pPr>
                    <w:tabs>
                      <w:tab w:val="left" w:pos="251"/>
                      <w:tab w:val="center" w:pos="845"/>
                    </w:tabs>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98</w:t>
                  </w:r>
                </w:p>
              </w:tc>
              <w:tc>
                <w:tcPr>
                  <w:tcW w:w="143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150</w:t>
                  </w:r>
                </w:p>
              </w:tc>
              <w:tc>
                <w:tcPr>
                  <w:tcW w:w="12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65.3</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pPr>
                    <w:adjustRightInd w:val="0"/>
                    <w:snapToGrid w:val="0"/>
                    <w:jc w:val="center"/>
                    <w:rPr>
                      <w:rFonts w:ascii="Times New Roman" w:hAnsi="Times New Roman" w:eastAsia="宋体" w:cs="Times New Roman"/>
                      <w:kern w:val="0"/>
                      <w:szCs w:val="21"/>
                    </w:rPr>
                  </w:pPr>
                </w:p>
              </w:tc>
              <w:tc>
                <w:tcPr>
                  <w:tcW w:w="88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PM</w:t>
                  </w:r>
                  <w:r>
                    <w:rPr>
                      <w:rFonts w:ascii="Times New Roman" w:hAnsi="Times New Roman" w:eastAsia="宋体" w:cs="Times New Roman"/>
                      <w:kern w:val="0"/>
                      <w:szCs w:val="21"/>
                      <w:vertAlign w:val="subscript"/>
                    </w:rPr>
                    <w:t>2.5</w:t>
                  </w: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年平均质量浓度</w:t>
                  </w:r>
                </w:p>
              </w:tc>
              <w:tc>
                <w:tcPr>
                  <w:tcW w:w="138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kern w:val="0"/>
                      <w:szCs w:val="21"/>
                    </w:rPr>
                    <w:t>29</w:t>
                  </w:r>
                </w:p>
              </w:tc>
              <w:tc>
                <w:tcPr>
                  <w:tcW w:w="143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35</w:t>
                  </w:r>
                </w:p>
              </w:tc>
              <w:tc>
                <w:tcPr>
                  <w:tcW w:w="12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82.9</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pPr>
                    <w:adjustRightInd w:val="0"/>
                    <w:snapToGrid w:val="0"/>
                    <w:jc w:val="center"/>
                    <w:rPr>
                      <w:rFonts w:ascii="Times New Roman" w:hAnsi="Times New Roman" w:eastAsia="宋体" w:cs="Times New Roman"/>
                      <w:kern w:val="0"/>
                      <w:szCs w:val="21"/>
                    </w:rPr>
                  </w:pPr>
                </w:p>
              </w:tc>
              <w:tc>
                <w:tcPr>
                  <w:tcW w:w="887" w:type="dxa"/>
                  <w:vMerge w:val="continue"/>
                  <w:vAlign w:val="center"/>
                </w:tcPr>
                <w:p>
                  <w:pPr>
                    <w:adjustRightInd w:val="0"/>
                    <w:snapToGrid w:val="0"/>
                    <w:jc w:val="center"/>
                    <w:rPr>
                      <w:rFonts w:ascii="Times New Roman" w:hAnsi="Times New Roman" w:eastAsia="宋体" w:cs="Times New Roman"/>
                      <w:kern w:val="0"/>
                      <w:szCs w:val="21"/>
                    </w:rPr>
                  </w:pP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24小时平均</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第95百分位数</w:t>
                  </w:r>
                </w:p>
              </w:tc>
              <w:tc>
                <w:tcPr>
                  <w:tcW w:w="1380"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64</w:t>
                  </w:r>
                </w:p>
              </w:tc>
              <w:tc>
                <w:tcPr>
                  <w:tcW w:w="143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75</w:t>
                  </w:r>
                </w:p>
              </w:tc>
              <w:tc>
                <w:tcPr>
                  <w:tcW w:w="12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85.3</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pPr>
                    <w:adjustRightInd w:val="0"/>
                    <w:snapToGrid w:val="0"/>
                    <w:jc w:val="center"/>
                    <w:rPr>
                      <w:rFonts w:ascii="Times New Roman" w:hAnsi="Times New Roman" w:eastAsia="宋体" w:cs="Times New Roman"/>
                      <w:szCs w:val="21"/>
                    </w:rPr>
                  </w:pPr>
                </w:p>
              </w:tc>
              <w:tc>
                <w:tcPr>
                  <w:tcW w:w="88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w:t>
                  </w: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24小时平均</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第95百分位数</w:t>
                  </w:r>
                </w:p>
              </w:tc>
              <w:tc>
                <w:tcPr>
                  <w:tcW w:w="138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1200</w:t>
                  </w:r>
                </w:p>
              </w:tc>
              <w:tc>
                <w:tcPr>
                  <w:tcW w:w="143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4000</w:t>
                  </w:r>
                </w:p>
              </w:tc>
              <w:tc>
                <w:tcPr>
                  <w:tcW w:w="12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pPr>
                    <w:adjustRightInd w:val="0"/>
                    <w:snapToGrid w:val="0"/>
                    <w:jc w:val="center"/>
                    <w:rPr>
                      <w:rFonts w:ascii="Times New Roman" w:hAnsi="Times New Roman" w:eastAsia="宋体" w:cs="Times New Roman"/>
                      <w:szCs w:val="21"/>
                    </w:rPr>
                  </w:pPr>
                </w:p>
              </w:tc>
              <w:tc>
                <w:tcPr>
                  <w:tcW w:w="88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O</w:t>
                  </w:r>
                  <w:r>
                    <w:rPr>
                      <w:rFonts w:ascii="Times New Roman" w:hAnsi="Times New Roman" w:eastAsia="宋体" w:cs="Times New Roman"/>
                      <w:szCs w:val="21"/>
                      <w:vertAlign w:val="subscript"/>
                    </w:rPr>
                    <w:t>3</w:t>
                  </w:r>
                </w:p>
              </w:tc>
              <w:tc>
                <w:tcPr>
                  <w:tcW w:w="198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日最大8小时平均第90百分位数</w:t>
                  </w:r>
                </w:p>
              </w:tc>
              <w:tc>
                <w:tcPr>
                  <w:tcW w:w="138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152</w:t>
                  </w:r>
                </w:p>
              </w:tc>
              <w:tc>
                <w:tcPr>
                  <w:tcW w:w="1439"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160</w:t>
                  </w:r>
                </w:p>
              </w:tc>
              <w:tc>
                <w:tcPr>
                  <w:tcW w:w="12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95</w:t>
                  </w:r>
                </w:p>
              </w:tc>
              <w:tc>
                <w:tcPr>
                  <w:tcW w:w="8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达标</w:t>
                  </w:r>
                </w:p>
              </w:tc>
            </w:tr>
          </w:tbl>
          <w:p>
            <w:pPr>
              <w:spacing w:line="500" w:lineRule="exact"/>
              <w:ind w:firstLine="480" w:firstLineChars="200"/>
              <w:contextualSpacing/>
              <w:rPr>
                <w:sz w:val="24"/>
                <w:szCs w:val="22"/>
              </w:rPr>
            </w:pPr>
            <w:r>
              <w:rPr>
                <w:rFonts w:ascii="Times New Roman" w:hAnsi="Times New Roman" w:cs="Times New Roman"/>
                <w:sz w:val="24"/>
              </w:rPr>
              <w:t>根据监测结果，2020 年长兴县 SO</w:t>
            </w:r>
            <w:r>
              <w:rPr>
                <w:rFonts w:ascii="Times New Roman" w:hAnsi="Times New Roman" w:cs="Times New Roman"/>
                <w:sz w:val="24"/>
                <w:vertAlign w:val="subscript"/>
              </w:rPr>
              <w:t>2</w:t>
            </w:r>
            <w:r>
              <w:rPr>
                <w:rFonts w:ascii="Times New Roman" w:hAnsi="Times New Roman" w:cs="Times New Roman"/>
                <w:sz w:val="24"/>
              </w:rPr>
              <w:t>、NO</w:t>
            </w:r>
            <w:r>
              <w:rPr>
                <w:rFonts w:ascii="Times New Roman" w:hAnsi="Times New Roman" w:cs="Times New Roman"/>
                <w:sz w:val="24"/>
                <w:vertAlign w:val="subscript"/>
              </w:rPr>
              <w:t>2</w:t>
            </w:r>
            <w:r>
              <w:rPr>
                <w:rFonts w:ascii="Times New Roman" w:hAnsi="Times New Roman" w:cs="Times New Roman"/>
                <w:sz w:val="24"/>
              </w:rPr>
              <w:t>、CO、O</w:t>
            </w:r>
            <w:r>
              <w:rPr>
                <w:rFonts w:ascii="Times New Roman" w:hAnsi="Times New Roman" w:cs="Times New Roman"/>
                <w:sz w:val="24"/>
                <w:vertAlign w:val="subscript"/>
              </w:rPr>
              <w:t>3</w:t>
            </w:r>
            <w:r>
              <w:rPr>
                <w:rFonts w:ascii="Times New Roman" w:hAnsi="Times New Roman" w:cs="Times New Roman"/>
                <w:sz w:val="24"/>
              </w:rPr>
              <w:t>、PM</w:t>
            </w:r>
            <w:r>
              <w:rPr>
                <w:rFonts w:ascii="Times New Roman" w:hAnsi="Times New Roman" w:cs="Times New Roman"/>
                <w:sz w:val="24"/>
                <w:vertAlign w:val="subscript"/>
              </w:rPr>
              <w:t>10</w:t>
            </w:r>
            <w:r>
              <w:rPr>
                <w:rFonts w:ascii="Times New Roman" w:hAnsi="Times New Roman" w:cs="Times New Roman"/>
                <w:sz w:val="24"/>
              </w:rPr>
              <w:t>、PM</w:t>
            </w:r>
            <w:r>
              <w:rPr>
                <w:rFonts w:ascii="Times New Roman" w:hAnsi="Times New Roman" w:cs="Times New Roman"/>
                <w:sz w:val="24"/>
                <w:vertAlign w:val="subscript"/>
              </w:rPr>
              <w:t>2.5</w:t>
            </w:r>
            <w:r>
              <w:rPr>
                <w:rFonts w:ascii="Times New Roman" w:hAnsi="Times New Roman" w:cs="Times New Roman"/>
                <w:sz w:val="24"/>
              </w:rPr>
              <w:t>平均质量浓度值、百分位数日平均质量浓度均能达到《环境空气质量标准》（GB3095-2012）中二级标准要求</w:t>
            </w:r>
            <w:r>
              <w:rPr>
                <w:rFonts w:hint="eastAsia" w:ascii="Times New Roman" w:hAnsi="Times New Roman" w:cs="Times New Roman"/>
                <w:sz w:val="24"/>
              </w:rPr>
              <w:t>，</w:t>
            </w:r>
            <w:r>
              <w:rPr>
                <w:rFonts w:ascii="Times New Roman" w:hAnsi="Times New Roman" w:cs="Times New Roman"/>
                <w:sz w:val="24"/>
              </w:rPr>
              <w:t>项目所在区域属于达标区</w:t>
            </w:r>
            <w:r>
              <w:rPr>
                <w:rFonts w:hAnsi="宋体"/>
                <w:sz w:val="24"/>
                <w:szCs w:val="22"/>
              </w:rPr>
              <w:t>。</w:t>
            </w:r>
          </w:p>
          <w:p>
            <w:pPr>
              <w:adjustRightInd w:val="0"/>
              <w:snapToGrid w:val="0"/>
              <w:spacing w:line="500" w:lineRule="exact"/>
              <w:ind w:firstLine="480" w:firstLineChars="200"/>
              <w:rPr>
                <w:kern w:val="0"/>
                <w:sz w:val="24"/>
              </w:rPr>
            </w:pPr>
            <w:r>
              <w:rPr>
                <w:rFonts w:hAnsi="宋体"/>
                <w:sz w:val="24"/>
                <w:szCs w:val="20"/>
              </w:rPr>
              <w:t>为了解项目所在地环境空气质量情况，本次</w:t>
            </w:r>
            <w:r>
              <w:rPr>
                <w:rFonts w:hint="eastAsia" w:hAnsi="宋体"/>
                <w:sz w:val="24"/>
                <w:szCs w:val="20"/>
                <w:lang w:eastAsia="zh-CN"/>
              </w:rPr>
              <w:t>环评</w:t>
            </w:r>
            <w:r>
              <w:rPr>
                <w:rFonts w:hAnsi="宋体"/>
                <w:sz w:val="24"/>
                <w:szCs w:val="20"/>
              </w:rPr>
              <w:t>污染因子</w:t>
            </w:r>
            <w:r>
              <w:rPr>
                <w:rFonts w:hint="eastAsia"/>
                <w:sz w:val="24"/>
                <w:szCs w:val="20"/>
                <w:lang w:eastAsia="zh-CN"/>
              </w:rPr>
              <w:t>非甲烷总烃</w:t>
            </w:r>
            <w:r>
              <w:rPr>
                <w:rFonts w:hint="eastAsia" w:hAnsi="宋体"/>
                <w:sz w:val="24"/>
                <w:szCs w:val="20"/>
              </w:rPr>
              <w:t>引用希科检测技术有限公司</w:t>
            </w:r>
            <w:r>
              <w:rPr>
                <w:rFonts w:hint="eastAsia" w:hAnsi="宋体"/>
                <w:sz w:val="24"/>
                <w:szCs w:val="20"/>
                <w:lang w:eastAsia="zh-CN"/>
              </w:rPr>
              <w:t>出具的</w:t>
            </w:r>
            <w:r>
              <w:rPr>
                <w:rFonts w:hint="eastAsia" w:hAnsi="宋体"/>
                <w:sz w:val="24"/>
                <w:szCs w:val="20"/>
              </w:rPr>
              <w:t>监测</w:t>
            </w:r>
            <w:r>
              <w:rPr>
                <w:rFonts w:hint="eastAsia" w:hAnsi="宋体"/>
                <w:sz w:val="24"/>
                <w:szCs w:val="20"/>
                <w:lang w:eastAsia="zh-CN"/>
              </w:rPr>
              <w:t>报告中</w:t>
            </w:r>
            <w:r>
              <w:rPr>
                <w:rFonts w:hint="eastAsia" w:hAnsi="宋体"/>
                <w:sz w:val="24"/>
                <w:szCs w:val="20"/>
              </w:rPr>
              <w:t>数据（报告编号：EN19120276）</w:t>
            </w:r>
            <w:r>
              <w:rPr>
                <w:rFonts w:hAnsi="宋体"/>
                <w:sz w:val="24"/>
                <w:szCs w:val="20"/>
              </w:rPr>
              <w:t>。</w:t>
            </w:r>
            <w:r>
              <w:rPr>
                <w:rFonts w:hint="eastAsia" w:hAnsi="宋体"/>
                <w:sz w:val="24"/>
                <w:szCs w:val="20"/>
                <w:lang w:eastAsia="zh-CN"/>
              </w:rPr>
              <w:t>监测点位位于长兴悍将环保机械制造有限公司，距离本项目西北侧</w:t>
            </w:r>
            <w:r>
              <w:rPr>
                <w:rFonts w:hint="eastAsia" w:hAnsi="宋体"/>
                <w:sz w:val="24"/>
                <w:szCs w:val="20"/>
                <w:lang w:val="en-US" w:eastAsia="zh-CN"/>
              </w:rPr>
              <w:t>692米处</w:t>
            </w:r>
            <w:r>
              <w:rPr>
                <w:rFonts w:hAnsi="宋体"/>
                <w:sz w:val="24"/>
              </w:rPr>
              <w:t>，</w:t>
            </w:r>
            <w:r>
              <w:rPr>
                <w:rFonts w:hint="eastAsia" w:ascii="Times New Roman" w:hAnsi="Times New Roman"/>
                <w:color w:val="auto"/>
                <w:sz w:val="24"/>
              </w:rPr>
              <w:t>本评价引用建设项目周边5km范围内近3年的现有监测数据，符合《建设项目环境影响报告表编制指南（污染影响类）》（试行）要求</w:t>
            </w:r>
            <w:r>
              <w:rPr>
                <w:rFonts w:hint="eastAsia" w:ascii="Times New Roman" w:hAnsi="Times New Roman"/>
                <w:color w:val="auto"/>
                <w:sz w:val="24"/>
                <w:lang w:eastAsia="zh-CN"/>
              </w:rPr>
              <w:t>，</w:t>
            </w:r>
            <w:r>
              <w:rPr>
                <w:rFonts w:hAnsi="宋体"/>
                <w:sz w:val="24"/>
                <w:szCs w:val="20"/>
              </w:rPr>
              <w:t>监测结果</w:t>
            </w:r>
            <w:r>
              <w:rPr>
                <w:rFonts w:hAnsi="宋体"/>
                <w:bCs/>
                <w:snapToGrid w:val="0"/>
                <w:sz w:val="24"/>
                <w:szCs w:val="20"/>
              </w:rPr>
              <w:t>统计见表</w:t>
            </w:r>
            <w:r>
              <w:rPr>
                <w:bCs/>
                <w:snapToGrid w:val="0"/>
                <w:sz w:val="24"/>
                <w:szCs w:val="20"/>
              </w:rPr>
              <w:t>3.1-2</w:t>
            </w:r>
            <w:r>
              <w:rPr>
                <w:rFonts w:hint="eastAsia"/>
                <w:bCs/>
                <w:snapToGrid w:val="0"/>
                <w:sz w:val="24"/>
                <w:szCs w:val="20"/>
                <w:lang w:eastAsia="zh-CN"/>
              </w:rPr>
              <w:t>，监测点位图见图</w:t>
            </w:r>
            <w:r>
              <w:rPr>
                <w:rFonts w:hint="eastAsia"/>
                <w:bCs/>
                <w:snapToGrid w:val="0"/>
                <w:sz w:val="24"/>
                <w:szCs w:val="20"/>
                <w:lang w:val="en-US" w:eastAsia="zh-CN"/>
              </w:rPr>
              <w:t>3.1-1</w:t>
            </w:r>
            <w:r>
              <w:rPr>
                <w:rFonts w:hAnsi="宋体"/>
                <w:sz w:val="24"/>
                <w:szCs w:val="20"/>
              </w:rPr>
              <w:t>。</w:t>
            </w:r>
          </w:p>
          <w:p>
            <w:pPr>
              <w:spacing w:line="460" w:lineRule="exact"/>
              <w:jc w:val="center"/>
              <w:rPr>
                <w:b/>
                <w:szCs w:val="21"/>
              </w:rPr>
            </w:pPr>
            <w:r>
              <w:rPr>
                <w:rFonts w:hAnsi="宋体"/>
                <w:b/>
                <w:szCs w:val="21"/>
              </w:rPr>
              <w:t>表</w:t>
            </w:r>
            <w:r>
              <w:rPr>
                <w:b/>
                <w:szCs w:val="21"/>
              </w:rPr>
              <w:t xml:space="preserve">3.1-2  </w:t>
            </w:r>
            <w:r>
              <w:rPr>
                <w:rFonts w:hAnsi="宋体"/>
                <w:b/>
                <w:szCs w:val="21"/>
              </w:rPr>
              <w:t>环境空气监测统计结果表</w:t>
            </w:r>
          </w:p>
          <w:tbl>
            <w:tblPr>
              <w:tblStyle w:val="40"/>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5"/>
              <w:gridCol w:w="720"/>
              <w:gridCol w:w="1235"/>
              <w:gridCol w:w="725"/>
              <w:gridCol w:w="758"/>
              <w:gridCol w:w="1122"/>
              <w:gridCol w:w="1104"/>
              <w:gridCol w:w="816"/>
              <w:gridCol w:w="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15" w:type="dxa"/>
                  <w:vAlign w:val="center"/>
                </w:tcPr>
                <w:p>
                  <w:pPr>
                    <w:pStyle w:val="158"/>
                    <w:adjustRightInd w:val="0"/>
                    <w:snapToGrid w:val="0"/>
                    <w:rPr>
                      <w:bCs/>
                      <w:szCs w:val="21"/>
                    </w:rPr>
                  </w:pPr>
                  <w:r>
                    <w:rPr>
                      <w:rFonts w:hAnsi="宋体"/>
                      <w:bCs/>
                      <w:szCs w:val="21"/>
                    </w:rPr>
                    <w:t>监测</w:t>
                  </w:r>
                </w:p>
                <w:p>
                  <w:pPr>
                    <w:pStyle w:val="158"/>
                    <w:adjustRightInd w:val="0"/>
                    <w:snapToGrid w:val="0"/>
                    <w:rPr>
                      <w:bCs/>
                      <w:szCs w:val="21"/>
                    </w:rPr>
                  </w:pPr>
                  <w:r>
                    <w:rPr>
                      <w:rFonts w:hAnsi="宋体"/>
                      <w:bCs/>
                      <w:szCs w:val="21"/>
                    </w:rPr>
                    <w:t>点位</w:t>
                  </w:r>
                </w:p>
              </w:tc>
              <w:tc>
                <w:tcPr>
                  <w:tcW w:w="720" w:type="dxa"/>
                  <w:vAlign w:val="center"/>
                </w:tcPr>
                <w:p>
                  <w:pPr>
                    <w:pStyle w:val="158"/>
                    <w:adjustRightInd w:val="0"/>
                    <w:snapToGrid w:val="0"/>
                    <w:rPr>
                      <w:bCs/>
                      <w:szCs w:val="21"/>
                    </w:rPr>
                  </w:pPr>
                  <w:r>
                    <w:rPr>
                      <w:rFonts w:hAnsi="宋体"/>
                      <w:bCs/>
                      <w:szCs w:val="21"/>
                    </w:rPr>
                    <w:t>监测</w:t>
                  </w:r>
                </w:p>
                <w:p>
                  <w:pPr>
                    <w:pStyle w:val="158"/>
                    <w:adjustRightInd w:val="0"/>
                    <w:snapToGrid w:val="0"/>
                    <w:rPr>
                      <w:bCs/>
                      <w:szCs w:val="21"/>
                    </w:rPr>
                  </w:pPr>
                  <w:r>
                    <w:rPr>
                      <w:rFonts w:hAnsi="宋体"/>
                      <w:bCs/>
                      <w:szCs w:val="21"/>
                    </w:rPr>
                    <w:t>因子</w:t>
                  </w:r>
                </w:p>
              </w:tc>
              <w:tc>
                <w:tcPr>
                  <w:tcW w:w="1235" w:type="dxa"/>
                  <w:tcBorders>
                    <w:right w:val="single" w:color="auto" w:sz="4" w:space="0"/>
                  </w:tcBorders>
                  <w:vAlign w:val="center"/>
                </w:tcPr>
                <w:p>
                  <w:pPr>
                    <w:pStyle w:val="158"/>
                    <w:adjustRightInd w:val="0"/>
                    <w:snapToGrid w:val="0"/>
                    <w:rPr>
                      <w:bCs/>
                      <w:szCs w:val="21"/>
                    </w:rPr>
                  </w:pPr>
                  <w:r>
                    <w:rPr>
                      <w:rFonts w:hAnsi="宋体"/>
                      <w:bCs/>
                      <w:szCs w:val="21"/>
                    </w:rPr>
                    <w:t>采样</w:t>
                  </w:r>
                </w:p>
                <w:p>
                  <w:pPr>
                    <w:pStyle w:val="158"/>
                    <w:adjustRightInd w:val="0"/>
                    <w:snapToGrid w:val="0"/>
                    <w:rPr>
                      <w:bCs/>
                      <w:szCs w:val="21"/>
                    </w:rPr>
                  </w:pPr>
                  <w:r>
                    <w:rPr>
                      <w:rFonts w:hAnsi="宋体"/>
                      <w:bCs/>
                      <w:szCs w:val="21"/>
                    </w:rPr>
                    <w:t>天数</w:t>
                  </w:r>
                </w:p>
              </w:tc>
              <w:tc>
                <w:tcPr>
                  <w:tcW w:w="725" w:type="dxa"/>
                  <w:tcBorders>
                    <w:left w:val="single" w:color="auto" w:sz="4" w:space="0"/>
                  </w:tcBorders>
                  <w:vAlign w:val="center"/>
                </w:tcPr>
                <w:p>
                  <w:pPr>
                    <w:pStyle w:val="158"/>
                    <w:adjustRightInd w:val="0"/>
                    <w:snapToGrid w:val="0"/>
                    <w:rPr>
                      <w:bCs/>
                      <w:szCs w:val="21"/>
                    </w:rPr>
                  </w:pPr>
                  <w:r>
                    <w:rPr>
                      <w:rFonts w:hAnsi="宋体"/>
                      <w:bCs/>
                      <w:szCs w:val="21"/>
                    </w:rPr>
                    <w:t>达标</w:t>
                  </w:r>
                </w:p>
                <w:p>
                  <w:pPr>
                    <w:pStyle w:val="158"/>
                    <w:adjustRightInd w:val="0"/>
                    <w:snapToGrid w:val="0"/>
                    <w:rPr>
                      <w:bCs/>
                      <w:szCs w:val="21"/>
                    </w:rPr>
                  </w:pPr>
                  <w:r>
                    <w:rPr>
                      <w:rFonts w:hAnsi="宋体"/>
                      <w:bCs/>
                      <w:szCs w:val="21"/>
                    </w:rPr>
                    <w:t>天数</w:t>
                  </w:r>
                </w:p>
              </w:tc>
              <w:tc>
                <w:tcPr>
                  <w:tcW w:w="758" w:type="dxa"/>
                  <w:vAlign w:val="center"/>
                </w:tcPr>
                <w:p>
                  <w:pPr>
                    <w:pStyle w:val="158"/>
                    <w:adjustRightInd w:val="0"/>
                    <w:snapToGrid w:val="0"/>
                    <w:rPr>
                      <w:bCs/>
                      <w:szCs w:val="21"/>
                    </w:rPr>
                  </w:pPr>
                  <w:r>
                    <w:rPr>
                      <w:rFonts w:hAnsi="宋体"/>
                      <w:bCs/>
                      <w:szCs w:val="21"/>
                    </w:rPr>
                    <w:t>样品数</w:t>
                  </w:r>
                </w:p>
              </w:tc>
              <w:tc>
                <w:tcPr>
                  <w:tcW w:w="1122" w:type="dxa"/>
                  <w:vAlign w:val="center"/>
                </w:tcPr>
                <w:p>
                  <w:pPr>
                    <w:pStyle w:val="158"/>
                    <w:adjustRightInd w:val="0"/>
                    <w:snapToGrid w:val="0"/>
                    <w:rPr>
                      <w:bCs/>
                      <w:szCs w:val="21"/>
                    </w:rPr>
                  </w:pPr>
                  <w:r>
                    <w:rPr>
                      <w:rFonts w:hAnsi="宋体"/>
                      <w:bCs/>
                      <w:szCs w:val="21"/>
                    </w:rPr>
                    <w:t>浓度范围（</w:t>
                  </w:r>
                  <w:r>
                    <w:rPr>
                      <w:bCs/>
                      <w:szCs w:val="21"/>
                    </w:rPr>
                    <w:t>mg/m</w:t>
                  </w:r>
                  <w:r>
                    <w:rPr>
                      <w:bCs/>
                      <w:szCs w:val="21"/>
                      <w:vertAlign w:val="superscript"/>
                    </w:rPr>
                    <w:t>3</w:t>
                  </w:r>
                  <w:r>
                    <w:rPr>
                      <w:rFonts w:hAnsi="宋体"/>
                      <w:bCs/>
                      <w:szCs w:val="21"/>
                    </w:rPr>
                    <w:t>）</w:t>
                  </w:r>
                </w:p>
              </w:tc>
              <w:tc>
                <w:tcPr>
                  <w:tcW w:w="1104" w:type="dxa"/>
                  <w:vAlign w:val="center"/>
                </w:tcPr>
                <w:p>
                  <w:pPr>
                    <w:pStyle w:val="158"/>
                    <w:adjustRightInd w:val="0"/>
                    <w:snapToGrid w:val="0"/>
                    <w:rPr>
                      <w:bCs/>
                      <w:szCs w:val="21"/>
                    </w:rPr>
                  </w:pPr>
                  <w:r>
                    <w:rPr>
                      <w:rFonts w:hAnsi="宋体"/>
                      <w:bCs/>
                      <w:szCs w:val="21"/>
                    </w:rPr>
                    <w:t>标准值</w:t>
                  </w:r>
                </w:p>
                <w:p>
                  <w:pPr>
                    <w:pStyle w:val="158"/>
                    <w:adjustRightInd w:val="0"/>
                    <w:snapToGrid w:val="0"/>
                    <w:rPr>
                      <w:bCs/>
                      <w:szCs w:val="21"/>
                    </w:rPr>
                  </w:pPr>
                  <w:r>
                    <w:rPr>
                      <w:rFonts w:hAnsi="宋体"/>
                      <w:bCs/>
                      <w:szCs w:val="21"/>
                    </w:rPr>
                    <w:t>（</w:t>
                  </w:r>
                  <w:r>
                    <w:rPr>
                      <w:bCs/>
                      <w:szCs w:val="21"/>
                    </w:rPr>
                    <w:t>mg/m</w:t>
                  </w:r>
                  <w:r>
                    <w:rPr>
                      <w:bCs/>
                      <w:szCs w:val="21"/>
                      <w:vertAlign w:val="superscript"/>
                    </w:rPr>
                    <w:t>3</w:t>
                  </w:r>
                  <w:r>
                    <w:rPr>
                      <w:rFonts w:hAnsi="宋体"/>
                      <w:bCs/>
                      <w:szCs w:val="21"/>
                    </w:rPr>
                    <w:t>）</w:t>
                  </w:r>
                </w:p>
              </w:tc>
              <w:tc>
                <w:tcPr>
                  <w:tcW w:w="816" w:type="dxa"/>
                  <w:vAlign w:val="center"/>
                </w:tcPr>
                <w:p>
                  <w:pPr>
                    <w:pStyle w:val="158"/>
                    <w:adjustRightInd w:val="0"/>
                    <w:snapToGrid w:val="0"/>
                    <w:rPr>
                      <w:bCs/>
                      <w:szCs w:val="21"/>
                    </w:rPr>
                  </w:pPr>
                  <w:r>
                    <w:rPr>
                      <w:rFonts w:hAnsi="宋体"/>
                      <w:bCs/>
                      <w:szCs w:val="21"/>
                    </w:rPr>
                    <w:t>达标率</w:t>
                  </w:r>
                  <w:r>
                    <w:rPr>
                      <w:bCs/>
                      <w:szCs w:val="21"/>
                    </w:rPr>
                    <w:t>%</w:t>
                  </w:r>
                </w:p>
              </w:tc>
              <w:tc>
                <w:tcPr>
                  <w:tcW w:w="909" w:type="dxa"/>
                  <w:vAlign w:val="center"/>
                </w:tcPr>
                <w:p>
                  <w:pPr>
                    <w:pStyle w:val="158"/>
                    <w:adjustRightInd w:val="0"/>
                    <w:snapToGrid w:val="0"/>
                    <w:rPr>
                      <w:bCs/>
                      <w:szCs w:val="21"/>
                    </w:rPr>
                  </w:pPr>
                  <w:r>
                    <w:rPr>
                      <w:rFonts w:hAnsi="宋体"/>
                      <w:bCs/>
                      <w:szCs w:val="21"/>
                    </w:rPr>
                    <w:t>质量</w:t>
                  </w:r>
                </w:p>
                <w:p>
                  <w:pPr>
                    <w:pStyle w:val="158"/>
                    <w:adjustRightInd w:val="0"/>
                    <w:snapToGrid w:val="0"/>
                    <w:rPr>
                      <w:bCs/>
                      <w:szCs w:val="21"/>
                    </w:rPr>
                  </w:pPr>
                  <w:r>
                    <w:rPr>
                      <w:rFonts w:hAnsi="宋体"/>
                      <w:bCs/>
                      <w:szCs w:val="21"/>
                    </w:rPr>
                    <w:t>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5" w:type="dxa"/>
                  <w:vAlign w:val="center"/>
                </w:tcPr>
                <w:p>
                  <w:pPr>
                    <w:tabs>
                      <w:tab w:val="left" w:pos="2760"/>
                    </w:tabs>
                    <w:adjustRightInd w:val="0"/>
                    <w:snapToGrid w:val="0"/>
                    <w:jc w:val="center"/>
                    <w:rPr>
                      <w:szCs w:val="21"/>
                    </w:rPr>
                  </w:pPr>
                  <w:r>
                    <w:rPr>
                      <w:rFonts w:hint="eastAsia"/>
                      <w:szCs w:val="21"/>
                      <w:lang w:eastAsia="zh-CN"/>
                    </w:rPr>
                    <w:t>长兴悍将环保机械制造有限公司</w:t>
                  </w:r>
                </w:p>
              </w:tc>
              <w:tc>
                <w:tcPr>
                  <w:tcW w:w="720" w:type="dxa"/>
                  <w:vAlign w:val="center"/>
                </w:tcPr>
                <w:p>
                  <w:pPr>
                    <w:adjustRightInd w:val="0"/>
                    <w:snapToGrid w:val="0"/>
                    <w:jc w:val="center"/>
                    <w:rPr>
                      <w:rFonts w:hint="eastAsia" w:eastAsia="宋体"/>
                      <w:szCs w:val="21"/>
                      <w:lang w:eastAsia="zh-CN"/>
                    </w:rPr>
                  </w:pPr>
                  <w:r>
                    <w:rPr>
                      <w:rFonts w:hint="eastAsia"/>
                      <w:szCs w:val="21"/>
                      <w:lang w:eastAsia="zh-CN"/>
                    </w:rPr>
                    <w:t>非甲烷总烃</w:t>
                  </w:r>
                </w:p>
              </w:tc>
              <w:tc>
                <w:tcPr>
                  <w:tcW w:w="1235" w:type="dxa"/>
                  <w:tcBorders>
                    <w:right w:val="single" w:color="auto" w:sz="4" w:space="0"/>
                  </w:tcBorders>
                  <w:vAlign w:val="center"/>
                </w:tcPr>
                <w:p>
                  <w:pPr>
                    <w:adjustRightInd w:val="0"/>
                    <w:snapToGrid w:val="0"/>
                    <w:jc w:val="both"/>
                    <w:rPr>
                      <w:szCs w:val="21"/>
                    </w:rPr>
                  </w:pPr>
                  <w:r>
                    <w:rPr>
                      <w:rFonts w:hint="eastAsia"/>
                      <w:szCs w:val="21"/>
                    </w:rPr>
                    <w:t>2020</w:t>
                  </w:r>
                  <w:r>
                    <w:rPr>
                      <w:rFonts w:hint="eastAsia"/>
                      <w:szCs w:val="21"/>
                      <w:lang w:eastAsia="zh-CN"/>
                    </w:rPr>
                    <w:t>年</w:t>
                  </w:r>
                  <w:r>
                    <w:rPr>
                      <w:rFonts w:hint="eastAsia"/>
                      <w:szCs w:val="21"/>
                    </w:rPr>
                    <w:t>1月3 日</w:t>
                  </w:r>
                  <w:r>
                    <w:rPr>
                      <w:rFonts w:hint="eastAsia"/>
                      <w:szCs w:val="21"/>
                      <w:lang w:eastAsia="zh-CN"/>
                    </w:rPr>
                    <w:t>—</w:t>
                  </w:r>
                  <w:r>
                    <w:rPr>
                      <w:rFonts w:hint="eastAsia"/>
                      <w:szCs w:val="21"/>
                    </w:rPr>
                    <w:t>9日连续</w:t>
                  </w:r>
                  <w:r>
                    <w:rPr>
                      <w:rFonts w:hint="eastAsia"/>
                      <w:szCs w:val="21"/>
                      <w:lang w:eastAsia="zh-CN"/>
                    </w:rPr>
                    <w:t>监测</w:t>
                  </w:r>
                  <w:r>
                    <w:rPr>
                      <w:rFonts w:hint="eastAsia"/>
                      <w:szCs w:val="21"/>
                    </w:rPr>
                    <w:t>7 天</w:t>
                  </w:r>
                </w:p>
              </w:tc>
              <w:tc>
                <w:tcPr>
                  <w:tcW w:w="725" w:type="dxa"/>
                  <w:tcBorders>
                    <w:left w:val="single" w:color="auto" w:sz="4" w:space="0"/>
                  </w:tcBorders>
                  <w:vAlign w:val="center"/>
                </w:tcPr>
                <w:p>
                  <w:pPr>
                    <w:adjustRightInd w:val="0"/>
                    <w:snapToGrid w:val="0"/>
                    <w:jc w:val="center"/>
                    <w:rPr>
                      <w:rFonts w:hint="eastAsia" w:eastAsia="宋体"/>
                      <w:szCs w:val="21"/>
                      <w:lang w:val="en-US" w:eastAsia="zh-CN"/>
                    </w:rPr>
                  </w:pPr>
                  <w:r>
                    <w:rPr>
                      <w:rFonts w:hint="eastAsia"/>
                      <w:szCs w:val="21"/>
                      <w:lang w:val="en-US" w:eastAsia="zh-CN"/>
                    </w:rPr>
                    <w:t>7</w:t>
                  </w:r>
                </w:p>
              </w:tc>
              <w:tc>
                <w:tcPr>
                  <w:tcW w:w="758" w:type="dxa"/>
                  <w:vAlign w:val="center"/>
                </w:tcPr>
                <w:p>
                  <w:pPr>
                    <w:adjustRightInd w:val="0"/>
                    <w:snapToGrid w:val="0"/>
                    <w:jc w:val="center"/>
                    <w:rPr>
                      <w:rFonts w:hint="default" w:eastAsia="宋体"/>
                      <w:szCs w:val="21"/>
                      <w:lang w:val="en-US" w:eastAsia="zh-CN"/>
                    </w:rPr>
                  </w:pPr>
                  <w:r>
                    <w:rPr>
                      <w:rFonts w:hint="eastAsia"/>
                      <w:szCs w:val="21"/>
                      <w:lang w:val="en-US" w:eastAsia="zh-CN"/>
                    </w:rPr>
                    <w:t>28</w:t>
                  </w:r>
                </w:p>
              </w:tc>
              <w:tc>
                <w:tcPr>
                  <w:tcW w:w="1122" w:type="dxa"/>
                  <w:vAlign w:val="center"/>
                </w:tcPr>
                <w:p>
                  <w:pPr>
                    <w:adjustRightInd w:val="0"/>
                    <w:snapToGrid w:val="0"/>
                    <w:jc w:val="center"/>
                    <w:rPr>
                      <w:szCs w:val="21"/>
                    </w:rPr>
                  </w:pPr>
                  <w:r>
                    <w:rPr>
                      <w:rFonts w:hint="eastAsia"/>
                      <w:szCs w:val="21"/>
                    </w:rPr>
                    <w:t>0.38~1.69</w:t>
                  </w:r>
                </w:p>
              </w:tc>
              <w:tc>
                <w:tcPr>
                  <w:tcW w:w="1104" w:type="dxa"/>
                  <w:vAlign w:val="center"/>
                </w:tcPr>
                <w:p>
                  <w:pPr>
                    <w:adjustRightInd w:val="0"/>
                    <w:snapToGrid w:val="0"/>
                    <w:jc w:val="center"/>
                    <w:rPr>
                      <w:rFonts w:hint="default" w:eastAsia="宋体"/>
                      <w:szCs w:val="21"/>
                      <w:lang w:val="en-US" w:eastAsia="zh-CN"/>
                    </w:rPr>
                  </w:pPr>
                  <w:r>
                    <w:rPr>
                      <w:rFonts w:hint="eastAsia"/>
                      <w:szCs w:val="21"/>
                      <w:lang w:val="en-US" w:eastAsia="zh-CN"/>
                    </w:rPr>
                    <w:t>2.0</w:t>
                  </w:r>
                </w:p>
              </w:tc>
              <w:tc>
                <w:tcPr>
                  <w:tcW w:w="816" w:type="dxa"/>
                  <w:vAlign w:val="center"/>
                </w:tcPr>
                <w:p>
                  <w:pPr>
                    <w:adjustRightInd w:val="0"/>
                    <w:snapToGrid w:val="0"/>
                    <w:jc w:val="center"/>
                    <w:rPr>
                      <w:rFonts w:hint="default" w:eastAsia="宋体"/>
                      <w:szCs w:val="21"/>
                      <w:lang w:val="en-US" w:eastAsia="zh-CN"/>
                    </w:rPr>
                  </w:pPr>
                  <w:r>
                    <w:rPr>
                      <w:rFonts w:hint="eastAsia"/>
                      <w:szCs w:val="21"/>
                      <w:lang w:val="en-US" w:eastAsia="zh-CN"/>
                    </w:rPr>
                    <w:t>100</w:t>
                  </w:r>
                </w:p>
              </w:tc>
              <w:tc>
                <w:tcPr>
                  <w:tcW w:w="909" w:type="dxa"/>
                  <w:vAlign w:val="center"/>
                </w:tcPr>
                <w:p>
                  <w:pPr>
                    <w:adjustRightInd w:val="0"/>
                    <w:snapToGrid w:val="0"/>
                    <w:jc w:val="center"/>
                    <w:rPr>
                      <w:rFonts w:hint="eastAsia" w:eastAsia="宋体"/>
                      <w:szCs w:val="21"/>
                      <w:lang w:eastAsia="zh-CN"/>
                    </w:rPr>
                  </w:pPr>
                  <w:r>
                    <w:rPr>
                      <w:rFonts w:hint="eastAsia"/>
                      <w:szCs w:val="21"/>
                      <w:lang w:eastAsia="zh-CN"/>
                    </w:rPr>
                    <w:t>达标</w:t>
                  </w:r>
                </w:p>
              </w:tc>
            </w:tr>
          </w:tbl>
          <w:p>
            <w:pPr>
              <w:spacing w:line="500" w:lineRule="exact"/>
              <w:ind w:firstLine="480" w:firstLineChars="200"/>
              <w:contextualSpacing/>
              <w:rPr>
                <w:rFonts w:hAnsi="宋体"/>
                <w:sz w:val="24"/>
              </w:rPr>
            </w:pPr>
            <w:r>
              <w:rPr>
                <w:rFonts w:hAnsi="宋体"/>
                <w:sz w:val="24"/>
              </w:rPr>
              <w:t>由表</w:t>
            </w:r>
            <w:r>
              <w:rPr>
                <w:sz w:val="24"/>
              </w:rPr>
              <w:t>3.1-2</w:t>
            </w:r>
            <w:r>
              <w:rPr>
                <w:rFonts w:hAnsi="宋体"/>
                <w:sz w:val="24"/>
              </w:rPr>
              <w:t>的监测结果统计分析可以看出，</w:t>
            </w:r>
            <w:r>
              <w:rPr>
                <w:rFonts w:hint="eastAsia" w:hAnsi="宋体"/>
                <w:sz w:val="24"/>
                <w:lang w:eastAsia="zh-CN"/>
              </w:rPr>
              <w:t>引用</w:t>
            </w:r>
            <w:r>
              <w:rPr>
                <w:rFonts w:hAnsi="宋体"/>
                <w:sz w:val="24"/>
              </w:rPr>
              <w:t>监测点的</w:t>
            </w:r>
            <w:r>
              <w:rPr>
                <w:rFonts w:hint="eastAsia" w:hAnsi="宋体"/>
                <w:sz w:val="24"/>
                <w:lang w:eastAsia="zh-CN"/>
              </w:rPr>
              <w:t>非甲烷总烃</w:t>
            </w:r>
            <w:r>
              <w:rPr>
                <w:rFonts w:hAnsi="宋体"/>
                <w:sz w:val="24"/>
              </w:rPr>
              <w:t>能满足</w:t>
            </w:r>
            <w:r>
              <w:rPr>
                <w:rFonts w:hint="eastAsia" w:hAnsi="宋体"/>
                <w:sz w:val="24"/>
              </w:rPr>
              <w:t>合《大气污染物综合排放 标准详解》中限值要求</w:t>
            </w:r>
            <w:r>
              <w:rPr>
                <w:rFonts w:hAnsi="宋体"/>
                <w:sz w:val="24"/>
              </w:rPr>
              <w:t>。</w:t>
            </w:r>
            <w:bookmarkStart w:id="16" w:name="_Toc32395"/>
          </w:p>
          <w:p>
            <w:pPr>
              <w:pStyle w:val="2"/>
              <w:jc w:val="center"/>
            </w:pPr>
            <w:r>
              <w:drawing>
                <wp:inline distT="0" distB="0" distL="114300" distR="114300">
                  <wp:extent cx="5370830" cy="3742690"/>
                  <wp:effectExtent l="0" t="0" r="8890" b="635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35"/>
                          <a:stretch>
                            <a:fillRect/>
                          </a:stretch>
                        </pic:blipFill>
                        <pic:spPr>
                          <a:xfrm>
                            <a:off x="0" y="0"/>
                            <a:ext cx="5370830" cy="3742690"/>
                          </a:xfrm>
                          <a:prstGeom prst="rect">
                            <a:avLst/>
                          </a:prstGeom>
                          <a:noFill/>
                          <a:ln>
                            <a:noFill/>
                          </a:ln>
                        </pic:spPr>
                      </pic:pic>
                    </a:graphicData>
                  </a:graphic>
                </wp:inline>
              </w:drawing>
            </w:r>
          </w:p>
          <w:p>
            <w:pPr>
              <w:pStyle w:val="3"/>
              <w:ind w:left="0" w:leftChars="0" w:firstLine="0" w:firstLineChars="0"/>
              <w:jc w:val="center"/>
              <w:rPr>
                <w:rFonts w:hint="default" w:eastAsia="宋体"/>
                <w:b/>
                <w:bCs/>
                <w:u w:val="single"/>
                <w:lang w:val="en-US" w:eastAsia="zh-CN"/>
              </w:rPr>
            </w:pPr>
            <w:r>
              <w:rPr>
                <w:rFonts w:hint="eastAsia"/>
                <w:b/>
                <w:bCs/>
                <w:u w:val="single"/>
                <w:lang w:eastAsia="zh-CN"/>
              </w:rPr>
              <w:t>图</w:t>
            </w:r>
            <w:r>
              <w:rPr>
                <w:rFonts w:hint="eastAsia"/>
                <w:b/>
                <w:bCs/>
                <w:u w:val="single"/>
                <w:lang w:val="en-US" w:eastAsia="zh-CN"/>
              </w:rPr>
              <w:t>3.1-2  非甲烷总烃监测点位图</w:t>
            </w:r>
          </w:p>
          <w:p>
            <w:pPr>
              <w:pStyle w:val="5"/>
              <w:spacing w:line="500" w:lineRule="exact"/>
              <w:ind w:firstLine="0" w:firstLineChars="0"/>
              <w:rPr>
                <w:b/>
                <w:bCs/>
              </w:rPr>
            </w:pPr>
            <w:r>
              <w:rPr>
                <w:b/>
                <w:bCs/>
              </w:rPr>
              <w:t>3.1.2</w:t>
            </w:r>
            <w:r>
              <w:rPr>
                <w:rFonts w:hAnsi="宋体"/>
                <w:b/>
                <w:bCs/>
              </w:rPr>
              <w:t>地表水现状监测数据</w:t>
            </w:r>
            <w:bookmarkEnd w:id="16"/>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contextualSpacing/>
              <w:textAlignment w:val="auto"/>
              <w:rPr>
                <w:rFonts w:hAnsi="宋体"/>
                <w:b/>
                <w:szCs w:val="21"/>
              </w:rPr>
            </w:pPr>
            <w:r>
              <w:rPr>
                <w:rStyle w:val="43"/>
                <w:rFonts w:ascii="Times New Roman" w:hAnsi="Times New Roman" w:cs="Times New Roman"/>
                <w:b w:val="0"/>
                <w:sz w:val="24"/>
                <w:szCs w:val="24"/>
              </w:rPr>
              <w:t>本项目所在地附近地表水主要为</w:t>
            </w:r>
            <w:r>
              <w:rPr>
                <w:rStyle w:val="43"/>
                <w:rFonts w:hint="eastAsia" w:ascii="Times New Roman" w:hAnsi="Times New Roman" w:cs="Times New Roman"/>
                <w:b w:val="0"/>
                <w:sz w:val="24"/>
                <w:szCs w:val="24"/>
              </w:rPr>
              <w:t>泗安塘</w:t>
            </w:r>
            <w:r>
              <w:rPr>
                <w:rStyle w:val="43"/>
                <w:rFonts w:ascii="Times New Roman" w:hAnsi="Times New Roman" w:cs="Times New Roman"/>
                <w:b w:val="0"/>
                <w:sz w:val="24"/>
                <w:szCs w:val="24"/>
              </w:rPr>
              <w:t>。根据《浙江省水功能区水环境功能区划分方案（2015）》，</w:t>
            </w:r>
            <w:r>
              <w:rPr>
                <w:rStyle w:val="43"/>
                <w:rFonts w:hint="eastAsia" w:ascii="Times New Roman" w:hAnsi="Times New Roman" w:cs="Times New Roman"/>
                <w:b w:val="0"/>
                <w:sz w:val="24"/>
                <w:szCs w:val="24"/>
              </w:rPr>
              <w:t>泗安塘</w:t>
            </w:r>
            <w:r>
              <w:rPr>
                <w:rStyle w:val="43"/>
                <w:rFonts w:ascii="Times New Roman" w:hAnsi="Times New Roman" w:cs="Times New Roman"/>
                <w:b w:val="0"/>
                <w:sz w:val="24"/>
                <w:szCs w:val="24"/>
              </w:rPr>
              <w:t>目标水质为《地表水环境质量标准》（GB3838-2002）中的Ⅲ类。根据《长兴县环境状况公报（202</w:t>
            </w:r>
            <w:r>
              <w:rPr>
                <w:rStyle w:val="43"/>
                <w:rFonts w:hint="eastAsia" w:ascii="Times New Roman" w:hAnsi="Times New Roman" w:cs="Times New Roman"/>
                <w:b w:val="0"/>
                <w:sz w:val="24"/>
                <w:szCs w:val="24"/>
              </w:rPr>
              <w:t>1</w:t>
            </w:r>
            <w:r>
              <w:rPr>
                <w:rStyle w:val="43"/>
                <w:rFonts w:ascii="Times New Roman" w:hAnsi="Times New Roman" w:cs="Times New Roman"/>
                <w:b w:val="0"/>
                <w:sz w:val="24"/>
                <w:szCs w:val="24"/>
              </w:rPr>
              <w:t>年）》，2021年，长兴水系共计16</w:t>
            </w:r>
            <w:r>
              <w:rPr>
                <w:rStyle w:val="43"/>
                <w:rFonts w:hint="eastAsia" w:ascii="Times New Roman" w:hAnsi="Times New Roman" w:cs="Times New Roman"/>
                <w:b w:val="0"/>
                <w:sz w:val="24"/>
                <w:szCs w:val="24"/>
              </w:rPr>
              <w:t>个县控以上监测断面，东村桥不涉及考核。</w:t>
            </w:r>
            <w:r>
              <w:rPr>
                <w:rStyle w:val="43"/>
                <w:rFonts w:ascii="Times New Roman" w:hAnsi="Times New Roman" w:cs="Times New Roman"/>
                <w:b w:val="0"/>
                <w:sz w:val="24"/>
                <w:szCs w:val="24"/>
              </w:rPr>
              <w:t>15</w:t>
            </w:r>
            <w:r>
              <w:rPr>
                <w:rStyle w:val="43"/>
                <w:rFonts w:hint="eastAsia" w:ascii="Times New Roman" w:hAnsi="Times New Roman" w:cs="Times New Roman"/>
                <w:b w:val="0"/>
                <w:sz w:val="24"/>
                <w:szCs w:val="24"/>
              </w:rPr>
              <w:t>个考核断面中，</w:t>
            </w:r>
            <w:r>
              <w:rPr>
                <w:rStyle w:val="43"/>
                <w:rFonts w:ascii="Times New Roman" w:hAnsi="Times New Roman" w:cs="Times New Roman"/>
                <w:b w:val="0"/>
                <w:sz w:val="24"/>
                <w:szCs w:val="24"/>
              </w:rPr>
              <w:t>Ⅰ～Ⅲ</w:t>
            </w:r>
            <w:r>
              <w:rPr>
                <w:rStyle w:val="43"/>
                <w:rFonts w:hint="eastAsia" w:ascii="Times New Roman" w:hAnsi="Times New Roman" w:cs="Times New Roman"/>
                <w:b w:val="0"/>
                <w:sz w:val="24"/>
                <w:szCs w:val="24"/>
              </w:rPr>
              <w:t>类断面比例为</w:t>
            </w:r>
            <w:r>
              <w:rPr>
                <w:rStyle w:val="43"/>
                <w:rFonts w:ascii="Times New Roman" w:hAnsi="Times New Roman" w:cs="Times New Roman"/>
                <w:b w:val="0"/>
                <w:sz w:val="24"/>
                <w:szCs w:val="24"/>
              </w:rPr>
              <w:t>100%</w:t>
            </w:r>
            <w:r>
              <w:rPr>
                <w:rStyle w:val="43"/>
                <w:rFonts w:hint="eastAsia" w:ascii="Times New Roman" w:hAnsi="Times New Roman" w:cs="Times New Roman"/>
                <w:b w:val="0"/>
                <w:sz w:val="24"/>
                <w:szCs w:val="24"/>
              </w:rPr>
              <w:t>，满足功能要求断面比例为</w:t>
            </w:r>
            <w:r>
              <w:rPr>
                <w:rStyle w:val="43"/>
                <w:rFonts w:ascii="Times New Roman" w:hAnsi="Times New Roman" w:cs="Times New Roman"/>
                <w:b w:val="0"/>
                <w:sz w:val="24"/>
                <w:szCs w:val="24"/>
              </w:rPr>
              <w:t>100%</w:t>
            </w:r>
            <w:r>
              <w:rPr>
                <w:rStyle w:val="43"/>
                <w:rFonts w:hint="eastAsia" w:ascii="Times New Roman" w:hAnsi="Times New Roman" w:cs="Times New Roman"/>
                <w:b w:val="0"/>
                <w:sz w:val="24"/>
                <w:szCs w:val="24"/>
              </w:rPr>
              <w:t>，根据《地表水环境质量评价方法（试行）》对河流及水系定性评价，长兴水系水质状况为优。</w:t>
            </w:r>
          </w:p>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本环评引用2019年泗安塘林城断面常规监测数据，具体见表</w:t>
            </w:r>
            <w:r>
              <w:rPr>
                <w:rFonts w:hint="eastAsia" w:ascii="Times New Roman" w:hAnsi="Times New Roman" w:eastAsia="宋体"/>
                <w:color w:val="auto"/>
                <w:sz w:val="24"/>
                <w:szCs w:val="24"/>
                <w:highlight w:val="none"/>
                <w:lang w:val="en-US" w:eastAsia="zh-CN"/>
              </w:rPr>
              <w:t>3.</w:t>
            </w:r>
            <w:r>
              <w:rPr>
                <w:rFonts w:hint="eastAsia"/>
                <w:color w:val="auto"/>
                <w:sz w:val="24"/>
                <w:szCs w:val="24"/>
                <w:highlight w:val="none"/>
                <w:lang w:val="en-US" w:eastAsia="zh-CN"/>
              </w:rPr>
              <w:t>1</w:t>
            </w:r>
            <w:r>
              <w:rPr>
                <w:rFonts w:hint="eastAsia" w:ascii="Times New Roman" w:hAnsi="Times New Roman" w:eastAsia="宋体"/>
                <w:color w:val="auto"/>
                <w:sz w:val="24"/>
                <w:szCs w:val="24"/>
                <w:highlight w:val="none"/>
                <w:lang w:val="en-US" w:eastAsia="zh-CN"/>
              </w:rPr>
              <w:t>-3</w:t>
            </w:r>
            <w:r>
              <w:rPr>
                <w:rFonts w:hint="eastAsia" w:ascii="Times New Roman" w:hAnsi="Times New Roman" w:eastAsia="宋体"/>
                <w:color w:val="auto"/>
                <w:sz w:val="24"/>
                <w:szCs w:val="24"/>
                <w:highlight w:val="none"/>
              </w:rPr>
              <w:t>。</w:t>
            </w:r>
          </w:p>
          <w:p>
            <w:pPr>
              <w:keepNext w:val="0"/>
              <w:keepLines w:val="0"/>
              <w:suppressLineNumbers w:val="0"/>
              <w:spacing w:before="0" w:beforeAutospacing="0" w:after="0" w:afterAutospacing="0" w:line="500" w:lineRule="exact"/>
              <w:ind w:left="0" w:right="0"/>
              <w:jc w:val="center"/>
              <w:rPr>
                <w:rFonts w:hint="default" w:ascii="宋体" w:hAnsi="宋体" w:eastAsia="宋体" w:cs="宋体"/>
                <w:b/>
                <w:bCs/>
                <w:color w:val="auto"/>
                <w:szCs w:val="21"/>
                <w:highlight w:val="none"/>
              </w:rPr>
            </w:pPr>
            <w:r>
              <w:rPr>
                <w:rFonts w:hint="default" w:ascii="宋体" w:hAnsi="宋体" w:eastAsia="宋体" w:cs="宋体"/>
                <w:b/>
                <w:bCs/>
                <w:color w:val="auto"/>
                <w:szCs w:val="21"/>
                <w:highlight w:val="none"/>
              </w:rPr>
              <w:t>表</w:t>
            </w:r>
            <w:r>
              <w:rPr>
                <w:rFonts w:hint="default" w:ascii="Times New Roman" w:hAnsi="Times New Roman" w:eastAsia="宋体" w:cs="Times New Roman"/>
                <w:b/>
                <w:bCs/>
                <w:color w:val="auto"/>
                <w:szCs w:val="21"/>
                <w:highlight w:val="none"/>
              </w:rPr>
              <w:t>3</w:t>
            </w:r>
            <w:r>
              <w:rPr>
                <w:rFonts w:hint="eastAsia"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3</w:t>
            </w:r>
            <w:r>
              <w:rPr>
                <w:rFonts w:hint="eastAsia" w:ascii="Times New Roman" w:hAnsi="Times New Roman" w:cs="Times New Roman"/>
                <w:b/>
                <w:bCs/>
                <w:color w:val="auto"/>
                <w:szCs w:val="21"/>
                <w:highlight w:val="none"/>
              </w:rPr>
              <w:t xml:space="preserve">  </w:t>
            </w:r>
            <w:r>
              <w:rPr>
                <w:rFonts w:hint="default" w:ascii="Times New Roman" w:hAnsi="Times New Roman" w:eastAsia="宋体" w:cs="Times New Roman"/>
                <w:b/>
                <w:bCs/>
                <w:color w:val="auto"/>
                <w:szCs w:val="21"/>
                <w:highlight w:val="none"/>
              </w:rPr>
              <w:t>2019</w:t>
            </w:r>
            <w:r>
              <w:rPr>
                <w:rFonts w:hint="default" w:ascii="Times New Roman" w:hAnsi="宋体" w:eastAsia="宋体" w:cs="Times New Roman"/>
                <w:b/>
                <w:bCs/>
                <w:color w:val="auto"/>
                <w:szCs w:val="21"/>
                <w:highlight w:val="none"/>
              </w:rPr>
              <w:t>年长</w:t>
            </w:r>
            <w:r>
              <w:rPr>
                <w:rFonts w:hint="default" w:ascii="宋体" w:hAnsi="宋体" w:eastAsia="宋体" w:cs="宋体"/>
                <w:b/>
                <w:bCs/>
                <w:color w:val="auto"/>
                <w:szCs w:val="21"/>
                <w:highlight w:val="none"/>
              </w:rPr>
              <w:t>兴县泗安塘（林城断面）监测数据</w:t>
            </w:r>
          </w:p>
          <w:p>
            <w:pPr>
              <w:keepNext w:val="0"/>
              <w:keepLines w:val="0"/>
              <w:suppressLineNumbers w:val="0"/>
              <w:wordWrap w:val="0"/>
              <w:spacing w:before="0" w:beforeAutospacing="0" w:after="0" w:afterAutospacing="0"/>
              <w:ind w:left="0" w:right="0"/>
              <w:jc w:val="right"/>
              <w:rPr>
                <w:rFonts w:hint="default" w:ascii="Times New Roman" w:hAnsi="Times New Roman" w:eastAsia="宋体"/>
                <w:b/>
                <w:bCs/>
                <w:color w:val="auto"/>
                <w:szCs w:val="21"/>
                <w:highlight w:val="none"/>
              </w:rPr>
            </w:pPr>
            <w:r>
              <w:rPr>
                <w:rFonts w:hint="default" w:ascii="宋体" w:hAnsi="宋体" w:eastAsia="宋体" w:cs="宋体"/>
                <w:b/>
                <w:bCs/>
                <w:color w:val="auto"/>
                <w:szCs w:val="21"/>
                <w:highlight w:val="none"/>
              </w:rPr>
              <w:t>单位：</w:t>
            </w:r>
            <w:r>
              <w:rPr>
                <w:rFonts w:hint="default" w:ascii="Times New Roman" w:hAnsi="Times New Roman" w:eastAsia="宋体" w:cs="Times New Roman"/>
                <w:b/>
                <w:bCs/>
                <w:color w:val="auto"/>
                <w:szCs w:val="21"/>
                <w:highlight w:val="none"/>
              </w:rPr>
              <w:t>mg/L，pH</w:t>
            </w:r>
            <w:r>
              <w:rPr>
                <w:rFonts w:hint="default" w:ascii="宋体" w:hAnsi="宋体" w:eastAsia="宋体" w:cs="宋体"/>
                <w:b/>
                <w:bCs/>
                <w:color w:val="auto"/>
                <w:szCs w:val="21"/>
                <w:highlight w:val="none"/>
              </w:rPr>
              <w:t>除外</w:t>
            </w:r>
            <w:r>
              <w:rPr>
                <w:rFonts w:hint="eastAsia" w:ascii="宋体" w:hAnsi="宋体" w:eastAsia="宋体" w:cs="宋体"/>
                <w:b/>
                <w:bCs/>
                <w:color w:val="auto"/>
                <w:szCs w:val="21"/>
                <w:highlight w:val="none"/>
              </w:rPr>
              <w:t xml:space="preserve">  </w:t>
            </w:r>
          </w:p>
          <w:tbl>
            <w:tblPr>
              <w:tblStyle w:val="4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833"/>
              <w:gridCol w:w="1174"/>
              <w:gridCol w:w="1173"/>
              <w:gridCol w:w="1174"/>
              <w:gridCol w:w="117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7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河流</w:t>
                  </w:r>
                </w:p>
              </w:tc>
              <w:tc>
                <w:tcPr>
                  <w:tcW w:w="85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断面</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水期</w:t>
                  </w:r>
                </w:p>
              </w:tc>
              <w:tc>
                <w:tcPr>
                  <w:tcW w:w="121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pH</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COD</w:t>
                  </w:r>
                  <w:r>
                    <w:rPr>
                      <w:rFonts w:hint="eastAsia" w:ascii="Times New Roman" w:hAnsi="Times New Roman" w:cs="Times New Roman"/>
                      <w:color w:val="auto"/>
                      <w:szCs w:val="21"/>
                      <w:highlight w:val="none"/>
                      <w:vertAlign w:val="subscript"/>
                    </w:rPr>
                    <w:t>Mn</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NH</w:t>
                  </w:r>
                  <w:r>
                    <w:rPr>
                      <w:rFonts w:hint="eastAsia" w:ascii="Times New Roman" w:hAnsi="Times New Roman" w:cs="Times New Roman"/>
                      <w:color w:val="auto"/>
                      <w:szCs w:val="21"/>
                      <w:highlight w:val="none"/>
                      <w:vertAlign w:val="subscript"/>
                    </w:rPr>
                    <w:t>3</w:t>
                  </w:r>
                  <w:r>
                    <w:rPr>
                      <w:rFonts w:hint="eastAsia" w:ascii="Times New Roman" w:hAnsi="Times New Roman" w:cs="Times New Roman"/>
                      <w:color w:val="auto"/>
                      <w:szCs w:val="21"/>
                      <w:highlight w:val="none"/>
                    </w:rPr>
                    <w:t>-N</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7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泗安塘</w:t>
                  </w:r>
                </w:p>
              </w:tc>
              <w:tc>
                <w:tcPr>
                  <w:tcW w:w="859"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林城</w:t>
                  </w:r>
                </w:p>
              </w:tc>
              <w:tc>
                <w:tcPr>
                  <w:tcW w:w="121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全年</w:t>
                  </w:r>
                </w:p>
              </w:tc>
              <w:tc>
                <w:tcPr>
                  <w:tcW w:w="121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7.29</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3.6</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0.28</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7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标准值（</w:t>
                  </w:r>
                  <w:r>
                    <w:rPr>
                      <w:rFonts w:hint="eastAsia" w:ascii="宋体" w:hAnsi="宋体" w:eastAsia="宋体" w:cs="宋体"/>
                      <w:color w:val="auto"/>
                      <w:szCs w:val="21"/>
                      <w:highlight w:val="none"/>
                    </w:rPr>
                    <w:t>Ⅲ</w:t>
                  </w:r>
                  <w:r>
                    <w:rPr>
                      <w:rFonts w:hint="eastAsia" w:ascii="宋体" w:hAnsi="宋体" w:cs="宋体"/>
                      <w:color w:val="auto"/>
                      <w:szCs w:val="21"/>
                      <w:highlight w:val="none"/>
                    </w:rPr>
                    <w:t>类</w:t>
                  </w:r>
                  <w:r>
                    <w:rPr>
                      <w:rFonts w:hint="eastAsia" w:ascii="Times New Roman" w:hAnsi="Times New Roman" w:cs="Times New Roman"/>
                      <w:color w:val="auto"/>
                      <w:szCs w:val="21"/>
                      <w:highlight w:val="none"/>
                    </w:rPr>
                    <w:t>）</w:t>
                  </w:r>
                </w:p>
              </w:tc>
              <w:tc>
                <w:tcPr>
                  <w:tcW w:w="8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21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21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6~9</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Arial" w:hAnsi="Arial" w:eastAsia="宋体" w:cs="Arial"/>
                      <w:color w:val="auto"/>
                      <w:szCs w:val="21"/>
                      <w:highlight w:val="none"/>
                    </w:rPr>
                    <w:t>≤</w:t>
                  </w:r>
                  <w:r>
                    <w:rPr>
                      <w:rFonts w:hint="eastAsia" w:ascii="Times New Roman" w:hAnsi="Times New Roman" w:cs="Times New Roman"/>
                      <w:color w:val="auto"/>
                      <w:szCs w:val="21"/>
                      <w:highlight w:val="none"/>
                    </w:rPr>
                    <w:t>6.0</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Arial" w:hAnsi="Arial" w:eastAsia="宋体" w:cs="Arial"/>
                      <w:color w:val="auto"/>
                      <w:szCs w:val="21"/>
                      <w:highlight w:val="none"/>
                    </w:rPr>
                    <w:t>≤</w:t>
                  </w:r>
                  <w:r>
                    <w:rPr>
                      <w:rFonts w:hint="eastAsia" w:ascii="Times New Roman" w:hAnsi="Times New Roman" w:cs="Times New Roman"/>
                      <w:color w:val="auto"/>
                      <w:szCs w:val="21"/>
                      <w:highlight w:val="none"/>
                    </w:rPr>
                    <w:t>1.0</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Arial" w:hAnsi="Arial" w:eastAsia="宋体" w:cs="Arial"/>
                      <w:color w:val="auto"/>
                      <w:szCs w:val="21"/>
                      <w:highlight w:val="none"/>
                    </w:rPr>
                    <w:t>≤</w:t>
                  </w:r>
                  <w:r>
                    <w:rPr>
                      <w:rFonts w:hint="eastAsia" w:ascii="Times New Roman" w:hAnsi="Times New Roman" w:cs="Times New Roman"/>
                      <w:color w:val="auto"/>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7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比标值</w:t>
                  </w:r>
                </w:p>
              </w:tc>
              <w:tc>
                <w:tcPr>
                  <w:tcW w:w="8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21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21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0.15</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0.6</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0.28</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7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达标情况</w:t>
                  </w:r>
                </w:p>
              </w:tc>
              <w:tc>
                <w:tcPr>
                  <w:tcW w:w="85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21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21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达标</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达标</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达标</w:t>
                  </w:r>
                </w:p>
              </w:tc>
              <w:tc>
                <w:tcPr>
                  <w:tcW w:w="121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rPr>
                    <w:t>达标</w:t>
                  </w:r>
                </w:p>
              </w:tc>
            </w:tr>
          </w:tbl>
          <w:p>
            <w:pPr>
              <w:spacing w:line="500" w:lineRule="exact"/>
              <w:ind w:firstLine="480" w:firstLineChars="200"/>
              <w:contextualSpacing/>
              <w:rPr>
                <w:b/>
                <w:bCs/>
              </w:rPr>
            </w:pPr>
            <w:r>
              <w:rPr>
                <w:rFonts w:hint="eastAsia" w:ascii="Times New Roman" w:hAnsi="Times New Roman" w:eastAsia="宋体"/>
                <w:color w:val="auto"/>
                <w:sz w:val="24"/>
                <w:szCs w:val="24"/>
                <w:highlight w:val="none"/>
              </w:rPr>
              <w:t>由监测数据可知，项目所在地地表水环境质量各项指标均符合《地表水环境质量标准》（GB3838-2002）中的Ⅲ类水体标准，项目所在区域水环境质量较好</w:t>
            </w:r>
            <w:r>
              <w:rPr>
                <w:rFonts w:hAnsi="宋体"/>
                <w:bCs/>
                <w:sz w:val="24"/>
              </w:rPr>
              <w:t>。</w:t>
            </w:r>
            <w:bookmarkStart w:id="17" w:name="_Toc17924"/>
          </w:p>
          <w:p>
            <w:pPr>
              <w:pStyle w:val="5"/>
              <w:spacing w:line="500" w:lineRule="exact"/>
              <w:ind w:firstLine="0" w:firstLineChars="0"/>
              <w:rPr>
                <w:b/>
                <w:bCs/>
              </w:rPr>
            </w:pPr>
            <w:r>
              <w:rPr>
                <w:b/>
                <w:bCs/>
              </w:rPr>
              <w:t xml:space="preserve">3.1.3 </w:t>
            </w:r>
            <w:r>
              <w:rPr>
                <w:rFonts w:hAnsi="宋体"/>
                <w:b/>
                <w:bCs/>
              </w:rPr>
              <w:t>声环境现状监测数据</w:t>
            </w:r>
            <w:bookmarkEnd w:id="17"/>
          </w:p>
          <w:p>
            <w:pPr>
              <w:spacing w:line="500" w:lineRule="exact"/>
              <w:ind w:firstLine="480" w:firstLineChars="200"/>
              <w:rPr>
                <w:sz w:val="24"/>
                <w:szCs w:val="20"/>
              </w:rPr>
            </w:pPr>
            <w:r>
              <w:rPr>
                <w:rFonts w:hAnsi="宋体"/>
                <w:sz w:val="24"/>
                <w:szCs w:val="22"/>
              </w:rPr>
              <w:t>本项目选址于</w:t>
            </w:r>
            <w:r>
              <w:rPr>
                <w:rFonts w:hint="eastAsia" w:hAnsi="宋体"/>
                <w:sz w:val="24"/>
                <w:szCs w:val="22"/>
                <w:lang w:eastAsia="zh-CN"/>
              </w:rPr>
              <w:t xml:space="preserve">浙江省长兴县虹星桥镇工业集中区 </w:t>
            </w:r>
            <w:r>
              <w:rPr>
                <w:rFonts w:hAnsi="宋体"/>
                <w:sz w:val="24"/>
                <w:szCs w:val="22"/>
              </w:rPr>
              <w:t>，属于工业集聚区</w:t>
            </w:r>
            <w:r>
              <w:rPr>
                <w:rFonts w:hAnsi="宋体"/>
                <w:spacing w:val="-6"/>
                <w:sz w:val="24"/>
              </w:rPr>
              <w:t>，</w:t>
            </w:r>
            <w:r>
              <w:rPr>
                <w:rFonts w:hAnsi="宋体"/>
                <w:sz w:val="24"/>
                <w:szCs w:val="20"/>
              </w:rPr>
              <w:t>区域声环境质量应执行《声环境质量标准》（</w:t>
            </w:r>
            <w:r>
              <w:rPr>
                <w:sz w:val="24"/>
                <w:szCs w:val="20"/>
              </w:rPr>
              <w:t>GB3096-2008</w:t>
            </w:r>
            <w:r>
              <w:rPr>
                <w:rFonts w:hAnsi="宋体"/>
                <w:sz w:val="24"/>
                <w:szCs w:val="20"/>
              </w:rPr>
              <w:t>）中的</w:t>
            </w:r>
            <w:r>
              <w:rPr>
                <w:sz w:val="24"/>
                <w:szCs w:val="20"/>
              </w:rPr>
              <w:t>3</w:t>
            </w:r>
            <w:r>
              <w:rPr>
                <w:rFonts w:hAnsi="宋体"/>
                <w:sz w:val="24"/>
                <w:szCs w:val="20"/>
              </w:rPr>
              <w:t>类标准，</w:t>
            </w:r>
            <w:r>
              <w:rPr>
                <w:rFonts w:hAnsi="宋体"/>
                <w:sz w:val="24"/>
              </w:rPr>
              <w:t>周边敏感点声环境质量执行《声环境质量标准》（</w:t>
            </w:r>
            <w:r>
              <w:rPr>
                <w:sz w:val="24"/>
              </w:rPr>
              <w:t>GB3096-2008</w:t>
            </w:r>
            <w:r>
              <w:rPr>
                <w:rFonts w:hAnsi="宋体"/>
                <w:sz w:val="24"/>
              </w:rPr>
              <w:t>）中</w:t>
            </w:r>
            <w:r>
              <w:rPr>
                <w:sz w:val="24"/>
              </w:rPr>
              <w:t>2</w:t>
            </w:r>
            <w:r>
              <w:rPr>
                <w:rFonts w:hAnsi="宋体"/>
                <w:sz w:val="24"/>
              </w:rPr>
              <w:t>类标准</w:t>
            </w:r>
            <w:r>
              <w:rPr>
                <w:rFonts w:hAnsi="宋体"/>
                <w:sz w:val="24"/>
                <w:szCs w:val="20"/>
              </w:rPr>
              <w:t>。</w:t>
            </w:r>
            <w:r>
              <w:rPr>
                <w:rFonts w:hAnsi="宋体"/>
                <w:sz w:val="24"/>
                <w:szCs w:val="20"/>
                <w:lang w:bidi="zh-CN"/>
              </w:rPr>
              <w:t>为了解本项目周围噪声情况，建</w:t>
            </w:r>
            <w:r>
              <w:rPr>
                <w:rFonts w:hAnsi="宋体"/>
                <w:sz w:val="24"/>
                <w:szCs w:val="20"/>
                <w:highlight w:val="none"/>
                <w:lang w:bidi="zh-CN"/>
              </w:rPr>
              <w:t>设单位委托</w:t>
            </w:r>
            <w:r>
              <w:rPr>
                <w:rFonts w:hint="eastAsia" w:hAnsi="宋体"/>
                <w:sz w:val="24"/>
                <w:szCs w:val="20"/>
                <w:highlight w:val="none"/>
                <w:lang w:bidi="zh-CN"/>
              </w:rPr>
              <w:t>湖州普洛赛斯检测科技有限公司</w:t>
            </w:r>
            <w:r>
              <w:rPr>
                <w:rFonts w:hAnsi="宋体"/>
                <w:sz w:val="24"/>
                <w:szCs w:val="20"/>
                <w:highlight w:val="none"/>
                <w:lang w:bidi="zh-CN"/>
              </w:rPr>
              <w:t>对项目所在区域及</w:t>
            </w:r>
            <w:r>
              <w:rPr>
                <w:rFonts w:hint="eastAsia" w:hAnsi="宋体"/>
                <w:sz w:val="24"/>
                <w:szCs w:val="20"/>
                <w:highlight w:val="none"/>
                <w:lang w:bidi="zh-CN"/>
              </w:rPr>
              <w:t>西侧</w:t>
            </w:r>
            <w:r>
              <w:rPr>
                <w:rFonts w:hAnsi="宋体"/>
                <w:sz w:val="24"/>
                <w:szCs w:val="20"/>
                <w:highlight w:val="none"/>
                <w:lang w:bidi="zh-CN"/>
              </w:rPr>
              <w:t>敏感点噪声现状进行监测（报告编号：</w:t>
            </w:r>
            <w:r>
              <w:rPr>
                <w:rFonts w:hint="eastAsia" w:hAnsi="宋体"/>
                <w:sz w:val="24"/>
                <w:szCs w:val="20"/>
                <w:highlight w:val="none"/>
                <w:lang w:bidi="zh-CN"/>
              </w:rPr>
              <w:t>普洛赛斯检（2022）第H05060号、第H</w:t>
            </w:r>
            <w:r>
              <w:rPr>
                <w:rFonts w:hint="eastAsia" w:hAnsi="宋体"/>
                <w:sz w:val="24"/>
                <w:szCs w:val="20"/>
                <w:highlight w:val="none"/>
                <w:lang w:val="en-US" w:bidi="zh-CN"/>
              </w:rPr>
              <w:t>08111</w:t>
            </w:r>
            <w:r>
              <w:rPr>
                <w:rFonts w:hint="eastAsia" w:hAnsi="宋体"/>
                <w:sz w:val="24"/>
                <w:szCs w:val="20"/>
                <w:highlight w:val="none"/>
                <w:lang w:bidi="zh-CN"/>
              </w:rPr>
              <w:t>号</w:t>
            </w:r>
            <w:r>
              <w:rPr>
                <w:rFonts w:hAnsi="宋体"/>
                <w:sz w:val="24"/>
                <w:szCs w:val="20"/>
                <w:highlight w:val="none"/>
                <w:lang w:bidi="zh-CN"/>
              </w:rPr>
              <w:t>）</w:t>
            </w:r>
            <w:r>
              <w:rPr>
                <w:rFonts w:hAnsi="宋体"/>
                <w:sz w:val="24"/>
                <w:highlight w:val="none"/>
              </w:rPr>
              <w:t>，</w:t>
            </w:r>
            <w:r>
              <w:rPr>
                <w:rFonts w:hAnsi="宋体"/>
                <w:sz w:val="24"/>
                <w:szCs w:val="20"/>
                <w:highlight w:val="none"/>
              </w:rPr>
              <w:t>监测时间为</w:t>
            </w:r>
            <w:r>
              <w:rPr>
                <w:sz w:val="24"/>
                <w:szCs w:val="20"/>
                <w:highlight w:val="none"/>
              </w:rPr>
              <w:t>202</w:t>
            </w:r>
            <w:r>
              <w:rPr>
                <w:rFonts w:hint="eastAsia"/>
                <w:sz w:val="24"/>
                <w:szCs w:val="20"/>
                <w:highlight w:val="none"/>
              </w:rPr>
              <w:t>2</w:t>
            </w:r>
            <w:r>
              <w:rPr>
                <w:rFonts w:hAnsi="宋体"/>
                <w:sz w:val="24"/>
                <w:szCs w:val="20"/>
                <w:highlight w:val="none"/>
              </w:rPr>
              <w:t>年</w:t>
            </w:r>
            <w:r>
              <w:rPr>
                <w:rFonts w:hint="eastAsia"/>
                <w:sz w:val="24"/>
                <w:szCs w:val="20"/>
                <w:highlight w:val="none"/>
                <w:lang w:val="en-US" w:eastAsia="zh-CN"/>
              </w:rPr>
              <w:t>5</w:t>
            </w:r>
            <w:r>
              <w:rPr>
                <w:rFonts w:hAnsi="宋体"/>
                <w:sz w:val="24"/>
                <w:szCs w:val="20"/>
                <w:highlight w:val="none"/>
              </w:rPr>
              <w:t>月</w:t>
            </w:r>
            <w:r>
              <w:rPr>
                <w:rFonts w:hint="eastAsia"/>
                <w:sz w:val="24"/>
                <w:szCs w:val="20"/>
                <w:highlight w:val="none"/>
              </w:rPr>
              <w:t>13</w:t>
            </w:r>
            <w:r>
              <w:rPr>
                <w:rFonts w:hAnsi="宋体"/>
                <w:sz w:val="24"/>
                <w:szCs w:val="20"/>
                <w:highlight w:val="none"/>
              </w:rPr>
              <w:t>日</w:t>
            </w:r>
            <w:r>
              <w:rPr>
                <w:rFonts w:hint="eastAsia" w:hAnsi="宋体"/>
                <w:sz w:val="24"/>
                <w:szCs w:val="20"/>
                <w:highlight w:val="none"/>
                <w:lang w:eastAsia="zh-CN"/>
              </w:rPr>
              <w:t>和</w:t>
            </w:r>
            <w:r>
              <w:rPr>
                <w:rFonts w:hint="eastAsia" w:hAnsi="宋体"/>
                <w:sz w:val="24"/>
                <w:szCs w:val="20"/>
                <w:highlight w:val="none"/>
                <w:lang w:val="en-US" w:eastAsia="zh-CN"/>
              </w:rPr>
              <w:t>8月12日</w:t>
            </w:r>
            <w:r>
              <w:rPr>
                <w:rFonts w:hAnsi="宋体"/>
                <w:sz w:val="24"/>
                <w:szCs w:val="20"/>
                <w:highlight w:val="none"/>
              </w:rPr>
              <w:t>。</w:t>
            </w:r>
            <w:r>
              <w:rPr>
                <w:rFonts w:hint="eastAsia" w:hAnsi="宋体"/>
                <w:sz w:val="24"/>
                <w:szCs w:val="20"/>
                <w:highlight w:val="none"/>
              </w:rPr>
              <w:t>检测期间，企业生产正常运行，</w:t>
            </w:r>
            <w:r>
              <w:rPr>
                <w:rFonts w:hAnsi="宋体"/>
                <w:sz w:val="24"/>
                <w:szCs w:val="20"/>
                <w:highlight w:val="none"/>
              </w:rPr>
              <w:t>项目所</w:t>
            </w:r>
            <w:r>
              <w:rPr>
                <w:rFonts w:hAnsi="宋体"/>
                <w:sz w:val="24"/>
                <w:szCs w:val="20"/>
              </w:rPr>
              <w:t>在地</w:t>
            </w:r>
            <w:r>
              <w:rPr>
                <w:rFonts w:hint="eastAsia" w:hAnsi="宋体"/>
                <w:sz w:val="24"/>
                <w:szCs w:val="20"/>
              </w:rPr>
              <w:t>声环境质量</w:t>
            </w:r>
            <w:r>
              <w:rPr>
                <w:rFonts w:hAnsi="宋体"/>
                <w:sz w:val="24"/>
                <w:szCs w:val="20"/>
              </w:rPr>
              <w:t>监测结果见表</w:t>
            </w:r>
            <w:r>
              <w:rPr>
                <w:sz w:val="24"/>
                <w:szCs w:val="20"/>
              </w:rPr>
              <w:t>3.1-</w:t>
            </w:r>
            <w:r>
              <w:rPr>
                <w:rFonts w:hint="eastAsia"/>
                <w:sz w:val="24"/>
                <w:szCs w:val="20"/>
              </w:rPr>
              <w:t>4</w:t>
            </w:r>
            <w:r>
              <w:rPr>
                <w:rFonts w:hAnsi="宋体"/>
                <w:sz w:val="24"/>
                <w:szCs w:val="20"/>
              </w:rPr>
              <w:t>。</w:t>
            </w:r>
          </w:p>
          <w:p>
            <w:pPr>
              <w:spacing w:line="460" w:lineRule="exact"/>
              <w:jc w:val="center"/>
              <w:rPr>
                <w:b/>
                <w:snapToGrid w:val="0"/>
                <w:color w:val="auto"/>
                <w:kern w:val="0"/>
                <w:szCs w:val="21"/>
              </w:rPr>
            </w:pPr>
            <w:r>
              <w:rPr>
                <w:rFonts w:hAnsi="宋体"/>
                <w:b/>
                <w:snapToGrid w:val="0"/>
                <w:color w:val="auto"/>
                <w:kern w:val="0"/>
                <w:szCs w:val="21"/>
              </w:rPr>
              <w:t>表</w:t>
            </w:r>
            <w:r>
              <w:rPr>
                <w:b/>
                <w:snapToGrid w:val="0"/>
                <w:color w:val="auto"/>
                <w:kern w:val="0"/>
                <w:szCs w:val="21"/>
              </w:rPr>
              <w:t>3.1-</w:t>
            </w:r>
            <w:r>
              <w:rPr>
                <w:rFonts w:hint="eastAsia"/>
                <w:b/>
                <w:snapToGrid w:val="0"/>
                <w:color w:val="auto"/>
                <w:kern w:val="0"/>
                <w:szCs w:val="21"/>
              </w:rPr>
              <w:t>4</w:t>
            </w:r>
            <w:r>
              <w:rPr>
                <w:b/>
                <w:snapToGrid w:val="0"/>
                <w:color w:val="auto"/>
                <w:kern w:val="0"/>
                <w:szCs w:val="21"/>
              </w:rPr>
              <w:t xml:space="preserve">  </w:t>
            </w:r>
            <w:r>
              <w:rPr>
                <w:rFonts w:hAnsi="宋体"/>
                <w:b/>
                <w:snapToGrid w:val="0"/>
                <w:color w:val="auto"/>
                <w:kern w:val="0"/>
                <w:szCs w:val="21"/>
              </w:rPr>
              <w:t>项目所在地声环境</w:t>
            </w:r>
            <w:r>
              <w:rPr>
                <w:rFonts w:hint="eastAsia" w:hAnsi="宋体"/>
                <w:b/>
                <w:snapToGrid w:val="0"/>
                <w:color w:val="auto"/>
                <w:kern w:val="0"/>
                <w:szCs w:val="21"/>
                <w:lang w:eastAsia="zh-CN"/>
              </w:rPr>
              <w:t>现状</w:t>
            </w:r>
            <w:r>
              <w:rPr>
                <w:rFonts w:hAnsi="宋体"/>
                <w:b/>
                <w:snapToGrid w:val="0"/>
                <w:color w:val="auto"/>
                <w:kern w:val="0"/>
                <w:szCs w:val="21"/>
              </w:rPr>
              <w:t>监测结果</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936"/>
              <w:gridCol w:w="1450"/>
              <w:gridCol w:w="1532"/>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restart"/>
                  <w:vAlign w:val="center"/>
                </w:tcPr>
                <w:p>
                  <w:pPr>
                    <w:spacing w:line="240" w:lineRule="atLeast"/>
                    <w:ind w:left="-716" w:leftChars="-341" w:firstLine="592" w:firstLineChars="282"/>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检测点</w:t>
                  </w:r>
                </w:p>
              </w:tc>
              <w:tc>
                <w:tcPr>
                  <w:tcW w:w="2004" w:type="dxa"/>
                  <w:vMerge w:val="restart"/>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时间</w:t>
                  </w:r>
                </w:p>
              </w:tc>
              <w:tc>
                <w:tcPr>
                  <w:tcW w:w="1499" w:type="dxa"/>
                  <w:vMerge w:val="restart"/>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 xml:space="preserve"> 声源描述</w:t>
                  </w:r>
                </w:p>
              </w:tc>
              <w:tc>
                <w:tcPr>
                  <w:tcW w:w="1584" w:type="dxa"/>
                  <w:vAlign w:val="center"/>
                </w:tcPr>
                <w:p>
                  <w:pPr>
                    <w:spacing w:line="240" w:lineRule="atLeast"/>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L</w:t>
                  </w:r>
                  <w:r>
                    <w:rPr>
                      <w:rFonts w:hint="default" w:ascii="Times New Roman" w:hAnsi="Times New Roman" w:eastAsia="宋体" w:cs="Times New Roman"/>
                      <w:b w:val="0"/>
                      <w:bCs w:val="0"/>
                      <w:color w:val="000000"/>
                      <w:sz w:val="21"/>
                      <w:szCs w:val="21"/>
                      <w:vertAlign w:val="subscript"/>
                    </w:rPr>
                    <w:t>eq</w:t>
                  </w:r>
                </w:p>
              </w:tc>
              <w:tc>
                <w:tcPr>
                  <w:tcW w:w="1514" w:type="dxa"/>
                  <w:vMerge w:val="restart"/>
                  <w:vAlign w:val="center"/>
                </w:tcPr>
                <w:p>
                  <w:pPr>
                    <w:spacing w:line="240" w:lineRule="atLeas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val="0"/>
                      <w:bCs w:val="0"/>
                      <w:color w:val="000000"/>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continue"/>
                  <w:vAlign w:val="center"/>
                </w:tcPr>
                <w:p>
                  <w:pPr>
                    <w:spacing w:line="160" w:lineRule="atLeast"/>
                    <w:jc w:val="center"/>
                    <w:rPr>
                      <w:rFonts w:hint="default" w:ascii="Times New Roman" w:hAnsi="Times New Roman" w:eastAsia="宋体" w:cs="Times New Roman"/>
                      <w:b w:val="0"/>
                      <w:bCs w:val="0"/>
                      <w:color w:val="000000"/>
                      <w:sz w:val="21"/>
                      <w:szCs w:val="21"/>
                    </w:rPr>
                  </w:pPr>
                </w:p>
              </w:tc>
              <w:tc>
                <w:tcPr>
                  <w:tcW w:w="2004" w:type="dxa"/>
                  <w:vMerge w:val="continue"/>
                  <w:vAlign w:val="center"/>
                </w:tcPr>
                <w:p>
                  <w:pPr>
                    <w:spacing w:line="160" w:lineRule="atLeast"/>
                    <w:jc w:val="center"/>
                    <w:rPr>
                      <w:rFonts w:hint="default" w:ascii="Times New Roman" w:hAnsi="Times New Roman" w:eastAsia="宋体" w:cs="Times New Roman"/>
                      <w:b w:val="0"/>
                      <w:bCs w:val="0"/>
                      <w:color w:val="000000"/>
                      <w:sz w:val="21"/>
                      <w:szCs w:val="21"/>
                    </w:rPr>
                  </w:pPr>
                </w:p>
              </w:tc>
              <w:tc>
                <w:tcPr>
                  <w:tcW w:w="1499" w:type="dxa"/>
                  <w:vMerge w:val="continue"/>
                  <w:vAlign w:val="center"/>
                </w:tcPr>
                <w:p>
                  <w:pPr>
                    <w:snapToGrid w:val="0"/>
                    <w:spacing w:line="160" w:lineRule="atLeast"/>
                    <w:jc w:val="center"/>
                    <w:rPr>
                      <w:rFonts w:hint="default" w:ascii="Times New Roman" w:hAnsi="Times New Roman" w:eastAsia="宋体" w:cs="Times New Roman"/>
                      <w:b w:val="0"/>
                      <w:bCs w:val="0"/>
                      <w:color w:val="000000"/>
                      <w:sz w:val="21"/>
                      <w:szCs w:val="21"/>
                    </w:rPr>
                  </w:pPr>
                </w:p>
              </w:tc>
              <w:tc>
                <w:tcPr>
                  <w:tcW w:w="1584" w:type="dxa"/>
                  <w:vAlign w:val="center"/>
                </w:tcPr>
                <w:p>
                  <w:pPr>
                    <w:spacing w:line="160" w:lineRule="atLeast"/>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单位dB（A）</w:t>
                  </w:r>
                </w:p>
              </w:tc>
              <w:tc>
                <w:tcPr>
                  <w:tcW w:w="1514" w:type="dxa"/>
                  <w:vMerge w:val="continue"/>
                  <w:vAlign w:val="center"/>
                </w:tcPr>
                <w:p>
                  <w:pPr>
                    <w:spacing w:line="160" w:lineRule="atLeast"/>
                    <w:jc w:val="center"/>
                    <w:rPr>
                      <w:rFonts w:hint="default" w:ascii="Times New Roman" w:hAnsi="Times New Roman" w:eastAsia="宋体" w:cs="Times New Roman"/>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restart"/>
                  <w:vAlign w:val="center"/>
                </w:tcPr>
                <w:p>
                  <w:pPr>
                    <w:pStyle w:val="86"/>
                    <w:snapToGrid w:val="0"/>
                    <w:spacing w:beforeLines="0" w:afterLines="0"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厂界</w:t>
                  </w:r>
                  <w:r>
                    <w:rPr>
                      <w:rFonts w:hint="default" w:ascii="Times New Roman" w:hAnsi="Times New Roman" w:eastAsia="宋体" w:cs="Times New Roman"/>
                      <w:b w:val="0"/>
                      <w:sz w:val="21"/>
                      <w:szCs w:val="21"/>
                      <w:lang w:eastAsia="zh-CN"/>
                    </w:rPr>
                    <w:t>东</w:t>
                  </w:r>
                  <w:r>
                    <w:rPr>
                      <w:rFonts w:hint="default" w:ascii="Times New Roman" w:hAnsi="Times New Roman" w:eastAsia="宋体" w:cs="Times New Roman"/>
                      <w:b w:val="0"/>
                      <w:sz w:val="21"/>
                      <w:szCs w:val="21"/>
                    </w:rPr>
                    <w:t>侧N</w:t>
                  </w:r>
                  <w:r>
                    <w:rPr>
                      <w:rFonts w:hint="default" w:ascii="Times New Roman" w:hAnsi="Times New Roman" w:eastAsia="宋体" w:cs="Times New Roman"/>
                      <w:b w:val="0"/>
                      <w:sz w:val="21"/>
                      <w:szCs w:val="21"/>
                      <w:lang w:val="en-US" w:eastAsia="zh-CN"/>
                    </w:rPr>
                    <w:t>0</w:t>
                  </w:r>
                  <w:r>
                    <w:rPr>
                      <w:rFonts w:hint="default" w:ascii="Times New Roman" w:hAnsi="Times New Roman" w:eastAsia="宋体" w:cs="Times New Roman"/>
                      <w:b w:val="0"/>
                      <w:sz w:val="21"/>
                      <w:szCs w:val="21"/>
                    </w:rPr>
                    <w:t>1</w:t>
                  </w:r>
                </w:p>
              </w:tc>
              <w:tc>
                <w:tcPr>
                  <w:tcW w:w="200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2022/05/13 10:04</w:t>
                  </w:r>
                </w:p>
              </w:tc>
              <w:tc>
                <w:tcPr>
                  <w:tcW w:w="1499" w:type="dxa"/>
                  <w:vMerge w:val="restart"/>
                  <w:vAlign w:val="center"/>
                </w:tcPr>
                <w:p>
                  <w:pPr>
                    <w:spacing w:line="160" w:lineRule="atLeas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设备噪声</w:t>
                  </w:r>
                </w:p>
              </w:tc>
              <w:tc>
                <w:tcPr>
                  <w:tcW w:w="1584" w:type="dxa"/>
                  <w:vAlign w:val="center"/>
                </w:tcPr>
                <w:p>
                  <w:pPr>
                    <w:snapToGrid w:val="0"/>
                    <w:spacing w:line="16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56.8</w:t>
                  </w:r>
                </w:p>
              </w:tc>
              <w:tc>
                <w:tcPr>
                  <w:tcW w:w="1514" w:type="dxa"/>
                  <w:vMerge w:val="restart"/>
                  <w:vAlign w:val="center"/>
                </w:tcPr>
                <w:p>
                  <w:pPr>
                    <w:bidi w:val="0"/>
                    <w:jc w:val="center"/>
                    <w:rPr>
                      <w:rFonts w:hint="default"/>
                      <w:spacing w:val="-11"/>
                      <w:sz w:val="21"/>
                    </w:rPr>
                  </w:pPr>
                  <w:r>
                    <w:rPr>
                      <w:rFonts w:hint="default"/>
                      <w:spacing w:val="-11"/>
                      <w:sz w:val="21"/>
                      <w:lang w:eastAsia="zh-CN"/>
                    </w:rPr>
                    <w:t>昼间</w:t>
                  </w:r>
                  <w:r>
                    <w:rPr>
                      <w:rFonts w:hint="default"/>
                      <w:spacing w:val="-11"/>
                      <w:sz w:val="21"/>
                    </w:rPr>
                    <w:t>≤</w:t>
                  </w:r>
                  <w:r>
                    <w:rPr>
                      <w:rFonts w:hint="default"/>
                      <w:spacing w:val="-11"/>
                      <w:sz w:val="21"/>
                      <w:lang w:val="en-US" w:eastAsia="zh-CN"/>
                    </w:rPr>
                    <w:t>65</w:t>
                  </w:r>
                  <w:r>
                    <w:rPr>
                      <w:rFonts w:hint="default"/>
                      <w:spacing w:val="-11"/>
                      <w:sz w:val="21"/>
                    </w:rPr>
                    <w:t>dB（A）</w:t>
                  </w:r>
                </w:p>
                <w:p>
                  <w:pPr>
                    <w:bidi w:val="0"/>
                    <w:jc w:val="center"/>
                    <w:rPr>
                      <w:rFonts w:hint="default"/>
                      <w:spacing w:val="-11"/>
                      <w:sz w:val="21"/>
                      <w:lang w:eastAsia="zh-CN"/>
                    </w:rPr>
                  </w:pPr>
                  <w:r>
                    <w:rPr>
                      <w:rFonts w:hint="default"/>
                      <w:spacing w:val="-11"/>
                      <w:sz w:val="21"/>
                      <w:lang w:eastAsia="zh-CN"/>
                    </w:rPr>
                    <w:t>夜间</w:t>
                  </w:r>
                  <w:r>
                    <w:rPr>
                      <w:rFonts w:hint="default"/>
                      <w:spacing w:val="-11"/>
                      <w:sz w:val="21"/>
                    </w:rPr>
                    <w:t>≤</w:t>
                  </w:r>
                  <w:r>
                    <w:rPr>
                      <w:rFonts w:hint="default"/>
                      <w:spacing w:val="-11"/>
                      <w:sz w:val="21"/>
                      <w:lang w:val="en-US" w:eastAsia="zh-CN"/>
                    </w:rPr>
                    <w:t>55</w:t>
                  </w:r>
                  <w:r>
                    <w:rPr>
                      <w:rFonts w:hint="default"/>
                      <w:spacing w:val="-11"/>
                      <w:sz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continue"/>
                  <w:vAlign w:val="center"/>
                </w:tcPr>
                <w:p>
                  <w:pPr>
                    <w:pStyle w:val="86"/>
                    <w:snapToGrid w:val="0"/>
                    <w:spacing w:beforeLines="0" w:afterLines="0" w:line="240" w:lineRule="auto"/>
                    <w:rPr>
                      <w:rFonts w:hint="default" w:ascii="Times New Roman" w:hAnsi="Times New Roman" w:eastAsia="宋体" w:cs="Times New Roman"/>
                      <w:b w:val="0"/>
                      <w:kern w:val="2"/>
                      <w:sz w:val="21"/>
                      <w:szCs w:val="21"/>
                      <w:lang w:val="en-US" w:eastAsia="zh-CN" w:bidi="ar-SA"/>
                    </w:rPr>
                  </w:pPr>
                </w:p>
              </w:tc>
              <w:tc>
                <w:tcPr>
                  <w:tcW w:w="2004" w:type="dxa"/>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2022/05/13 22:00</w:t>
                  </w:r>
                </w:p>
              </w:tc>
              <w:tc>
                <w:tcPr>
                  <w:tcW w:w="1499" w:type="dxa"/>
                  <w:vMerge w:val="continue"/>
                  <w:vAlign w:val="center"/>
                </w:tcPr>
                <w:p>
                  <w:pPr>
                    <w:spacing w:line="160" w:lineRule="atLeast"/>
                    <w:jc w:val="center"/>
                    <w:rPr>
                      <w:rFonts w:hint="default" w:ascii="Times New Roman" w:hAnsi="Times New Roman" w:eastAsia="宋体" w:cs="Times New Roman"/>
                      <w:sz w:val="21"/>
                      <w:szCs w:val="21"/>
                      <w:lang w:val="en-US" w:eastAsia="zh-CN" w:bidi="ar-SA"/>
                    </w:rPr>
                  </w:pPr>
                </w:p>
              </w:tc>
              <w:tc>
                <w:tcPr>
                  <w:tcW w:w="1584" w:type="dxa"/>
                  <w:vAlign w:val="center"/>
                </w:tcPr>
                <w:p>
                  <w:pPr>
                    <w:snapToGrid w:val="0"/>
                    <w:spacing w:line="160" w:lineRule="atLeas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48.6</w:t>
                  </w:r>
                </w:p>
              </w:tc>
              <w:tc>
                <w:tcPr>
                  <w:tcW w:w="1514" w:type="dxa"/>
                  <w:vMerge w:val="continue"/>
                  <w:vAlign w:val="center"/>
                </w:tcPr>
                <w:p>
                  <w:pPr>
                    <w:bidi w:val="0"/>
                    <w:jc w:val="center"/>
                    <w:rPr>
                      <w:rFonts w:hint="default"/>
                      <w:spacing w:val="-11"/>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restart"/>
                  <w:vAlign w:val="center"/>
                </w:tcPr>
                <w:p>
                  <w:pPr>
                    <w:pStyle w:val="86"/>
                    <w:snapToGrid w:val="0"/>
                    <w:spacing w:beforeLines="0" w:afterLines="0"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厂界南侧N</w:t>
                  </w:r>
                  <w:r>
                    <w:rPr>
                      <w:rFonts w:hint="default" w:ascii="Times New Roman" w:hAnsi="Times New Roman" w:eastAsia="宋体" w:cs="Times New Roman"/>
                      <w:b w:val="0"/>
                      <w:sz w:val="21"/>
                      <w:szCs w:val="21"/>
                      <w:lang w:val="en-US" w:eastAsia="zh-CN"/>
                    </w:rPr>
                    <w:t>0</w:t>
                  </w:r>
                  <w:r>
                    <w:rPr>
                      <w:rFonts w:hint="default" w:ascii="Times New Roman" w:hAnsi="Times New Roman" w:eastAsia="宋体" w:cs="Times New Roman"/>
                      <w:b w:val="0"/>
                      <w:sz w:val="21"/>
                      <w:szCs w:val="21"/>
                    </w:rPr>
                    <w:t>2</w:t>
                  </w:r>
                </w:p>
              </w:tc>
              <w:tc>
                <w:tcPr>
                  <w:tcW w:w="200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2022/05/13 10:08</w:t>
                  </w:r>
                </w:p>
              </w:tc>
              <w:tc>
                <w:tcPr>
                  <w:tcW w:w="1499" w:type="dxa"/>
                  <w:vMerge w:val="restart"/>
                  <w:vAlign w:val="center"/>
                </w:tcPr>
                <w:p>
                  <w:pPr>
                    <w:spacing w:line="160" w:lineRule="atLeas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设备噪声</w:t>
                  </w:r>
                </w:p>
              </w:tc>
              <w:tc>
                <w:tcPr>
                  <w:tcW w:w="1584" w:type="dxa"/>
                  <w:vAlign w:val="center"/>
                </w:tcPr>
                <w:p>
                  <w:pPr>
                    <w:snapToGrid w:val="0"/>
                    <w:spacing w:line="16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56.9</w:t>
                  </w:r>
                </w:p>
              </w:tc>
              <w:tc>
                <w:tcPr>
                  <w:tcW w:w="1514" w:type="dxa"/>
                  <w:vMerge w:val="continue"/>
                  <w:vAlign w:val="center"/>
                </w:tcPr>
                <w:p>
                  <w:pPr>
                    <w:bidi w:val="0"/>
                    <w:jc w:val="center"/>
                    <w:rPr>
                      <w:rFonts w:hint="default"/>
                      <w:spacing w:val="-1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continue"/>
                  <w:vAlign w:val="center"/>
                </w:tcPr>
                <w:p>
                  <w:pPr>
                    <w:pStyle w:val="86"/>
                    <w:snapToGrid w:val="0"/>
                    <w:spacing w:beforeLines="0" w:afterLines="0" w:line="240" w:lineRule="auto"/>
                    <w:rPr>
                      <w:rFonts w:hint="default" w:ascii="Times New Roman" w:hAnsi="Times New Roman" w:eastAsia="宋体" w:cs="Times New Roman"/>
                      <w:b w:val="0"/>
                      <w:kern w:val="2"/>
                      <w:sz w:val="21"/>
                      <w:szCs w:val="21"/>
                      <w:lang w:val="en-US" w:eastAsia="zh-CN" w:bidi="ar-SA"/>
                    </w:rPr>
                  </w:pPr>
                </w:p>
              </w:tc>
              <w:tc>
                <w:tcPr>
                  <w:tcW w:w="2004" w:type="dxa"/>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2022/05/13 22:04</w:t>
                  </w:r>
                </w:p>
              </w:tc>
              <w:tc>
                <w:tcPr>
                  <w:tcW w:w="1499" w:type="dxa"/>
                  <w:vMerge w:val="continue"/>
                  <w:vAlign w:val="center"/>
                </w:tcPr>
                <w:p>
                  <w:pPr>
                    <w:spacing w:line="160" w:lineRule="atLeast"/>
                    <w:jc w:val="center"/>
                    <w:rPr>
                      <w:rFonts w:hint="default" w:ascii="Times New Roman" w:hAnsi="Times New Roman" w:eastAsia="宋体" w:cs="Times New Roman"/>
                      <w:sz w:val="21"/>
                      <w:szCs w:val="21"/>
                      <w:lang w:val="en-US" w:eastAsia="zh-CN" w:bidi="ar-SA"/>
                    </w:rPr>
                  </w:pPr>
                </w:p>
              </w:tc>
              <w:tc>
                <w:tcPr>
                  <w:tcW w:w="1584" w:type="dxa"/>
                  <w:vAlign w:val="center"/>
                </w:tcPr>
                <w:p>
                  <w:pPr>
                    <w:snapToGrid w:val="0"/>
                    <w:spacing w:line="160" w:lineRule="atLeas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48.4</w:t>
                  </w:r>
                </w:p>
              </w:tc>
              <w:tc>
                <w:tcPr>
                  <w:tcW w:w="1514" w:type="dxa"/>
                  <w:vMerge w:val="continue"/>
                  <w:vAlign w:val="center"/>
                </w:tcPr>
                <w:p>
                  <w:pPr>
                    <w:bidi w:val="0"/>
                    <w:jc w:val="center"/>
                    <w:rPr>
                      <w:rFonts w:hint="default"/>
                      <w:spacing w:val="-1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restart"/>
                  <w:vAlign w:val="center"/>
                </w:tcPr>
                <w:p>
                  <w:pPr>
                    <w:pStyle w:val="86"/>
                    <w:snapToGrid w:val="0"/>
                    <w:spacing w:beforeLines="0" w:afterLines="0" w:line="240" w:lineRule="auto"/>
                    <w:rPr>
                      <w:rFonts w:hint="default" w:ascii="Times New Roman" w:hAnsi="Times New Roman" w:eastAsia="宋体" w:cs="Times New Roman"/>
                      <w:b w:val="0"/>
                      <w:sz w:val="21"/>
                      <w:szCs w:val="21"/>
                      <w:lang w:val="en-US"/>
                    </w:rPr>
                  </w:pPr>
                  <w:r>
                    <w:rPr>
                      <w:rFonts w:hint="default" w:ascii="Times New Roman" w:hAnsi="Times New Roman" w:eastAsia="宋体" w:cs="Times New Roman"/>
                      <w:b w:val="0"/>
                      <w:sz w:val="21"/>
                      <w:szCs w:val="21"/>
                    </w:rPr>
                    <w:t>厂界</w:t>
                  </w:r>
                  <w:r>
                    <w:rPr>
                      <w:rFonts w:hint="default" w:ascii="Times New Roman" w:hAnsi="Times New Roman" w:eastAsia="宋体" w:cs="Times New Roman"/>
                      <w:b w:val="0"/>
                      <w:sz w:val="21"/>
                      <w:szCs w:val="21"/>
                      <w:lang w:eastAsia="zh-CN"/>
                    </w:rPr>
                    <w:t>西</w:t>
                  </w:r>
                  <w:r>
                    <w:rPr>
                      <w:rFonts w:hint="default" w:ascii="Times New Roman" w:hAnsi="Times New Roman" w:eastAsia="宋体" w:cs="Times New Roman"/>
                      <w:b w:val="0"/>
                      <w:sz w:val="21"/>
                      <w:szCs w:val="21"/>
                    </w:rPr>
                    <w:t>侧N</w:t>
                  </w:r>
                  <w:r>
                    <w:rPr>
                      <w:rFonts w:hint="default" w:ascii="Times New Roman" w:hAnsi="Times New Roman" w:eastAsia="宋体" w:cs="Times New Roman"/>
                      <w:b w:val="0"/>
                      <w:sz w:val="21"/>
                      <w:szCs w:val="21"/>
                      <w:lang w:val="en-US" w:eastAsia="zh-CN"/>
                    </w:rPr>
                    <w:t>03</w:t>
                  </w:r>
                </w:p>
              </w:tc>
              <w:tc>
                <w:tcPr>
                  <w:tcW w:w="200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2022/05/13 10:12</w:t>
                  </w:r>
                </w:p>
              </w:tc>
              <w:tc>
                <w:tcPr>
                  <w:tcW w:w="1499" w:type="dxa"/>
                  <w:vMerge w:val="restart"/>
                  <w:vAlign w:val="center"/>
                </w:tcPr>
                <w:p>
                  <w:pPr>
                    <w:spacing w:line="160" w:lineRule="atLeas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设备噪声</w:t>
                  </w:r>
                </w:p>
              </w:tc>
              <w:tc>
                <w:tcPr>
                  <w:tcW w:w="1584" w:type="dxa"/>
                  <w:tcBorders>
                    <w:bottom w:val="single" w:color="auto" w:sz="4" w:space="0"/>
                  </w:tcBorders>
                  <w:vAlign w:val="center"/>
                </w:tcPr>
                <w:p>
                  <w:pPr>
                    <w:snapToGrid w:val="0"/>
                    <w:spacing w:line="16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57.0</w:t>
                  </w:r>
                </w:p>
              </w:tc>
              <w:tc>
                <w:tcPr>
                  <w:tcW w:w="1514" w:type="dxa"/>
                  <w:vMerge w:val="continue"/>
                  <w:vAlign w:val="center"/>
                </w:tcPr>
                <w:p>
                  <w:pPr>
                    <w:bidi w:val="0"/>
                    <w:jc w:val="center"/>
                    <w:rPr>
                      <w:rFonts w:hint="default"/>
                      <w:spacing w:val="-1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continue"/>
                  <w:vAlign w:val="center"/>
                </w:tcPr>
                <w:p>
                  <w:pPr>
                    <w:pStyle w:val="86"/>
                    <w:snapToGrid w:val="0"/>
                    <w:spacing w:beforeLines="0" w:afterLines="0" w:line="240" w:lineRule="auto"/>
                    <w:rPr>
                      <w:rFonts w:hint="default" w:ascii="Times New Roman" w:hAnsi="Times New Roman" w:eastAsia="宋体" w:cs="Times New Roman"/>
                      <w:b w:val="0"/>
                      <w:kern w:val="2"/>
                      <w:sz w:val="21"/>
                      <w:szCs w:val="21"/>
                      <w:lang w:val="en-US" w:eastAsia="zh-CN" w:bidi="ar-SA"/>
                    </w:rPr>
                  </w:pPr>
                </w:p>
              </w:tc>
              <w:tc>
                <w:tcPr>
                  <w:tcW w:w="2004" w:type="dxa"/>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2022/05/13 22:08</w:t>
                  </w:r>
                </w:p>
              </w:tc>
              <w:tc>
                <w:tcPr>
                  <w:tcW w:w="1499" w:type="dxa"/>
                  <w:vMerge w:val="continue"/>
                  <w:vAlign w:val="center"/>
                </w:tcPr>
                <w:p>
                  <w:pPr>
                    <w:spacing w:line="160" w:lineRule="atLeast"/>
                    <w:jc w:val="center"/>
                    <w:rPr>
                      <w:rFonts w:hint="default" w:ascii="Times New Roman" w:hAnsi="Times New Roman" w:eastAsia="宋体" w:cs="Times New Roman"/>
                      <w:sz w:val="21"/>
                      <w:szCs w:val="21"/>
                      <w:lang w:val="en-US" w:eastAsia="zh-CN" w:bidi="ar-SA"/>
                    </w:rPr>
                  </w:pPr>
                </w:p>
              </w:tc>
              <w:tc>
                <w:tcPr>
                  <w:tcW w:w="1584" w:type="dxa"/>
                  <w:tcBorders>
                    <w:bottom w:val="single" w:color="auto" w:sz="4" w:space="0"/>
                  </w:tcBorders>
                  <w:vAlign w:val="center"/>
                </w:tcPr>
                <w:p>
                  <w:pPr>
                    <w:snapToGrid w:val="0"/>
                    <w:spacing w:line="160" w:lineRule="atLeas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48.2</w:t>
                  </w:r>
                </w:p>
              </w:tc>
              <w:tc>
                <w:tcPr>
                  <w:tcW w:w="1514" w:type="dxa"/>
                  <w:vMerge w:val="continue"/>
                  <w:vAlign w:val="center"/>
                </w:tcPr>
                <w:p>
                  <w:pPr>
                    <w:bidi w:val="0"/>
                    <w:jc w:val="center"/>
                    <w:rPr>
                      <w:rFonts w:hint="default"/>
                      <w:spacing w:val="-1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restart"/>
                  <w:vAlign w:val="center"/>
                </w:tcPr>
                <w:p>
                  <w:pPr>
                    <w:pStyle w:val="86"/>
                    <w:snapToGrid w:val="0"/>
                    <w:spacing w:beforeLines="0" w:afterLines="0" w:line="240" w:lineRule="auto"/>
                    <w:rPr>
                      <w:rFonts w:hint="default" w:ascii="Times New Roman" w:hAnsi="Times New Roman" w:eastAsia="宋体" w:cs="Times New Roman"/>
                      <w:b w:val="0"/>
                      <w:sz w:val="21"/>
                      <w:szCs w:val="21"/>
                      <w:lang w:val="en-US"/>
                    </w:rPr>
                  </w:pPr>
                  <w:r>
                    <w:rPr>
                      <w:rFonts w:hint="default" w:ascii="Times New Roman" w:hAnsi="Times New Roman" w:eastAsia="宋体" w:cs="Times New Roman"/>
                      <w:b w:val="0"/>
                      <w:sz w:val="21"/>
                      <w:szCs w:val="21"/>
                    </w:rPr>
                    <w:t>厂界</w:t>
                  </w:r>
                  <w:r>
                    <w:rPr>
                      <w:rFonts w:hint="default" w:ascii="Times New Roman" w:hAnsi="Times New Roman" w:eastAsia="宋体" w:cs="Times New Roman"/>
                      <w:b w:val="0"/>
                      <w:sz w:val="21"/>
                      <w:szCs w:val="21"/>
                      <w:lang w:eastAsia="zh-CN"/>
                    </w:rPr>
                    <w:t>北</w:t>
                  </w:r>
                  <w:r>
                    <w:rPr>
                      <w:rFonts w:hint="default" w:ascii="Times New Roman" w:hAnsi="Times New Roman" w:eastAsia="宋体" w:cs="Times New Roman"/>
                      <w:b w:val="0"/>
                      <w:sz w:val="21"/>
                      <w:szCs w:val="21"/>
                    </w:rPr>
                    <w:t>侧N</w:t>
                  </w:r>
                  <w:r>
                    <w:rPr>
                      <w:rFonts w:hint="default" w:ascii="Times New Roman" w:hAnsi="Times New Roman" w:eastAsia="宋体" w:cs="Times New Roman"/>
                      <w:b w:val="0"/>
                      <w:sz w:val="21"/>
                      <w:szCs w:val="21"/>
                      <w:lang w:val="en-US" w:eastAsia="zh-CN"/>
                    </w:rPr>
                    <w:t>04</w:t>
                  </w:r>
                </w:p>
              </w:tc>
              <w:tc>
                <w:tcPr>
                  <w:tcW w:w="2004"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2022/05/13 10:15</w:t>
                  </w:r>
                </w:p>
              </w:tc>
              <w:tc>
                <w:tcPr>
                  <w:tcW w:w="1499" w:type="dxa"/>
                  <w:vMerge w:val="restart"/>
                  <w:vAlign w:val="center"/>
                </w:tcPr>
                <w:p>
                  <w:pPr>
                    <w:spacing w:line="160" w:lineRule="atLeas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交通噪声</w:t>
                  </w:r>
                </w:p>
              </w:tc>
              <w:tc>
                <w:tcPr>
                  <w:tcW w:w="1584" w:type="dxa"/>
                  <w:tcBorders>
                    <w:bottom w:val="single" w:color="auto" w:sz="4" w:space="0"/>
                  </w:tcBorders>
                  <w:vAlign w:val="center"/>
                </w:tcPr>
                <w:p>
                  <w:pPr>
                    <w:snapToGrid w:val="0"/>
                    <w:spacing w:line="16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57.2</w:t>
                  </w:r>
                </w:p>
              </w:tc>
              <w:tc>
                <w:tcPr>
                  <w:tcW w:w="1514" w:type="dxa"/>
                  <w:vMerge w:val="continue"/>
                  <w:vAlign w:val="center"/>
                </w:tcPr>
                <w:p>
                  <w:pPr>
                    <w:bidi w:val="0"/>
                    <w:jc w:val="center"/>
                    <w:rPr>
                      <w:rFonts w:hint="default"/>
                      <w:spacing w:val="-1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continue"/>
                  <w:vAlign w:val="center"/>
                </w:tcPr>
                <w:p>
                  <w:pPr>
                    <w:pStyle w:val="86"/>
                    <w:snapToGrid w:val="0"/>
                    <w:spacing w:beforeLines="0" w:afterLines="0" w:line="240" w:lineRule="auto"/>
                    <w:rPr>
                      <w:rFonts w:hint="default" w:ascii="Times New Roman" w:hAnsi="Times New Roman" w:eastAsia="宋体" w:cs="Times New Roman"/>
                      <w:b w:val="0"/>
                      <w:kern w:val="2"/>
                      <w:sz w:val="21"/>
                      <w:szCs w:val="21"/>
                      <w:lang w:val="en-US" w:eastAsia="zh-CN" w:bidi="ar-SA"/>
                    </w:rPr>
                  </w:pPr>
                </w:p>
              </w:tc>
              <w:tc>
                <w:tcPr>
                  <w:tcW w:w="2004" w:type="dxa"/>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2022/05/13 22:12</w:t>
                  </w:r>
                </w:p>
              </w:tc>
              <w:tc>
                <w:tcPr>
                  <w:tcW w:w="1499" w:type="dxa"/>
                  <w:vMerge w:val="continue"/>
                  <w:vAlign w:val="center"/>
                </w:tcPr>
                <w:p>
                  <w:pPr>
                    <w:spacing w:line="160" w:lineRule="atLeast"/>
                    <w:jc w:val="center"/>
                    <w:rPr>
                      <w:rFonts w:hint="default" w:ascii="Times New Roman" w:hAnsi="Times New Roman" w:eastAsia="宋体" w:cs="Times New Roman"/>
                      <w:sz w:val="21"/>
                      <w:szCs w:val="21"/>
                      <w:lang w:val="en-US" w:eastAsia="zh-CN" w:bidi="ar-SA"/>
                    </w:rPr>
                  </w:pPr>
                </w:p>
              </w:tc>
              <w:tc>
                <w:tcPr>
                  <w:tcW w:w="1584" w:type="dxa"/>
                  <w:vAlign w:val="center"/>
                </w:tcPr>
                <w:p>
                  <w:pPr>
                    <w:snapToGrid w:val="0"/>
                    <w:spacing w:line="160" w:lineRule="atLeas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48.8</w:t>
                  </w:r>
                </w:p>
              </w:tc>
              <w:tc>
                <w:tcPr>
                  <w:tcW w:w="1514" w:type="dxa"/>
                  <w:vMerge w:val="continue"/>
                  <w:vAlign w:val="center"/>
                </w:tcPr>
                <w:p>
                  <w:pPr>
                    <w:bidi w:val="0"/>
                    <w:jc w:val="center"/>
                    <w:rPr>
                      <w:rFonts w:hint="default"/>
                      <w:spacing w:val="-1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903" w:type="dxa"/>
                  <w:vMerge w:val="restart"/>
                  <w:vAlign w:val="center"/>
                </w:tcPr>
                <w:p>
                  <w:pPr>
                    <w:pStyle w:val="86"/>
                    <w:snapToGrid w:val="0"/>
                    <w:spacing w:beforeLines="0" w:afterLines="0" w:line="240" w:lineRule="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龙从村㘰里</w:t>
                  </w:r>
                </w:p>
                <w:p>
                  <w:pPr>
                    <w:pStyle w:val="86"/>
                    <w:snapToGrid w:val="0"/>
                    <w:spacing w:beforeLines="0" w:afterLines="0" w:line="240" w:lineRule="auto"/>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住宅区</w:t>
                  </w:r>
                </w:p>
              </w:tc>
              <w:tc>
                <w:tcPr>
                  <w:tcW w:w="200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2022/8/12 11.46</w:t>
                  </w:r>
                </w:p>
              </w:tc>
              <w:tc>
                <w:tcPr>
                  <w:tcW w:w="1499" w:type="dxa"/>
                  <w:vMerge w:val="restart"/>
                  <w:vAlign w:val="center"/>
                </w:tcPr>
                <w:p>
                  <w:pPr>
                    <w:bidi w:val="0"/>
                    <w:jc w:val="center"/>
                    <w:rPr>
                      <w:rFonts w:hint="default"/>
                      <w:lang w:val="en-US" w:eastAsia="zh-CN"/>
                    </w:rPr>
                  </w:pPr>
                  <w:r>
                    <w:rPr>
                      <w:rFonts w:hint="eastAsia"/>
                      <w:lang w:val="en-US" w:eastAsia="zh-CN"/>
                    </w:rPr>
                    <w:t>环境噪声</w:t>
                  </w:r>
                </w:p>
              </w:tc>
              <w:tc>
                <w:tcPr>
                  <w:tcW w:w="1584" w:type="dxa"/>
                  <w:vAlign w:val="center"/>
                </w:tcPr>
                <w:p>
                  <w:pPr>
                    <w:snapToGrid w:val="0"/>
                    <w:spacing w:line="160" w:lineRule="atLeast"/>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53.9</w:t>
                  </w:r>
                </w:p>
              </w:tc>
              <w:tc>
                <w:tcPr>
                  <w:tcW w:w="1514" w:type="dxa"/>
                  <w:vMerge w:val="restart"/>
                  <w:vAlign w:val="center"/>
                </w:tcPr>
                <w:p>
                  <w:pPr>
                    <w:bidi w:val="0"/>
                    <w:jc w:val="center"/>
                    <w:rPr>
                      <w:rFonts w:hint="default"/>
                      <w:spacing w:val="-11"/>
                      <w:sz w:val="21"/>
                    </w:rPr>
                  </w:pPr>
                  <w:r>
                    <w:rPr>
                      <w:rFonts w:hint="default"/>
                      <w:spacing w:val="-11"/>
                      <w:sz w:val="21"/>
                      <w:lang w:eastAsia="zh-CN"/>
                    </w:rPr>
                    <w:t>昼间</w:t>
                  </w:r>
                  <w:r>
                    <w:rPr>
                      <w:rFonts w:hint="default"/>
                      <w:spacing w:val="-11"/>
                      <w:sz w:val="21"/>
                    </w:rPr>
                    <w:t>≤</w:t>
                  </w:r>
                  <w:r>
                    <w:rPr>
                      <w:rFonts w:hint="default"/>
                      <w:spacing w:val="-11"/>
                      <w:sz w:val="21"/>
                      <w:lang w:val="en-US" w:eastAsia="zh-CN"/>
                    </w:rPr>
                    <w:t>6</w:t>
                  </w:r>
                  <w:r>
                    <w:rPr>
                      <w:rFonts w:hint="eastAsia"/>
                      <w:spacing w:val="-11"/>
                      <w:sz w:val="21"/>
                      <w:lang w:val="en-US" w:eastAsia="zh-CN"/>
                    </w:rPr>
                    <w:t>0</w:t>
                  </w:r>
                  <w:r>
                    <w:rPr>
                      <w:rFonts w:hint="default"/>
                      <w:spacing w:val="-11"/>
                      <w:sz w:val="21"/>
                    </w:rPr>
                    <w:t>dB（A）</w:t>
                  </w:r>
                </w:p>
                <w:p>
                  <w:pPr>
                    <w:bidi w:val="0"/>
                    <w:jc w:val="center"/>
                    <w:rPr>
                      <w:rFonts w:hint="default"/>
                      <w:spacing w:val="-11"/>
                      <w:sz w:val="21"/>
                    </w:rPr>
                  </w:pPr>
                  <w:r>
                    <w:rPr>
                      <w:rFonts w:hint="default"/>
                      <w:spacing w:val="-11"/>
                      <w:sz w:val="21"/>
                      <w:lang w:eastAsia="zh-CN"/>
                    </w:rPr>
                    <w:t>夜间</w:t>
                  </w:r>
                  <w:r>
                    <w:rPr>
                      <w:rFonts w:hint="default"/>
                      <w:spacing w:val="-11"/>
                      <w:sz w:val="21"/>
                    </w:rPr>
                    <w:t>≤</w:t>
                  </w:r>
                  <w:r>
                    <w:rPr>
                      <w:rFonts w:hint="default"/>
                      <w:spacing w:val="-11"/>
                      <w:sz w:val="21"/>
                      <w:lang w:val="en-US" w:eastAsia="zh-CN"/>
                    </w:rPr>
                    <w:t>5</w:t>
                  </w:r>
                  <w:r>
                    <w:rPr>
                      <w:rFonts w:hint="eastAsia"/>
                      <w:spacing w:val="-11"/>
                      <w:sz w:val="21"/>
                      <w:lang w:val="en-US" w:eastAsia="zh-CN"/>
                    </w:rPr>
                    <w:t>0</w:t>
                  </w:r>
                  <w:r>
                    <w:rPr>
                      <w:rFonts w:hint="default"/>
                      <w:spacing w:val="-11"/>
                      <w:sz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03" w:type="dxa"/>
                  <w:vMerge w:val="continue"/>
                  <w:vAlign w:val="center"/>
                </w:tcPr>
                <w:p>
                  <w:pPr>
                    <w:pStyle w:val="86"/>
                    <w:snapToGrid w:val="0"/>
                    <w:spacing w:beforeLines="0" w:afterLines="0" w:line="240" w:lineRule="auto"/>
                    <w:rPr>
                      <w:rFonts w:hint="default" w:ascii="Times New Roman" w:hAnsi="Times New Roman" w:eastAsia="宋体" w:cs="Times New Roman"/>
                      <w:b w:val="0"/>
                      <w:kern w:val="2"/>
                      <w:sz w:val="21"/>
                      <w:szCs w:val="21"/>
                      <w:lang w:val="en-US" w:eastAsia="zh-CN" w:bidi="ar-SA"/>
                    </w:rPr>
                  </w:pPr>
                </w:p>
              </w:tc>
              <w:tc>
                <w:tcPr>
                  <w:tcW w:w="2004"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2022/8/12 22.02</w:t>
                  </w:r>
                </w:p>
              </w:tc>
              <w:tc>
                <w:tcPr>
                  <w:tcW w:w="1499" w:type="dxa"/>
                  <w:vMerge w:val="continue"/>
                  <w:vAlign w:val="center"/>
                </w:tcPr>
                <w:p>
                  <w:pPr>
                    <w:spacing w:line="160" w:lineRule="atLeast"/>
                    <w:jc w:val="center"/>
                    <w:rPr>
                      <w:rFonts w:hint="default" w:ascii="Times New Roman" w:hAnsi="Times New Roman" w:eastAsia="宋体" w:cs="Times New Roman"/>
                      <w:sz w:val="21"/>
                      <w:szCs w:val="21"/>
                      <w:lang w:val="en-US" w:eastAsia="zh-CN" w:bidi="ar-SA"/>
                    </w:rPr>
                  </w:pPr>
                </w:p>
              </w:tc>
              <w:tc>
                <w:tcPr>
                  <w:tcW w:w="1584" w:type="dxa"/>
                  <w:tcBorders>
                    <w:bottom w:val="single" w:color="auto" w:sz="4" w:space="0"/>
                  </w:tcBorders>
                  <w:vAlign w:val="center"/>
                </w:tcPr>
                <w:p>
                  <w:pPr>
                    <w:snapToGrid w:val="0"/>
                    <w:spacing w:line="160" w:lineRule="atLeast"/>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46.4</w:t>
                  </w:r>
                </w:p>
              </w:tc>
              <w:tc>
                <w:tcPr>
                  <w:tcW w:w="1514" w:type="dxa"/>
                  <w:vMerge w:val="continue"/>
                  <w:vAlign w:val="center"/>
                </w:tcPr>
                <w:p>
                  <w:pPr>
                    <w:snapToGrid w:val="0"/>
                    <w:spacing w:line="160" w:lineRule="atLeast"/>
                    <w:jc w:val="center"/>
                    <w:rPr>
                      <w:rFonts w:hint="default" w:ascii="Times New Roman" w:hAnsi="Times New Roman" w:eastAsia="宋体" w:cs="Times New Roman"/>
                      <w:color w:val="000000"/>
                      <w:spacing w:val="-6"/>
                      <w:sz w:val="21"/>
                      <w:szCs w:val="21"/>
                      <w:lang w:eastAsia="zh-CN"/>
                    </w:rPr>
                  </w:pPr>
                </w:p>
              </w:tc>
            </w:tr>
          </w:tbl>
          <w:p>
            <w:pPr>
              <w:spacing w:line="500" w:lineRule="exact"/>
              <w:ind w:firstLine="480" w:firstLineChars="200"/>
              <w:rPr>
                <w:color w:val="auto"/>
                <w:sz w:val="24"/>
              </w:rPr>
            </w:pPr>
            <w:r>
              <w:rPr>
                <w:rFonts w:hAnsi="宋体"/>
                <w:bCs/>
                <w:color w:val="auto"/>
                <w:sz w:val="24"/>
              </w:rPr>
              <w:t>监测结果表明，企业声环境质量能够达到《声环境质量标准》（</w:t>
            </w:r>
            <w:r>
              <w:rPr>
                <w:bCs/>
                <w:color w:val="auto"/>
                <w:sz w:val="24"/>
              </w:rPr>
              <w:t>GB3096-2008</w:t>
            </w:r>
            <w:r>
              <w:rPr>
                <w:rFonts w:hAnsi="宋体"/>
                <w:bCs/>
                <w:color w:val="auto"/>
                <w:sz w:val="24"/>
              </w:rPr>
              <w:t>）中的</w:t>
            </w:r>
            <w:r>
              <w:rPr>
                <w:bCs/>
                <w:color w:val="auto"/>
                <w:sz w:val="24"/>
              </w:rPr>
              <w:t>3</w:t>
            </w:r>
            <w:r>
              <w:rPr>
                <w:rFonts w:hAnsi="宋体"/>
                <w:bCs/>
                <w:color w:val="auto"/>
                <w:sz w:val="24"/>
              </w:rPr>
              <w:t>类标准</w:t>
            </w:r>
            <w:r>
              <w:rPr>
                <w:rFonts w:hAnsi="宋体"/>
                <w:color w:val="auto"/>
                <w:sz w:val="24"/>
              </w:rPr>
              <w:t>，敏感点声环境质量能够满足《声环境质量标准》（</w:t>
            </w:r>
            <w:r>
              <w:rPr>
                <w:color w:val="auto"/>
                <w:sz w:val="24"/>
              </w:rPr>
              <w:t>GB3096-2008</w:t>
            </w:r>
            <w:r>
              <w:rPr>
                <w:rFonts w:hAnsi="宋体"/>
                <w:color w:val="auto"/>
                <w:sz w:val="24"/>
              </w:rPr>
              <w:t>）中的</w:t>
            </w:r>
            <w:r>
              <w:rPr>
                <w:color w:val="auto"/>
                <w:sz w:val="24"/>
              </w:rPr>
              <w:t>2</w:t>
            </w:r>
            <w:r>
              <w:rPr>
                <w:rFonts w:hAnsi="宋体"/>
                <w:color w:val="auto"/>
                <w:sz w:val="24"/>
              </w:rPr>
              <w:t>类标准。</w:t>
            </w:r>
          </w:p>
          <w:p>
            <w:pPr>
              <w:pStyle w:val="5"/>
              <w:spacing w:line="500" w:lineRule="exact"/>
              <w:ind w:firstLine="0" w:firstLineChars="0"/>
              <w:rPr>
                <w:b/>
                <w:bCs/>
              </w:rPr>
            </w:pPr>
            <w:r>
              <w:rPr>
                <w:b/>
                <w:bCs/>
              </w:rPr>
              <w:t xml:space="preserve">3.1.4 </w:t>
            </w:r>
            <w:r>
              <w:rPr>
                <w:rFonts w:hAnsi="宋体"/>
                <w:b/>
                <w:bCs/>
              </w:rPr>
              <w:t>生态环境</w:t>
            </w:r>
          </w:p>
          <w:p>
            <w:pPr>
              <w:spacing w:line="500" w:lineRule="exact"/>
              <w:ind w:firstLine="480" w:firstLineChars="200"/>
              <w:rPr>
                <w:sz w:val="24"/>
                <w:szCs w:val="20"/>
              </w:rPr>
            </w:pPr>
            <w:r>
              <w:rPr>
                <w:rFonts w:hAnsi="宋体"/>
                <w:sz w:val="24"/>
                <w:szCs w:val="20"/>
              </w:rPr>
              <w:t>企业选址于</w:t>
            </w:r>
            <w:r>
              <w:rPr>
                <w:rFonts w:hint="eastAsia" w:hAnsi="宋体"/>
                <w:kern w:val="0"/>
                <w:sz w:val="24"/>
                <w:lang w:eastAsia="zh-CN"/>
              </w:rPr>
              <w:t xml:space="preserve">浙江省长兴县虹星桥镇工业集中区 </w:t>
            </w:r>
            <w:r>
              <w:rPr>
                <w:rFonts w:hAnsi="宋体"/>
                <w:kern w:val="0"/>
                <w:sz w:val="24"/>
              </w:rPr>
              <w:t>，系利用现有工业厂房，不新增用地，且用地范围内</w:t>
            </w:r>
            <w:r>
              <w:rPr>
                <w:rFonts w:hAnsi="宋体"/>
                <w:sz w:val="24"/>
                <w:szCs w:val="20"/>
              </w:rPr>
              <w:t>不涉及生态环境保护目标，无需进行生态现状调查。</w:t>
            </w:r>
          </w:p>
          <w:p>
            <w:pPr>
              <w:pStyle w:val="5"/>
              <w:spacing w:line="500" w:lineRule="exact"/>
              <w:ind w:firstLine="0" w:firstLineChars="0"/>
              <w:rPr>
                <w:b/>
                <w:bCs/>
              </w:rPr>
            </w:pPr>
            <w:r>
              <w:rPr>
                <w:b/>
                <w:bCs/>
              </w:rPr>
              <w:t xml:space="preserve">3.1.5 </w:t>
            </w:r>
            <w:r>
              <w:rPr>
                <w:rFonts w:hAnsi="宋体"/>
                <w:b/>
                <w:bCs/>
              </w:rPr>
              <w:t>电磁辐射</w:t>
            </w:r>
          </w:p>
          <w:p>
            <w:pPr>
              <w:autoSpaceDE w:val="0"/>
              <w:autoSpaceDN w:val="0"/>
              <w:adjustRightInd w:val="0"/>
              <w:spacing w:line="500" w:lineRule="exact"/>
              <w:ind w:firstLine="480" w:firstLineChars="200"/>
            </w:pPr>
            <w:r>
              <w:rPr>
                <w:rFonts w:hAnsi="宋体"/>
                <w:bCs/>
                <w:sz w:val="24"/>
                <w:szCs w:val="22"/>
              </w:rPr>
              <w:t>本项目不属于新建或改建、扩建广播电台、差转台、电视塔台、卫星地球上行站、雷达等电磁辐射类项目，故不对项目电磁辐射现状开展监测与评价。</w:t>
            </w:r>
          </w:p>
          <w:p>
            <w:pPr>
              <w:pStyle w:val="5"/>
              <w:spacing w:line="500" w:lineRule="exact"/>
              <w:ind w:firstLine="0" w:firstLineChars="0"/>
              <w:rPr>
                <w:b/>
                <w:bCs/>
              </w:rPr>
            </w:pPr>
            <w:r>
              <w:rPr>
                <w:b/>
                <w:bCs/>
              </w:rPr>
              <w:t xml:space="preserve">3.1.6 </w:t>
            </w:r>
            <w:r>
              <w:rPr>
                <w:rFonts w:hAnsi="宋体"/>
                <w:b/>
                <w:bCs/>
              </w:rPr>
              <w:t>地下水、土壤</w:t>
            </w:r>
          </w:p>
          <w:p>
            <w:pPr>
              <w:spacing w:line="500" w:lineRule="exact"/>
              <w:ind w:firstLine="480" w:firstLineChars="200"/>
              <w:rPr>
                <w:sz w:val="24"/>
              </w:rPr>
            </w:pPr>
            <w:r>
              <w:rPr>
                <w:rFonts w:hAnsi="宋体"/>
                <w:sz w:val="24"/>
              </w:rPr>
              <w:t>本项目行业类别属于化纤织造加工</w:t>
            </w:r>
            <w:r>
              <w:rPr>
                <w:sz w:val="24"/>
              </w:rPr>
              <w:t>C1751</w:t>
            </w:r>
            <w:r>
              <w:rPr>
                <w:rFonts w:hint="eastAsia"/>
                <w:sz w:val="24"/>
                <w:lang w:eastAsia="zh-CN"/>
              </w:rPr>
              <w:t>和</w:t>
            </w:r>
            <w:r>
              <w:rPr>
                <w:rFonts w:hint="eastAsia"/>
                <w:bCs/>
                <w:kern w:val="0"/>
                <w:sz w:val="24"/>
                <w:lang w:eastAsia="zh-CN"/>
              </w:rPr>
              <w:t>涤纶纤维制造</w:t>
            </w:r>
            <w:r>
              <w:rPr>
                <w:rFonts w:hint="eastAsia"/>
                <w:bCs/>
                <w:kern w:val="0"/>
                <w:sz w:val="24"/>
                <w:lang w:val="en-US" w:eastAsia="zh-CN"/>
              </w:rPr>
              <w:t xml:space="preserve"> C2822</w:t>
            </w:r>
            <w:r>
              <w:rPr>
                <w:rFonts w:hAnsi="宋体"/>
                <w:sz w:val="24"/>
              </w:rPr>
              <w:t>，项目对土壤、地下水环境可能造成影响的污染源主要为危废仓库、生产区等，在设置了相应的防腐防渗等措施后，风险事故状态下，能够有效防止污染源影响区域内地下水及土壤，故不进行土壤、地下水环境质量现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0" w:hRule="atLeast"/>
          <w:jc w:val="center"/>
        </w:trPr>
        <w:tc>
          <w:tcPr>
            <w:tcW w:w="394" w:type="dxa"/>
            <w:noWrap/>
            <w:tcMar>
              <w:top w:w="0" w:type="dxa"/>
              <w:left w:w="108" w:type="dxa"/>
              <w:bottom w:w="0" w:type="dxa"/>
              <w:right w:w="108" w:type="dxa"/>
            </w:tcMar>
            <w:vAlign w:val="center"/>
          </w:tcPr>
          <w:p>
            <w:pPr>
              <w:widowControl/>
              <w:wordWrap w:val="0"/>
              <w:jc w:val="center"/>
              <w:rPr>
                <w:b/>
                <w:bCs/>
                <w:kern w:val="0"/>
                <w:sz w:val="24"/>
              </w:rPr>
            </w:pPr>
            <w:r>
              <w:rPr>
                <w:rFonts w:hAnsi="宋体"/>
                <w:b/>
                <w:bCs/>
                <w:kern w:val="0"/>
                <w:sz w:val="24"/>
              </w:rPr>
              <w:t>环境</w:t>
            </w:r>
          </w:p>
          <w:p>
            <w:pPr>
              <w:widowControl/>
              <w:wordWrap w:val="0"/>
              <w:jc w:val="center"/>
              <w:rPr>
                <w:b/>
                <w:bCs/>
                <w:kern w:val="0"/>
                <w:sz w:val="24"/>
              </w:rPr>
            </w:pPr>
            <w:r>
              <w:rPr>
                <w:rFonts w:hAnsi="宋体"/>
                <w:b/>
                <w:bCs/>
                <w:kern w:val="0"/>
                <w:sz w:val="24"/>
              </w:rPr>
              <w:t>保护</w:t>
            </w:r>
          </w:p>
          <w:p>
            <w:pPr>
              <w:widowControl/>
              <w:wordWrap w:val="0"/>
              <w:jc w:val="center"/>
              <w:rPr>
                <w:b/>
                <w:bCs/>
                <w:kern w:val="0"/>
                <w:sz w:val="24"/>
              </w:rPr>
            </w:pPr>
            <w:r>
              <w:rPr>
                <w:rFonts w:hAnsi="宋体"/>
                <w:b/>
                <w:bCs/>
                <w:kern w:val="0"/>
                <w:sz w:val="24"/>
              </w:rPr>
              <w:t>目标</w:t>
            </w:r>
          </w:p>
        </w:tc>
        <w:tc>
          <w:tcPr>
            <w:tcW w:w="8677" w:type="dxa"/>
            <w:noWrap/>
            <w:tcMar>
              <w:top w:w="0" w:type="dxa"/>
              <w:left w:w="108" w:type="dxa"/>
              <w:bottom w:w="0" w:type="dxa"/>
              <w:right w:w="108" w:type="dxa"/>
            </w:tcMar>
            <w:vAlign w:val="center"/>
          </w:tcPr>
          <w:p>
            <w:pPr>
              <w:adjustRightInd w:val="0"/>
              <w:snapToGrid w:val="0"/>
              <w:spacing w:line="500" w:lineRule="exact"/>
              <w:rPr>
                <w:b/>
                <w:bCs/>
                <w:sz w:val="24"/>
              </w:rPr>
            </w:pPr>
            <w:r>
              <w:rPr>
                <w:b/>
                <w:bCs/>
                <w:sz w:val="24"/>
              </w:rPr>
              <w:t>3.2</w:t>
            </w:r>
            <w:r>
              <w:rPr>
                <w:rFonts w:hAnsi="宋体"/>
                <w:b/>
                <w:bCs/>
                <w:sz w:val="24"/>
              </w:rPr>
              <w:t>环境保护目标</w:t>
            </w:r>
          </w:p>
          <w:p>
            <w:pPr>
              <w:adjustRightInd w:val="0"/>
              <w:snapToGrid w:val="0"/>
              <w:spacing w:line="500" w:lineRule="exact"/>
              <w:rPr>
                <w:b/>
                <w:bCs/>
                <w:kern w:val="0"/>
                <w:sz w:val="24"/>
              </w:rPr>
            </w:pPr>
            <w:r>
              <w:rPr>
                <w:b/>
                <w:bCs/>
                <w:sz w:val="24"/>
              </w:rPr>
              <w:t>3.2.1</w:t>
            </w:r>
            <w:r>
              <w:rPr>
                <w:rFonts w:hAnsi="宋体"/>
                <w:b/>
                <w:bCs/>
                <w:sz w:val="24"/>
              </w:rPr>
              <w:t>大气环境保护目标</w:t>
            </w:r>
          </w:p>
          <w:p>
            <w:pPr>
              <w:adjustRightInd w:val="0"/>
              <w:snapToGrid w:val="0"/>
              <w:spacing w:line="500" w:lineRule="exact"/>
              <w:ind w:firstLine="482"/>
              <w:rPr>
                <w:b/>
                <w:bCs/>
                <w:szCs w:val="21"/>
              </w:rPr>
            </w:pPr>
            <w:r>
              <w:rPr>
                <w:rFonts w:hint="eastAsia" w:hAnsi="宋体"/>
                <w:color w:val="auto"/>
                <w:sz w:val="24"/>
                <w:lang w:val="en-US" w:eastAsia="zh-CN"/>
              </w:rPr>
              <w:t>厂界</w:t>
            </w:r>
            <w:r>
              <w:rPr>
                <w:rFonts w:hAnsi="宋体"/>
                <w:color w:val="auto"/>
                <w:sz w:val="24"/>
              </w:rPr>
              <w:t>外</w:t>
            </w:r>
            <w:r>
              <w:rPr>
                <w:color w:val="auto"/>
                <w:sz w:val="24"/>
              </w:rPr>
              <w:t>500m</w:t>
            </w:r>
            <w:r>
              <w:rPr>
                <w:rFonts w:hAnsi="宋体"/>
                <w:sz w:val="24"/>
              </w:rPr>
              <w:t>范围内大气环境保护目标见表</w:t>
            </w:r>
            <w:r>
              <w:rPr>
                <w:sz w:val="24"/>
              </w:rPr>
              <w:t>3.2-1</w:t>
            </w:r>
            <w:r>
              <w:rPr>
                <w:rFonts w:hAnsi="宋体"/>
                <w:sz w:val="24"/>
              </w:rPr>
              <w:t>。</w:t>
            </w:r>
          </w:p>
          <w:p>
            <w:pPr>
              <w:spacing w:line="460" w:lineRule="exact"/>
              <w:jc w:val="center"/>
              <w:rPr>
                <w:b/>
                <w:bCs/>
                <w:szCs w:val="21"/>
              </w:rPr>
            </w:pPr>
            <w:r>
              <w:rPr>
                <w:rFonts w:hAnsi="宋体"/>
                <w:b/>
                <w:bCs/>
                <w:szCs w:val="21"/>
              </w:rPr>
              <w:t>表</w:t>
            </w:r>
            <w:r>
              <w:rPr>
                <w:b/>
                <w:bCs/>
                <w:szCs w:val="21"/>
              </w:rPr>
              <w:t xml:space="preserve">3.2-1  </w:t>
            </w:r>
            <w:r>
              <w:rPr>
                <w:rFonts w:hAnsi="宋体"/>
                <w:b/>
                <w:bCs/>
                <w:szCs w:val="21"/>
              </w:rPr>
              <w:t>大气环境保护目标</w:t>
            </w:r>
          </w:p>
          <w:tbl>
            <w:tblPr>
              <w:tblStyle w:val="40"/>
              <w:tblW w:w="8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675"/>
              <w:gridCol w:w="1162"/>
              <w:gridCol w:w="1237"/>
              <w:gridCol w:w="1088"/>
              <w:gridCol w:w="1103"/>
              <w:gridCol w:w="865"/>
              <w:gridCol w:w="954"/>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vMerge w:val="restart"/>
                  <w:noWrap/>
                  <w:vAlign w:val="center"/>
                </w:tcPr>
                <w:p>
                  <w:p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675" w:type="dxa"/>
                  <w:vMerge w:val="restart"/>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w:t>
                  </w:r>
                </w:p>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要素</w:t>
                  </w:r>
                </w:p>
              </w:tc>
              <w:tc>
                <w:tcPr>
                  <w:tcW w:w="2399" w:type="dxa"/>
                  <w:gridSpan w:val="2"/>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坐标</w:t>
                  </w:r>
                </w:p>
              </w:tc>
              <w:tc>
                <w:tcPr>
                  <w:tcW w:w="1088" w:type="dxa"/>
                  <w:vMerge w:val="restart"/>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保护对象</w:t>
                  </w:r>
                </w:p>
              </w:tc>
              <w:tc>
                <w:tcPr>
                  <w:tcW w:w="1103" w:type="dxa"/>
                  <w:vMerge w:val="restart"/>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保护内容</w:t>
                  </w:r>
                </w:p>
              </w:tc>
              <w:tc>
                <w:tcPr>
                  <w:tcW w:w="865" w:type="dxa"/>
                  <w:vMerge w:val="restart"/>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环境功能区</w:t>
                  </w:r>
                </w:p>
              </w:tc>
              <w:tc>
                <w:tcPr>
                  <w:tcW w:w="954" w:type="dxa"/>
                  <w:vMerge w:val="restart"/>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相对厂址方位</w:t>
                  </w:r>
                </w:p>
              </w:tc>
              <w:tc>
                <w:tcPr>
                  <w:tcW w:w="909" w:type="dxa"/>
                  <w:vMerge w:val="restart"/>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vMerge w:val="continue"/>
                  <w:noWrap/>
                  <w:vAlign w:val="center"/>
                </w:tcPr>
                <w:p>
                  <w:pPr>
                    <w:adjustRightInd w:val="0"/>
                    <w:snapToGrid w:val="0"/>
                    <w:jc w:val="center"/>
                    <w:rPr>
                      <w:rFonts w:hint="default" w:ascii="Times New Roman" w:hAnsi="Times New Roman" w:cs="Times New Roman"/>
                      <w:sz w:val="21"/>
                      <w:szCs w:val="21"/>
                    </w:rPr>
                  </w:pPr>
                </w:p>
              </w:tc>
              <w:tc>
                <w:tcPr>
                  <w:tcW w:w="675" w:type="dxa"/>
                  <w:vMerge w:val="continue"/>
                  <w:noWrap/>
                  <w:vAlign w:val="center"/>
                </w:tcPr>
                <w:p>
                  <w:pPr>
                    <w:adjustRightInd w:val="0"/>
                    <w:snapToGrid w:val="0"/>
                    <w:jc w:val="center"/>
                    <w:rPr>
                      <w:rFonts w:hint="default" w:ascii="Times New Roman" w:hAnsi="Times New Roman" w:cs="Times New Roman"/>
                      <w:sz w:val="21"/>
                      <w:szCs w:val="21"/>
                    </w:rPr>
                  </w:pPr>
                </w:p>
              </w:tc>
              <w:tc>
                <w:tcPr>
                  <w:tcW w:w="1162" w:type="dxa"/>
                  <w:noWrap/>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X</w:t>
                  </w:r>
                </w:p>
              </w:tc>
              <w:tc>
                <w:tcPr>
                  <w:tcW w:w="1237" w:type="dxa"/>
                  <w:noWrap/>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Y</w:t>
                  </w:r>
                </w:p>
              </w:tc>
              <w:tc>
                <w:tcPr>
                  <w:tcW w:w="1088" w:type="dxa"/>
                  <w:vMerge w:val="continue"/>
                  <w:noWrap/>
                  <w:vAlign w:val="center"/>
                </w:tcPr>
                <w:p>
                  <w:pPr>
                    <w:adjustRightInd w:val="0"/>
                    <w:snapToGrid w:val="0"/>
                    <w:jc w:val="center"/>
                    <w:rPr>
                      <w:rFonts w:hint="default" w:ascii="Times New Roman" w:hAnsi="Times New Roman" w:cs="Times New Roman"/>
                      <w:sz w:val="21"/>
                      <w:szCs w:val="21"/>
                    </w:rPr>
                  </w:pPr>
                </w:p>
              </w:tc>
              <w:tc>
                <w:tcPr>
                  <w:tcW w:w="1103" w:type="dxa"/>
                  <w:vMerge w:val="continue"/>
                  <w:noWrap/>
                  <w:vAlign w:val="center"/>
                </w:tcPr>
                <w:p>
                  <w:pPr>
                    <w:adjustRightInd w:val="0"/>
                    <w:snapToGrid w:val="0"/>
                    <w:jc w:val="center"/>
                    <w:rPr>
                      <w:rFonts w:hint="default" w:ascii="Times New Roman" w:hAnsi="Times New Roman" w:cs="Times New Roman"/>
                      <w:sz w:val="21"/>
                      <w:szCs w:val="21"/>
                    </w:rPr>
                  </w:pPr>
                </w:p>
              </w:tc>
              <w:tc>
                <w:tcPr>
                  <w:tcW w:w="865" w:type="dxa"/>
                  <w:vMerge w:val="continue"/>
                  <w:noWrap/>
                  <w:vAlign w:val="center"/>
                </w:tcPr>
                <w:p>
                  <w:pPr>
                    <w:adjustRightInd w:val="0"/>
                    <w:snapToGrid w:val="0"/>
                    <w:jc w:val="center"/>
                    <w:rPr>
                      <w:rFonts w:hint="default" w:ascii="Times New Roman" w:hAnsi="Times New Roman" w:cs="Times New Roman"/>
                      <w:sz w:val="21"/>
                      <w:szCs w:val="21"/>
                    </w:rPr>
                  </w:pPr>
                </w:p>
              </w:tc>
              <w:tc>
                <w:tcPr>
                  <w:tcW w:w="954" w:type="dxa"/>
                  <w:vMerge w:val="continue"/>
                  <w:noWrap/>
                  <w:vAlign w:val="center"/>
                </w:tcPr>
                <w:p>
                  <w:pPr>
                    <w:adjustRightInd w:val="0"/>
                    <w:snapToGrid w:val="0"/>
                    <w:jc w:val="center"/>
                    <w:rPr>
                      <w:rFonts w:hint="default" w:ascii="Times New Roman" w:hAnsi="Times New Roman" w:cs="Times New Roman"/>
                      <w:sz w:val="21"/>
                      <w:szCs w:val="21"/>
                    </w:rPr>
                  </w:pPr>
                </w:p>
              </w:tc>
              <w:tc>
                <w:tcPr>
                  <w:tcW w:w="909" w:type="dxa"/>
                  <w:vMerge w:val="continue"/>
                  <w:noWrap/>
                  <w:vAlign w:val="center"/>
                </w:tcPr>
                <w:p>
                  <w:pPr>
                    <w:adjustRightInd w:val="0"/>
                    <w:snapToGrid w:val="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675" w:type="dxa"/>
                  <w:vMerge w:val="restart"/>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w:t>
                  </w:r>
                </w:p>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空气</w:t>
                  </w:r>
                </w:p>
              </w:tc>
              <w:tc>
                <w:tcPr>
                  <w:tcW w:w="1162" w:type="dxa"/>
                  <w:noWrap/>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742056.92</w:t>
                  </w:r>
                </w:p>
              </w:tc>
              <w:tc>
                <w:tcPr>
                  <w:tcW w:w="1237" w:type="dxa"/>
                  <w:noWrap/>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3382844.20</w:t>
                  </w:r>
                </w:p>
              </w:tc>
              <w:tc>
                <w:tcPr>
                  <w:tcW w:w="1088" w:type="dxa"/>
                  <w:noWrap/>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龙从村鲍家渎住宅区</w:t>
                  </w:r>
                </w:p>
              </w:tc>
              <w:tc>
                <w:tcPr>
                  <w:tcW w:w="1103" w:type="dxa"/>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居民住宅</w:t>
                  </w:r>
                </w:p>
              </w:tc>
              <w:tc>
                <w:tcPr>
                  <w:tcW w:w="865" w:type="dxa"/>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二级</w:t>
                  </w:r>
                </w:p>
              </w:tc>
              <w:tc>
                <w:tcPr>
                  <w:tcW w:w="954" w:type="dxa"/>
                  <w:noWrap/>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西南侧</w:t>
                  </w:r>
                </w:p>
              </w:tc>
              <w:tc>
                <w:tcPr>
                  <w:tcW w:w="909" w:type="dxa"/>
                  <w:noWrap/>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noWrap/>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675" w:type="dxa"/>
                  <w:vMerge w:val="continue"/>
                  <w:noWrap/>
                  <w:vAlign w:val="center"/>
                </w:tcPr>
                <w:p>
                  <w:pPr>
                    <w:adjustRightInd w:val="0"/>
                    <w:snapToGrid w:val="0"/>
                    <w:jc w:val="center"/>
                    <w:rPr>
                      <w:rFonts w:hint="default" w:ascii="Times New Roman" w:hAnsi="Times New Roman" w:cs="Times New Roman"/>
                      <w:sz w:val="21"/>
                      <w:szCs w:val="21"/>
                    </w:rPr>
                  </w:pPr>
                </w:p>
              </w:tc>
              <w:tc>
                <w:tcPr>
                  <w:tcW w:w="1162" w:type="dxa"/>
                  <w:noWrap/>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742247.50</w:t>
                  </w:r>
                </w:p>
              </w:tc>
              <w:tc>
                <w:tcPr>
                  <w:tcW w:w="1237" w:type="dxa"/>
                  <w:noWrap/>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3382894.32</w:t>
                  </w:r>
                </w:p>
              </w:tc>
              <w:tc>
                <w:tcPr>
                  <w:tcW w:w="1088" w:type="dxa"/>
                  <w:noWrap/>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龙从村上村住宅区</w:t>
                  </w:r>
                </w:p>
              </w:tc>
              <w:tc>
                <w:tcPr>
                  <w:tcW w:w="1103" w:type="dxa"/>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居民住宅</w:t>
                  </w:r>
                </w:p>
              </w:tc>
              <w:tc>
                <w:tcPr>
                  <w:tcW w:w="865" w:type="dxa"/>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二级</w:t>
                  </w:r>
                </w:p>
              </w:tc>
              <w:tc>
                <w:tcPr>
                  <w:tcW w:w="954" w:type="dxa"/>
                  <w:noWrap/>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南侧</w:t>
                  </w:r>
                </w:p>
              </w:tc>
              <w:tc>
                <w:tcPr>
                  <w:tcW w:w="909" w:type="dxa"/>
                  <w:noWrap/>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noWrap/>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675" w:type="dxa"/>
                  <w:vMerge w:val="continue"/>
                  <w:noWrap/>
                  <w:vAlign w:val="center"/>
                </w:tcPr>
                <w:p>
                  <w:pPr>
                    <w:adjustRightInd w:val="0"/>
                    <w:snapToGrid w:val="0"/>
                    <w:jc w:val="center"/>
                    <w:rPr>
                      <w:rFonts w:hint="default" w:ascii="Times New Roman" w:hAnsi="Times New Roman" w:cs="Times New Roman"/>
                      <w:sz w:val="21"/>
                      <w:szCs w:val="21"/>
                    </w:rPr>
                  </w:pPr>
                </w:p>
              </w:tc>
              <w:tc>
                <w:tcPr>
                  <w:tcW w:w="1162" w:type="dxa"/>
                  <w:noWrap/>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742165.36</w:t>
                  </w:r>
                </w:p>
              </w:tc>
              <w:tc>
                <w:tcPr>
                  <w:tcW w:w="1237" w:type="dxa"/>
                  <w:noWrap/>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3383589.39</w:t>
                  </w:r>
                </w:p>
              </w:tc>
              <w:tc>
                <w:tcPr>
                  <w:tcW w:w="1088" w:type="dxa"/>
                  <w:noWrap/>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龙从村钦加渎住宅区</w:t>
                  </w:r>
                </w:p>
              </w:tc>
              <w:tc>
                <w:tcPr>
                  <w:tcW w:w="1103" w:type="dxa"/>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居民住宅</w:t>
                  </w:r>
                </w:p>
              </w:tc>
              <w:tc>
                <w:tcPr>
                  <w:tcW w:w="865" w:type="dxa"/>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二级</w:t>
                  </w:r>
                </w:p>
              </w:tc>
              <w:tc>
                <w:tcPr>
                  <w:tcW w:w="954" w:type="dxa"/>
                  <w:noWrap/>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北侧</w:t>
                  </w:r>
                </w:p>
              </w:tc>
              <w:tc>
                <w:tcPr>
                  <w:tcW w:w="909" w:type="dxa"/>
                  <w:noWrap/>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noWrap/>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p>
              </w:tc>
              <w:tc>
                <w:tcPr>
                  <w:tcW w:w="675" w:type="dxa"/>
                  <w:vMerge w:val="continue"/>
                  <w:noWrap/>
                  <w:vAlign w:val="center"/>
                </w:tcPr>
                <w:p>
                  <w:pPr>
                    <w:adjustRightInd w:val="0"/>
                    <w:snapToGrid w:val="0"/>
                    <w:jc w:val="center"/>
                    <w:rPr>
                      <w:rFonts w:hint="default" w:ascii="Times New Roman" w:hAnsi="Times New Roman" w:cs="Times New Roman"/>
                      <w:sz w:val="21"/>
                      <w:szCs w:val="21"/>
                    </w:rPr>
                  </w:pPr>
                </w:p>
              </w:tc>
              <w:tc>
                <w:tcPr>
                  <w:tcW w:w="1162" w:type="dxa"/>
                  <w:noWrap/>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742042.80</w:t>
                  </w:r>
                </w:p>
              </w:tc>
              <w:tc>
                <w:tcPr>
                  <w:tcW w:w="1237" w:type="dxa"/>
                  <w:noWrap/>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3383102.24</w:t>
                  </w:r>
                </w:p>
              </w:tc>
              <w:tc>
                <w:tcPr>
                  <w:tcW w:w="1088" w:type="dxa"/>
                  <w:noWrap/>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龙从村住宅区</w:t>
                  </w:r>
                </w:p>
              </w:tc>
              <w:tc>
                <w:tcPr>
                  <w:tcW w:w="1103" w:type="dxa"/>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居民住宅</w:t>
                  </w:r>
                </w:p>
              </w:tc>
              <w:tc>
                <w:tcPr>
                  <w:tcW w:w="865" w:type="dxa"/>
                  <w:noWrap/>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二级</w:t>
                  </w:r>
                </w:p>
              </w:tc>
              <w:tc>
                <w:tcPr>
                  <w:tcW w:w="954" w:type="dxa"/>
                  <w:noWrap/>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西北侧</w:t>
                  </w:r>
                </w:p>
              </w:tc>
              <w:tc>
                <w:tcPr>
                  <w:tcW w:w="909" w:type="dxa"/>
                  <w:noWrap/>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noWrap/>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675" w:type="dxa"/>
                  <w:vMerge w:val="continue"/>
                  <w:noWrap/>
                  <w:vAlign w:val="center"/>
                </w:tcPr>
                <w:p>
                  <w:pPr>
                    <w:adjustRightInd w:val="0"/>
                    <w:snapToGrid w:val="0"/>
                    <w:jc w:val="center"/>
                    <w:rPr>
                      <w:rFonts w:hint="default" w:ascii="Times New Roman" w:hAnsi="Times New Roman" w:cs="Times New Roman"/>
                      <w:sz w:val="21"/>
                      <w:szCs w:val="21"/>
                    </w:rPr>
                  </w:pPr>
                </w:p>
              </w:tc>
              <w:tc>
                <w:tcPr>
                  <w:tcW w:w="1162" w:type="dxa"/>
                  <w:noWrap/>
                  <w:vAlign w:val="center"/>
                </w:tcPr>
                <w:p>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742121.84</w:t>
                  </w:r>
                </w:p>
              </w:tc>
              <w:tc>
                <w:tcPr>
                  <w:tcW w:w="1237" w:type="dxa"/>
                  <w:noWrap/>
                  <w:vAlign w:val="center"/>
                </w:tcPr>
                <w:p>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3382991.97</w:t>
                  </w:r>
                </w:p>
              </w:tc>
              <w:tc>
                <w:tcPr>
                  <w:tcW w:w="1088" w:type="dxa"/>
                  <w:noWrap/>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龙从村㘰里住宅</w:t>
                  </w:r>
                </w:p>
              </w:tc>
              <w:tc>
                <w:tcPr>
                  <w:tcW w:w="1103" w:type="dxa"/>
                  <w:noWrap/>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居民住宅</w:t>
                  </w:r>
                </w:p>
              </w:tc>
              <w:tc>
                <w:tcPr>
                  <w:tcW w:w="865" w:type="dxa"/>
                  <w:noWrap/>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二级</w:t>
                  </w:r>
                </w:p>
              </w:tc>
              <w:tc>
                <w:tcPr>
                  <w:tcW w:w="954" w:type="dxa"/>
                  <w:noWrap/>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西侧</w:t>
                  </w:r>
                </w:p>
              </w:tc>
              <w:tc>
                <w:tcPr>
                  <w:tcW w:w="909" w:type="dxa"/>
                  <w:noWrap/>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noWrap/>
                  <w:vAlign w:val="center"/>
                </w:tcPr>
                <w:p>
                  <w:pPr>
                    <w:adjustRightInd w:val="0"/>
                    <w:snapToGrid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6</w:t>
                  </w:r>
                </w:p>
              </w:tc>
              <w:tc>
                <w:tcPr>
                  <w:tcW w:w="675" w:type="dxa"/>
                  <w:vMerge w:val="continue"/>
                  <w:noWrap/>
                  <w:vAlign w:val="center"/>
                </w:tcPr>
                <w:p>
                  <w:pPr>
                    <w:adjustRightInd w:val="0"/>
                    <w:snapToGrid w:val="0"/>
                    <w:jc w:val="center"/>
                    <w:rPr>
                      <w:rFonts w:hint="default" w:ascii="Times New Roman" w:hAnsi="Times New Roman" w:cs="Times New Roman"/>
                      <w:sz w:val="21"/>
                      <w:szCs w:val="21"/>
                    </w:rPr>
                  </w:pPr>
                </w:p>
              </w:tc>
              <w:tc>
                <w:tcPr>
                  <w:tcW w:w="1162" w:type="dxa"/>
                  <w:noWrap/>
                  <w:vAlign w:val="center"/>
                </w:tcPr>
                <w:p>
                  <w:pPr>
                    <w:keepNext w:val="0"/>
                    <w:keepLines w:val="0"/>
                    <w:widowControl/>
                    <w:suppressLineNumbers w:val="0"/>
                    <w:jc w:val="left"/>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742742.88</w:t>
                  </w:r>
                </w:p>
              </w:tc>
              <w:tc>
                <w:tcPr>
                  <w:tcW w:w="1237" w:type="dxa"/>
                  <w:noWrap/>
                  <w:vAlign w:val="center"/>
                </w:tcPr>
                <w:p>
                  <w:pPr>
                    <w:keepNext w:val="0"/>
                    <w:keepLines w:val="0"/>
                    <w:widowControl/>
                    <w:suppressLineNumbers w:val="0"/>
                    <w:jc w:val="left"/>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3383053.25</w:t>
                  </w:r>
                </w:p>
              </w:tc>
              <w:tc>
                <w:tcPr>
                  <w:tcW w:w="1088" w:type="dxa"/>
                  <w:noWrap/>
                  <w:vAlign w:val="center"/>
                </w:tcPr>
                <w:p>
                  <w:pPr>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龙从村㘰</w:t>
                  </w:r>
                  <w:r>
                    <w:rPr>
                      <w:rFonts w:hint="eastAsia" w:cs="Times New Roman"/>
                      <w:sz w:val="21"/>
                      <w:szCs w:val="21"/>
                      <w:lang w:eastAsia="zh-CN"/>
                    </w:rPr>
                    <w:t>心</w:t>
                  </w:r>
                  <w:r>
                    <w:rPr>
                      <w:rFonts w:hint="default" w:ascii="Times New Roman" w:hAnsi="Times New Roman" w:cs="Times New Roman"/>
                      <w:sz w:val="21"/>
                      <w:szCs w:val="21"/>
                      <w:lang w:eastAsia="zh-CN"/>
                    </w:rPr>
                    <w:t>里住宅</w:t>
                  </w:r>
                </w:p>
              </w:tc>
              <w:tc>
                <w:tcPr>
                  <w:tcW w:w="1103" w:type="dxa"/>
                  <w:noWrap/>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居民住宅</w:t>
                  </w:r>
                </w:p>
              </w:tc>
              <w:tc>
                <w:tcPr>
                  <w:tcW w:w="865" w:type="dxa"/>
                  <w:noWrap/>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二级</w:t>
                  </w:r>
                </w:p>
              </w:tc>
              <w:tc>
                <w:tcPr>
                  <w:tcW w:w="954" w:type="dxa"/>
                  <w:noWrap/>
                  <w:vAlign w:val="center"/>
                </w:tcPr>
                <w:p>
                  <w:pPr>
                    <w:adjustRightInd w:val="0"/>
                    <w:snapToGrid w:val="0"/>
                    <w:jc w:val="center"/>
                    <w:rPr>
                      <w:rFonts w:hint="default" w:ascii="Times New Roman" w:hAnsi="Times New Roman" w:cs="Times New Roman"/>
                      <w:sz w:val="21"/>
                      <w:szCs w:val="21"/>
                      <w:lang w:eastAsia="zh-CN"/>
                    </w:rPr>
                  </w:pPr>
                  <w:r>
                    <w:rPr>
                      <w:rFonts w:hint="eastAsia" w:cs="Times New Roman"/>
                      <w:sz w:val="21"/>
                      <w:szCs w:val="21"/>
                      <w:lang w:eastAsia="zh-CN"/>
                    </w:rPr>
                    <w:t>东侧</w:t>
                  </w:r>
                </w:p>
              </w:tc>
              <w:tc>
                <w:tcPr>
                  <w:tcW w:w="909" w:type="dxa"/>
                  <w:noWrap/>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460</w:t>
                  </w:r>
                </w:p>
              </w:tc>
            </w:tr>
          </w:tbl>
          <w:p>
            <w:pPr>
              <w:adjustRightInd w:val="0"/>
              <w:snapToGrid w:val="0"/>
              <w:spacing w:line="500" w:lineRule="exact"/>
              <w:rPr>
                <w:b/>
                <w:bCs/>
                <w:kern w:val="0"/>
                <w:sz w:val="24"/>
              </w:rPr>
            </w:pPr>
            <w:r>
              <w:rPr>
                <w:b/>
                <w:bCs/>
                <w:sz w:val="24"/>
              </w:rPr>
              <w:t>3.2.2</w:t>
            </w:r>
            <w:r>
              <w:rPr>
                <w:rFonts w:hAnsi="宋体"/>
                <w:b/>
                <w:bCs/>
                <w:sz w:val="24"/>
              </w:rPr>
              <w:t>声环境保护目标</w:t>
            </w:r>
          </w:p>
          <w:p>
            <w:pPr>
              <w:adjustRightInd w:val="0"/>
              <w:snapToGrid w:val="0"/>
              <w:spacing w:line="500" w:lineRule="exact"/>
              <w:ind w:firstLine="482"/>
              <w:rPr>
                <w:b/>
                <w:bCs/>
                <w:szCs w:val="21"/>
              </w:rPr>
            </w:pPr>
            <w:r>
              <w:rPr>
                <w:rFonts w:hint="eastAsia" w:hAnsi="宋体"/>
                <w:color w:val="auto"/>
                <w:sz w:val="24"/>
                <w:lang w:val="en-US" w:eastAsia="zh-CN"/>
              </w:rPr>
              <w:t>厂界</w:t>
            </w:r>
            <w:r>
              <w:rPr>
                <w:rFonts w:hAnsi="宋体"/>
                <w:color w:val="auto"/>
                <w:sz w:val="24"/>
              </w:rPr>
              <w:t>外</w:t>
            </w:r>
            <w:r>
              <w:rPr>
                <w:color w:val="auto"/>
                <w:sz w:val="24"/>
              </w:rPr>
              <w:t>50m</w:t>
            </w:r>
            <w:r>
              <w:rPr>
                <w:rFonts w:hAnsi="宋体"/>
                <w:color w:val="auto"/>
                <w:sz w:val="24"/>
              </w:rPr>
              <w:t>范围内</w:t>
            </w:r>
            <w:r>
              <w:rPr>
                <w:rFonts w:hAnsi="宋体"/>
                <w:sz w:val="24"/>
              </w:rPr>
              <w:t>声环境保护目标见表</w:t>
            </w:r>
            <w:r>
              <w:rPr>
                <w:sz w:val="24"/>
              </w:rPr>
              <w:t>3.2-2</w:t>
            </w:r>
            <w:r>
              <w:rPr>
                <w:rFonts w:hAnsi="宋体"/>
                <w:sz w:val="24"/>
              </w:rPr>
              <w:t>。</w:t>
            </w:r>
          </w:p>
          <w:p>
            <w:pPr>
              <w:spacing w:line="460" w:lineRule="exact"/>
              <w:jc w:val="center"/>
              <w:rPr>
                <w:rFonts w:hAnsi="宋体"/>
                <w:b/>
                <w:bCs/>
                <w:szCs w:val="21"/>
              </w:rPr>
            </w:pPr>
          </w:p>
          <w:p>
            <w:pPr>
              <w:spacing w:line="460" w:lineRule="exact"/>
              <w:jc w:val="center"/>
              <w:rPr>
                <w:b/>
                <w:bCs/>
                <w:szCs w:val="21"/>
              </w:rPr>
            </w:pPr>
            <w:r>
              <w:rPr>
                <w:rFonts w:hAnsi="宋体"/>
                <w:b/>
                <w:bCs/>
                <w:szCs w:val="21"/>
              </w:rPr>
              <w:t>表</w:t>
            </w:r>
            <w:r>
              <w:rPr>
                <w:b/>
                <w:bCs/>
                <w:szCs w:val="21"/>
              </w:rPr>
              <w:t xml:space="preserve">3.2-2  </w:t>
            </w:r>
            <w:r>
              <w:rPr>
                <w:rFonts w:hAnsi="宋体"/>
                <w:b/>
                <w:bCs/>
                <w:szCs w:val="21"/>
              </w:rPr>
              <w:t>声环境保护目标</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679"/>
              <w:gridCol w:w="1170"/>
              <w:gridCol w:w="1245"/>
              <w:gridCol w:w="1095"/>
              <w:gridCol w:w="1110"/>
              <w:gridCol w:w="870"/>
              <w:gridCol w:w="960"/>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dxa"/>
                  <w:vMerge w:val="restart"/>
                  <w:noWrap/>
                  <w:vAlign w:val="center"/>
                </w:tcPr>
                <w:p>
                  <w:pPr>
                    <w:adjustRightInd w:val="0"/>
                    <w:snapToGrid w:val="0"/>
                    <w:rPr>
                      <w:szCs w:val="21"/>
                    </w:rPr>
                  </w:pPr>
                  <w:r>
                    <w:rPr>
                      <w:rFonts w:hAnsi="宋体"/>
                      <w:szCs w:val="21"/>
                    </w:rPr>
                    <w:t>序号</w:t>
                  </w:r>
                </w:p>
              </w:tc>
              <w:tc>
                <w:tcPr>
                  <w:tcW w:w="679" w:type="dxa"/>
                  <w:vMerge w:val="restart"/>
                  <w:noWrap/>
                  <w:vAlign w:val="center"/>
                </w:tcPr>
                <w:p>
                  <w:pPr>
                    <w:adjustRightInd w:val="0"/>
                    <w:snapToGrid w:val="0"/>
                    <w:jc w:val="center"/>
                    <w:rPr>
                      <w:szCs w:val="21"/>
                    </w:rPr>
                  </w:pPr>
                  <w:r>
                    <w:rPr>
                      <w:rFonts w:hAnsi="宋体"/>
                      <w:szCs w:val="21"/>
                    </w:rPr>
                    <w:t>环境</w:t>
                  </w:r>
                </w:p>
                <w:p>
                  <w:pPr>
                    <w:adjustRightInd w:val="0"/>
                    <w:snapToGrid w:val="0"/>
                    <w:jc w:val="center"/>
                    <w:rPr>
                      <w:szCs w:val="21"/>
                    </w:rPr>
                  </w:pPr>
                  <w:r>
                    <w:rPr>
                      <w:rFonts w:hAnsi="宋体"/>
                      <w:szCs w:val="21"/>
                    </w:rPr>
                    <w:t>要素</w:t>
                  </w:r>
                </w:p>
              </w:tc>
              <w:tc>
                <w:tcPr>
                  <w:tcW w:w="2415" w:type="dxa"/>
                  <w:gridSpan w:val="2"/>
                  <w:noWrap/>
                  <w:vAlign w:val="center"/>
                </w:tcPr>
                <w:p>
                  <w:pPr>
                    <w:adjustRightInd w:val="0"/>
                    <w:snapToGrid w:val="0"/>
                    <w:jc w:val="center"/>
                    <w:rPr>
                      <w:szCs w:val="21"/>
                    </w:rPr>
                  </w:pPr>
                  <w:r>
                    <w:rPr>
                      <w:rFonts w:hAnsi="宋体"/>
                      <w:szCs w:val="21"/>
                    </w:rPr>
                    <w:t>坐标</w:t>
                  </w:r>
                </w:p>
              </w:tc>
              <w:tc>
                <w:tcPr>
                  <w:tcW w:w="1095" w:type="dxa"/>
                  <w:vMerge w:val="restart"/>
                  <w:noWrap/>
                  <w:vAlign w:val="center"/>
                </w:tcPr>
                <w:p>
                  <w:pPr>
                    <w:adjustRightInd w:val="0"/>
                    <w:snapToGrid w:val="0"/>
                    <w:jc w:val="center"/>
                    <w:rPr>
                      <w:szCs w:val="21"/>
                    </w:rPr>
                  </w:pPr>
                  <w:r>
                    <w:rPr>
                      <w:rFonts w:hAnsi="宋体"/>
                      <w:szCs w:val="21"/>
                    </w:rPr>
                    <w:t>保护对象</w:t>
                  </w:r>
                </w:p>
              </w:tc>
              <w:tc>
                <w:tcPr>
                  <w:tcW w:w="1110" w:type="dxa"/>
                  <w:vMerge w:val="restart"/>
                  <w:noWrap/>
                  <w:vAlign w:val="center"/>
                </w:tcPr>
                <w:p>
                  <w:pPr>
                    <w:adjustRightInd w:val="0"/>
                    <w:snapToGrid w:val="0"/>
                    <w:jc w:val="center"/>
                    <w:rPr>
                      <w:szCs w:val="21"/>
                    </w:rPr>
                  </w:pPr>
                  <w:r>
                    <w:rPr>
                      <w:rFonts w:hAnsi="宋体"/>
                      <w:szCs w:val="21"/>
                    </w:rPr>
                    <w:t>保护内容</w:t>
                  </w:r>
                </w:p>
              </w:tc>
              <w:tc>
                <w:tcPr>
                  <w:tcW w:w="870" w:type="dxa"/>
                  <w:vMerge w:val="restart"/>
                  <w:noWrap/>
                  <w:vAlign w:val="center"/>
                </w:tcPr>
                <w:p>
                  <w:pPr>
                    <w:adjustRightInd w:val="0"/>
                    <w:snapToGrid w:val="0"/>
                    <w:jc w:val="center"/>
                    <w:rPr>
                      <w:szCs w:val="21"/>
                    </w:rPr>
                  </w:pPr>
                  <w:r>
                    <w:rPr>
                      <w:rFonts w:hint="eastAsia" w:hAnsi="宋体"/>
                      <w:szCs w:val="21"/>
                      <w:lang w:eastAsia="zh-CN"/>
                    </w:rPr>
                    <w:t>声</w:t>
                  </w:r>
                  <w:r>
                    <w:rPr>
                      <w:rFonts w:hAnsi="宋体"/>
                      <w:szCs w:val="21"/>
                    </w:rPr>
                    <w:t>环境功能区</w:t>
                  </w:r>
                </w:p>
              </w:tc>
              <w:tc>
                <w:tcPr>
                  <w:tcW w:w="960" w:type="dxa"/>
                  <w:vMerge w:val="restart"/>
                  <w:noWrap/>
                  <w:vAlign w:val="center"/>
                </w:tcPr>
                <w:p>
                  <w:pPr>
                    <w:adjustRightInd w:val="0"/>
                    <w:snapToGrid w:val="0"/>
                    <w:jc w:val="center"/>
                    <w:rPr>
                      <w:szCs w:val="21"/>
                    </w:rPr>
                  </w:pPr>
                  <w:r>
                    <w:rPr>
                      <w:rFonts w:hAnsi="宋体"/>
                      <w:szCs w:val="21"/>
                    </w:rPr>
                    <w:t>相对厂址方位</w:t>
                  </w:r>
                </w:p>
              </w:tc>
              <w:tc>
                <w:tcPr>
                  <w:tcW w:w="915" w:type="dxa"/>
                  <w:vMerge w:val="restart"/>
                  <w:noWrap/>
                  <w:vAlign w:val="center"/>
                </w:tcPr>
                <w:p>
                  <w:pPr>
                    <w:adjustRightInd w:val="0"/>
                    <w:snapToGrid w:val="0"/>
                    <w:jc w:val="center"/>
                    <w:rPr>
                      <w:szCs w:val="21"/>
                    </w:rPr>
                  </w:pPr>
                  <w:r>
                    <w:rPr>
                      <w:rFonts w:hAnsi="宋体"/>
                      <w:szCs w:val="21"/>
                    </w:rPr>
                    <w:t>相对厂界距离</w:t>
                  </w:r>
                  <w:r>
                    <w:rPr>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dxa"/>
                  <w:vMerge w:val="continue"/>
                  <w:noWrap/>
                  <w:vAlign w:val="center"/>
                </w:tcPr>
                <w:p>
                  <w:pPr>
                    <w:adjustRightInd w:val="0"/>
                    <w:snapToGrid w:val="0"/>
                    <w:jc w:val="center"/>
                    <w:rPr>
                      <w:szCs w:val="21"/>
                    </w:rPr>
                  </w:pPr>
                </w:p>
              </w:tc>
              <w:tc>
                <w:tcPr>
                  <w:tcW w:w="679" w:type="dxa"/>
                  <w:vMerge w:val="continue"/>
                  <w:noWrap/>
                  <w:vAlign w:val="center"/>
                </w:tcPr>
                <w:p>
                  <w:pPr>
                    <w:adjustRightInd w:val="0"/>
                    <w:snapToGrid w:val="0"/>
                    <w:jc w:val="center"/>
                    <w:rPr>
                      <w:szCs w:val="21"/>
                    </w:rPr>
                  </w:pPr>
                </w:p>
              </w:tc>
              <w:tc>
                <w:tcPr>
                  <w:tcW w:w="1170" w:type="dxa"/>
                  <w:noWrap/>
                  <w:vAlign w:val="center"/>
                </w:tcPr>
                <w:p>
                  <w:pPr>
                    <w:adjustRightInd w:val="0"/>
                    <w:snapToGrid w:val="0"/>
                    <w:jc w:val="center"/>
                    <w:rPr>
                      <w:szCs w:val="21"/>
                    </w:rPr>
                  </w:pPr>
                  <w:r>
                    <w:rPr>
                      <w:szCs w:val="21"/>
                    </w:rPr>
                    <w:t>X</w:t>
                  </w:r>
                </w:p>
              </w:tc>
              <w:tc>
                <w:tcPr>
                  <w:tcW w:w="1245" w:type="dxa"/>
                  <w:noWrap/>
                  <w:vAlign w:val="center"/>
                </w:tcPr>
                <w:p>
                  <w:pPr>
                    <w:adjustRightInd w:val="0"/>
                    <w:snapToGrid w:val="0"/>
                    <w:jc w:val="center"/>
                    <w:rPr>
                      <w:szCs w:val="21"/>
                    </w:rPr>
                  </w:pPr>
                  <w:r>
                    <w:rPr>
                      <w:szCs w:val="21"/>
                    </w:rPr>
                    <w:t>Y</w:t>
                  </w:r>
                </w:p>
              </w:tc>
              <w:tc>
                <w:tcPr>
                  <w:tcW w:w="1095" w:type="dxa"/>
                  <w:vMerge w:val="continue"/>
                  <w:noWrap/>
                  <w:vAlign w:val="center"/>
                </w:tcPr>
                <w:p>
                  <w:pPr>
                    <w:adjustRightInd w:val="0"/>
                    <w:snapToGrid w:val="0"/>
                    <w:jc w:val="center"/>
                    <w:rPr>
                      <w:szCs w:val="21"/>
                    </w:rPr>
                  </w:pPr>
                </w:p>
              </w:tc>
              <w:tc>
                <w:tcPr>
                  <w:tcW w:w="1110" w:type="dxa"/>
                  <w:vMerge w:val="continue"/>
                  <w:noWrap/>
                  <w:vAlign w:val="center"/>
                </w:tcPr>
                <w:p>
                  <w:pPr>
                    <w:adjustRightInd w:val="0"/>
                    <w:snapToGrid w:val="0"/>
                    <w:jc w:val="center"/>
                    <w:rPr>
                      <w:szCs w:val="21"/>
                    </w:rPr>
                  </w:pPr>
                </w:p>
              </w:tc>
              <w:tc>
                <w:tcPr>
                  <w:tcW w:w="870" w:type="dxa"/>
                  <w:vMerge w:val="continue"/>
                  <w:noWrap/>
                  <w:vAlign w:val="center"/>
                </w:tcPr>
                <w:p>
                  <w:pPr>
                    <w:adjustRightInd w:val="0"/>
                    <w:snapToGrid w:val="0"/>
                    <w:jc w:val="center"/>
                    <w:rPr>
                      <w:szCs w:val="21"/>
                    </w:rPr>
                  </w:pPr>
                </w:p>
              </w:tc>
              <w:tc>
                <w:tcPr>
                  <w:tcW w:w="960" w:type="dxa"/>
                  <w:vMerge w:val="continue"/>
                  <w:noWrap/>
                  <w:vAlign w:val="center"/>
                </w:tcPr>
                <w:p>
                  <w:pPr>
                    <w:adjustRightInd w:val="0"/>
                    <w:snapToGrid w:val="0"/>
                    <w:jc w:val="center"/>
                    <w:rPr>
                      <w:szCs w:val="21"/>
                    </w:rPr>
                  </w:pPr>
                </w:p>
              </w:tc>
              <w:tc>
                <w:tcPr>
                  <w:tcW w:w="915" w:type="dxa"/>
                  <w:vMerge w:val="continue"/>
                  <w:noWrap/>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dxa"/>
                  <w:noWrap/>
                  <w:vAlign w:val="center"/>
                </w:tcPr>
                <w:p>
                  <w:pPr>
                    <w:adjustRightInd w:val="0"/>
                    <w:snapToGrid w:val="0"/>
                    <w:jc w:val="center"/>
                    <w:rPr>
                      <w:szCs w:val="21"/>
                    </w:rPr>
                  </w:pPr>
                  <w:r>
                    <w:rPr>
                      <w:szCs w:val="21"/>
                    </w:rPr>
                    <w:t>1</w:t>
                  </w:r>
                </w:p>
              </w:tc>
              <w:tc>
                <w:tcPr>
                  <w:tcW w:w="679" w:type="dxa"/>
                  <w:noWrap/>
                  <w:vAlign w:val="center"/>
                </w:tcPr>
                <w:p>
                  <w:pPr>
                    <w:adjustRightInd w:val="0"/>
                    <w:snapToGrid w:val="0"/>
                    <w:jc w:val="center"/>
                    <w:rPr>
                      <w:szCs w:val="21"/>
                    </w:rPr>
                  </w:pPr>
                  <w:r>
                    <w:rPr>
                      <w:rFonts w:hAnsi="宋体"/>
                      <w:szCs w:val="21"/>
                    </w:rPr>
                    <w:t>声环境</w:t>
                  </w:r>
                </w:p>
              </w:tc>
              <w:tc>
                <w:tcPr>
                  <w:tcW w:w="1170" w:type="dxa"/>
                  <w:noWrap/>
                  <w:vAlign w:val="center"/>
                </w:tcPr>
                <w:p>
                  <w:pPr>
                    <w:keepNext w:val="0"/>
                    <w:keepLines w:val="0"/>
                    <w:widowControl/>
                    <w:suppressLineNumbers w:val="0"/>
                    <w:jc w:val="left"/>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742121.84</w:t>
                  </w:r>
                </w:p>
              </w:tc>
              <w:tc>
                <w:tcPr>
                  <w:tcW w:w="1245" w:type="dxa"/>
                  <w:noWrap/>
                  <w:vAlign w:val="center"/>
                </w:tcPr>
                <w:p>
                  <w:pPr>
                    <w:keepNext w:val="0"/>
                    <w:keepLines w:val="0"/>
                    <w:widowControl/>
                    <w:suppressLineNumbers w:val="0"/>
                    <w:jc w:val="left"/>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3382991.97</w:t>
                  </w:r>
                </w:p>
              </w:tc>
              <w:tc>
                <w:tcPr>
                  <w:tcW w:w="1095" w:type="dxa"/>
                  <w:noWrap/>
                  <w:vAlign w:val="center"/>
                </w:tcPr>
                <w:p>
                  <w:pPr>
                    <w:adjustRightInd w:val="0"/>
                    <w:snapToGrid w:val="0"/>
                    <w:jc w:val="center"/>
                    <w:rPr>
                      <w:rFonts w:hint="eastAsia" w:eastAsia="宋体"/>
                      <w:szCs w:val="21"/>
                      <w:lang w:eastAsia="zh-CN"/>
                    </w:rPr>
                  </w:pPr>
                  <w:r>
                    <w:rPr>
                      <w:rFonts w:hint="eastAsia" w:hAnsi="宋体"/>
                      <w:szCs w:val="21"/>
                      <w:lang w:eastAsia="zh-CN"/>
                    </w:rPr>
                    <w:t>龙从村㘰里住宅</w:t>
                  </w:r>
                </w:p>
              </w:tc>
              <w:tc>
                <w:tcPr>
                  <w:tcW w:w="1110" w:type="dxa"/>
                  <w:noWrap/>
                  <w:vAlign w:val="center"/>
                </w:tcPr>
                <w:p>
                  <w:pPr>
                    <w:adjustRightInd w:val="0"/>
                    <w:snapToGrid w:val="0"/>
                    <w:jc w:val="center"/>
                    <w:rPr>
                      <w:szCs w:val="21"/>
                    </w:rPr>
                  </w:pPr>
                  <w:r>
                    <w:rPr>
                      <w:rFonts w:hAnsi="宋体"/>
                      <w:szCs w:val="21"/>
                    </w:rPr>
                    <w:t>居民住宅</w:t>
                  </w:r>
                </w:p>
              </w:tc>
              <w:tc>
                <w:tcPr>
                  <w:tcW w:w="870" w:type="dxa"/>
                  <w:noWrap/>
                  <w:vAlign w:val="center"/>
                </w:tcPr>
                <w:p>
                  <w:pPr>
                    <w:adjustRightInd w:val="0"/>
                    <w:snapToGrid w:val="0"/>
                    <w:jc w:val="center"/>
                    <w:rPr>
                      <w:szCs w:val="21"/>
                    </w:rPr>
                  </w:pPr>
                  <w:r>
                    <w:rPr>
                      <w:rFonts w:ascii="宋体" w:hAnsi="宋体"/>
                      <w:szCs w:val="21"/>
                    </w:rPr>
                    <w:t>Ⅱ</w:t>
                  </w:r>
                  <w:r>
                    <w:rPr>
                      <w:rFonts w:hAnsi="宋体"/>
                      <w:szCs w:val="21"/>
                    </w:rPr>
                    <w:t>类</w:t>
                  </w:r>
                </w:p>
              </w:tc>
              <w:tc>
                <w:tcPr>
                  <w:tcW w:w="960" w:type="dxa"/>
                  <w:noWrap/>
                  <w:vAlign w:val="center"/>
                </w:tcPr>
                <w:p>
                  <w:pPr>
                    <w:adjustRightInd w:val="0"/>
                    <w:snapToGrid w:val="0"/>
                    <w:jc w:val="center"/>
                    <w:rPr>
                      <w:rFonts w:hint="eastAsia" w:eastAsia="宋体"/>
                      <w:szCs w:val="21"/>
                      <w:lang w:eastAsia="zh-CN"/>
                    </w:rPr>
                  </w:pPr>
                  <w:r>
                    <w:rPr>
                      <w:rFonts w:hint="eastAsia" w:hAnsi="宋体"/>
                      <w:szCs w:val="21"/>
                      <w:lang w:eastAsia="zh-CN"/>
                    </w:rPr>
                    <w:t>西侧</w:t>
                  </w:r>
                </w:p>
              </w:tc>
              <w:tc>
                <w:tcPr>
                  <w:tcW w:w="915" w:type="dxa"/>
                  <w:noWrap/>
                  <w:vAlign w:val="center"/>
                </w:tcPr>
                <w:p>
                  <w:pPr>
                    <w:adjustRightInd w:val="0"/>
                    <w:snapToGrid w:val="0"/>
                    <w:jc w:val="center"/>
                    <w:rPr>
                      <w:rFonts w:hint="default" w:eastAsia="宋体"/>
                      <w:szCs w:val="21"/>
                      <w:lang w:val="en-US" w:eastAsia="zh-CN"/>
                    </w:rPr>
                  </w:pPr>
                  <w:r>
                    <w:rPr>
                      <w:rFonts w:hAnsi="宋体"/>
                      <w:szCs w:val="21"/>
                    </w:rPr>
                    <w:t>约</w:t>
                  </w:r>
                  <w:r>
                    <w:rPr>
                      <w:rFonts w:hint="eastAsia"/>
                      <w:szCs w:val="21"/>
                      <w:lang w:val="en-US" w:eastAsia="zh-CN"/>
                    </w:rPr>
                    <w:t>30</w:t>
                  </w:r>
                </w:p>
              </w:tc>
            </w:tr>
          </w:tbl>
          <w:p>
            <w:pPr>
              <w:adjustRightInd w:val="0"/>
              <w:snapToGrid w:val="0"/>
              <w:spacing w:line="500" w:lineRule="exact"/>
              <w:rPr>
                <w:b/>
                <w:bCs/>
                <w:kern w:val="0"/>
                <w:sz w:val="24"/>
              </w:rPr>
            </w:pPr>
            <w:r>
              <w:rPr>
                <w:b/>
                <w:bCs/>
                <w:sz w:val="24"/>
              </w:rPr>
              <w:t xml:space="preserve">3.2.3 </w:t>
            </w:r>
            <w:r>
              <w:rPr>
                <w:rFonts w:hAnsi="宋体"/>
                <w:b/>
                <w:bCs/>
                <w:sz w:val="24"/>
              </w:rPr>
              <w:t>地下水环境保护目标</w:t>
            </w:r>
          </w:p>
          <w:p>
            <w:pPr>
              <w:pStyle w:val="39"/>
              <w:adjustRightInd w:val="0"/>
              <w:snapToGrid w:val="0"/>
              <w:spacing w:line="500" w:lineRule="exact"/>
              <w:ind w:firstLine="480"/>
              <w:rPr>
                <w:sz w:val="24"/>
                <w:szCs w:val="24"/>
              </w:rPr>
            </w:pPr>
            <w:r>
              <w:rPr>
                <w:rFonts w:hAnsi="宋体"/>
                <w:b w:val="0"/>
                <w:bCs w:val="0"/>
                <w:sz w:val="24"/>
                <w:szCs w:val="24"/>
              </w:rPr>
              <w:t>企业厂界外</w:t>
            </w:r>
            <w:r>
              <w:rPr>
                <w:b w:val="0"/>
                <w:bCs w:val="0"/>
                <w:sz w:val="24"/>
                <w:szCs w:val="24"/>
              </w:rPr>
              <w:t>500</w:t>
            </w:r>
            <w:r>
              <w:rPr>
                <w:rFonts w:hAnsi="宋体"/>
                <w:b w:val="0"/>
                <w:bCs w:val="0"/>
                <w:sz w:val="24"/>
                <w:szCs w:val="24"/>
              </w:rPr>
              <w:t>米范围内无地下水集中式饮用水水源和热水、矿泉水、温泉等特殊地下水资源。</w:t>
            </w:r>
          </w:p>
          <w:p>
            <w:pPr>
              <w:adjustRightInd w:val="0"/>
              <w:snapToGrid w:val="0"/>
              <w:spacing w:line="500" w:lineRule="exact"/>
              <w:rPr>
                <w:b/>
                <w:bCs/>
                <w:sz w:val="24"/>
              </w:rPr>
            </w:pPr>
            <w:r>
              <w:rPr>
                <w:b/>
                <w:bCs/>
                <w:sz w:val="24"/>
              </w:rPr>
              <w:t xml:space="preserve">3.2.4 </w:t>
            </w:r>
            <w:r>
              <w:rPr>
                <w:rFonts w:hAnsi="宋体"/>
                <w:b/>
                <w:bCs/>
                <w:sz w:val="24"/>
              </w:rPr>
              <w:t>生态环境保护目标</w:t>
            </w:r>
          </w:p>
          <w:p>
            <w:pPr>
              <w:pStyle w:val="39"/>
              <w:adjustRightInd w:val="0"/>
              <w:snapToGrid w:val="0"/>
              <w:spacing w:line="500" w:lineRule="exact"/>
              <w:ind w:firstLine="480"/>
              <w:rPr>
                <w:b w:val="0"/>
                <w:bCs w:val="0"/>
              </w:rPr>
            </w:pPr>
            <w:r>
              <w:rPr>
                <w:rFonts w:hAnsi="宋体"/>
                <w:b w:val="0"/>
                <w:bCs w:val="0"/>
                <w:sz w:val="24"/>
                <w:szCs w:val="24"/>
              </w:rPr>
              <w:t>本项目位于</w:t>
            </w:r>
            <w:r>
              <w:rPr>
                <w:rFonts w:hint="eastAsia" w:hAnsi="宋体"/>
                <w:b w:val="0"/>
                <w:bCs w:val="0"/>
                <w:sz w:val="24"/>
                <w:szCs w:val="24"/>
                <w:lang w:eastAsia="zh-CN"/>
              </w:rPr>
              <w:t xml:space="preserve">浙江省长兴县虹星桥镇工业集中区 </w:t>
            </w:r>
            <w:r>
              <w:rPr>
                <w:rFonts w:hAnsi="宋体"/>
                <w:b w:val="0"/>
                <w:bCs w:val="0"/>
                <w:sz w:val="24"/>
                <w:szCs w:val="24"/>
              </w:rPr>
              <w:t>，位于工业集聚点内，项目利用现有工业用地，不涉及自然保护区、风景名胜区、珍稀濒危物种等敏感地区</w:t>
            </w:r>
            <w:r>
              <w:rPr>
                <w:rFonts w:hint="eastAsia" w:hAnsi="宋体"/>
                <w:b w:val="0"/>
                <w:bCs w:val="0"/>
                <w:sz w:val="24"/>
                <w:szCs w:val="24"/>
                <w:lang w:eastAsia="zh-CN"/>
              </w:rPr>
              <w:t>，</w:t>
            </w:r>
            <w:r>
              <w:rPr>
                <w:rFonts w:hAnsi="宋体"/>
                <w:b w:val="0"/>
                <w:bCs w:val="0"/>
                <w:sz w:val="24"/>
                <w:szCs w:val="24"/>
              </w:rPr>
              <w:t>不涉及生态环境保护目标。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6" w:hRule="atLeast"/>
          <w:jc w:val="center"/>
        </w:trPr>
        <w:tc>
          <w:tcPr>
            <w:tcW w:w="394" w:type="dxa"/>
            <w:noWrap/>
            <w:tcMar>
              <w:top w:w="0" w:type="dxa"/>
              <w:left w:w="28" w:type="dxa"/>
              <w:bottom w:w="0" w:type="dxa"/>
              <w:right w:w="28" w:type="dxa"/>
            </w:tcMar>
            <w:vAlign w:val="center"/>
          </w:tcPr>
          <w:p>
            <w:pPr>
              <w:widowControl/>
              <w:wordWrap w:val="0"/>
              <w:jc w:val="center"/>
              <w:rPr>
                <w:b w:val="0"/>
                <w:bCs w:val="0"/>
                <w:kern w:val="0"/>
                <w:sz w:val="21"/>
                <w:szCs w:val="21"/>
              </w:rPr>
            </w:pPr>
            <w:r>
              <w:rPr>
                <w:rFonts w:hAnsi="宋体"/>
                <w:b w:val="0"/>
                <w:bCs w:val="0"/>
                <w:kern w:val="0"/>
                <w:sz w:val="21"/>
                <w:szCs w:val="21"/>
              </w:rPr>
              <w:t>污染</w:t>
            </w:r>
          </w:p>
          <w:p>
            <w:pPr>
              <w:widowControl/>
              <w:wordWrap w:val="0"/>
              <w:jc w:val="center"/>
              <w:rPr>
                <w:b w:val="0"/>
                <w:bCs w:val="0"/>
                <w:kern w:val="0"/>
                <w:sz w:val="21"/>
                <w:szCs w:val="21"/>
              </w:rPr>
            </w:pPr>
            <w:r>
              <w:rPr>
                <w:rFonts w:hAnsi="宋体"/>
                <w:b w:val="0"/>
                <w:bCs w:val="0"/>
                <w:kern w:val="0"/>
                <w:sz w:val="21"/>
                <w:szCs w:val="21"/>
              </w:rPr>
              <w:t>物排</w:t>
            </w:r>
          </w:p>
          <w:p>
            <w:pPr>
              <w:widowControl/>
              <w:wordWrap w:val="0"/>
              <w:jc w:val="center"/>
              <w:rPr>
                <w:b w:val="0"/>
                <w:bCs w:val="0"/>
                <w:kern w:val="0"/>
                <w:sz w:val="21"/>
                <w:szCs w:val="21"/>
              </w:rPr>
            </w:pPr>
            <w:r>
              <w:rPr>
                <w:rFonts w:hAnsi="宋体"/>
                <w:b w:val="0"/>
                <w:bCs w:val="0"/>
                <w:kern w:val="0"/>
                <w:sz w:val="21"/>
                <w:szCs w:val="21"/>
              </w:rPr>
              <w:t>放控</w:t>
            </w:r>
          </w:p>
          <w:p>
            <w:pPr>
              <w:widowControl/>
              <w:wordWrap w:val="0"/>
              <w:jc w:val="center"/>
              <w:rPr>
                <w:b w:val="0"/>
                <w:bCs w:val="0"/>
                <w:kern w:val="0"/>
                <w:sz w:val="21"/>
                <w:szCs w:val="21"/>
              </w:rPr>
            </w:pPr>
            <w:r>
              <w:rPr>
                <w:rFonts w:hAnsi="宋体"/>
                <w:b w:val="0"/>
                <w:bCs w:val="0"/>
                <w:kern w:val="0"/>
                <w:sz w:val="21"/>
                <w:szCs w:val="21"/>
              </w:rPr>
              <w:t>制标</w:t>
            </w:r>
          </w:p>
          <w:p>
            <w:pPr>
              <w:widowControl/>
              <w:wordWrap w:val="0"/>
              <w:jc w:val="center"/>
              <w:rPr>
                <w:b/>
                <w:bCs/>
                <w:kern w:val="0"/>
                <w:sz w:val="24"/>
              </w:rPr>
            </w:pPr>
            <w:r>
              <w:rPr>
                <w:rFonts w:hAnsi="宋体"/>
                <w:b w:val="0"/>
                <w:bCs w:val="0"/>
                <w:kern w:val="0"/>
                <w:sz w:val="21"/>
                <w:szCs w:val="21"/>
              </w:rPr>
              <w:t>准</w:t>
            </w:r>
          </w:p>
        </w:tc>
        <w:tc>
          <w:tcPr>
            <w:tcW w:w="8677" w:type="dxa"/>
            <w:noWrap/>
            <w:tcMar>
              <w:top w:w="0" w:type="dxa"/>
              <w:left w:w="108" w:type="dxa"/>
              <w:bottom w:w="0" w:type="dxa"/>
              <w:right w:w="108" w:type="dxa"/>
            </w:tcMar>
            <w:vAlign w:val="center"/>
          </w:tcPr>
          <w:p>
            <w:pPr>
              <w:adjustRightInd w:val="0"/>
              <w:snapToGrid w:val="0"/>
              <w:spacing w:line="500" w:lineRule="exact"/>
              <w:rPr>
                <w:b/>
                <w:bCs/>
                <w:sz w:val="24"/>
              </w:rPr>
            </w:pPr>
            <w:r>
              <w:rPr>
                <w:b/>
                <w:bCs/>
                <w:sz w:val="24"/>
              </w:rPr>
              <w:t>3.3</w:t>
            </w:r>
            <w:r>
              <w:rPr>
                <w:rFonts w:hAnsi="宋体"/>
                <w:b/>
                <w:bCs/>
                <w:sz w:val="24"/>
              </w:rPr>
              <w:t>污染物排放控制标准</w:t>
            </w:r>
          </w:p>
          <w:p>
            <w:pPr>
              <w:spacing w:line="500" w:lineRule="exact"/>
              <w:rPr>
                <w:b/>
                <w:bCs/>
                <w:sz w:val="24"/>
              </w:rPr>
            </w:pPr>
            <w:r>
              <w:rPr>
                <w:b/>
                <w:bCs/>
                <w:sz w:val="24"/>
              </w:rPr>
              <w:t>3.3.1</w:t>
            </w:r>
            <w:r>
              <w:rPr>
                <w:rFonts w:hint="eastAsia" w:hAnsi="宋体"/>
                <w:b/>
                <w:bCs/>
                <w:sz w:val="24"/>
                <w:highlight w:val="none"/>
                <w:lang w:eastAsia="zh-CN"/>
              </w:rPr>
              <w:t>现状污染</w:t>
            </w:r>
            <w:r>
              <w:rPr>
                <w:rFonts w:hAnsi="宋体"/>
                <w:b/>
                <w:bCs/>
                <w:sz w:val="24"/>
              </w:rPr>
              <w:t>物排放控制标准</w:t>
            </w:r>
          </w:p>
          <w:p>
            <w:pPr>
              <w:adjustRightInd w:val="0"/>
              <w:snapToGrid w:val="0"/>
              <w:spacing w:line="500" w:lineRule="exact"/>
              <w:ind w:firstLine="480" w:firstLineChars="200"/>
              <w:rPr>
                <w:sz w:val="24"/>
              </w:rPr>
            </w:pPr>
            <w:bookmarkStart w:id="18" w:name="_Toc266299579"/>
            <w:bookmarkStart w:id="19" w:name="_Toc276368735"/>
            <w:bookmarkStart w:id="20" w:name="_Toc280085828"/>
            <w:r>
              <w:rPr>
                <w:rFonts w:hint="eastAsia"/>
                <w:sz w:val="24"/>
              </w:rPr>
              <w:t>（1）废气</w:t>
            </w:r>
          </w:p>
          <w:p>
            <w:pPr>
              <w:adjustRightInd w:val="0"/>
              <w:snapToGrid w:val="0"/>
              <w:spacing w:line="500" w:lineRule="exact"/>
              <w:ind w:firstLine="480" w:firstLineChars="200"/>
              <w:rPr>
                <w:rFonts w:hint="eastAsia" w:eastAsia="宋体"/>
                <w:sz w:val="24"/>
                <w:lang w:eastAsia="zh-CN"/>
              </w:rPr>
            </w:pPr>
            <w:r>
              <w:rPr>
                <w:rFonts w:hint="eastAsia" w:hAnsi="宋体"/>
                <w:sz w:val="24"/>
              </w:rPr>
              <w:t>a）</w:t>
            </w:r>
            <w:r>
              <w:rPr>
                <w:rFonts w:hint="eastAsia" w:hAnsi="宋体"/>
                <w:sz w:val="24"/>
                <w:lang w:eastAsia="zh-CN"/>
              </w:rPr>
              <w:t>织造粉尘、加弹废气</w:t>
            </w:r>
          </w:p>
          <w:p>
            <w:pPr>
              <w:adjustRightInd w:val="0"/>
              <w:snapToGrid w:val="0"/>
              <w:spacing w:line="500" w:lineRule="exact"/>
              <w:ind w:firstLine="480" w:firstLineChars="200"/>
              <w:rPr>
                <w:rFonts w:hAnsi="宋体"/>
                <w:b/>
                <w:szCs w:val="21"/>
              </w:rPr>
            </w:pPr>
            <w:r>
              <w:rPr>
                <w:rFonts w:hint="eastAsia" w:hAnsi="宋体"/>
                <w:sz w:val="24"/>
                <w:lang w:eastAsia="zh-CN"/>
              </w:rPr>
              <w:t>织造粉尘</w:t>
            </w:r>
            <w:r>
              <w:rPr>
                <w:rFonts w:hAnsi="宋体"/>
                <w:sz w:val="24"/>
              </w:rPr>
              <w:t>主要污染因子为颗粒物，</w:t>
            </w:r>
            <w:r>
              <w:rPr>
                <w:rFonts w:hint="eastAsia" w:hAnsi="宋体"/>
                <w:sz w:val="24"/>
                <w:lang w:eastAsia="zh-CN"/>
              </w:rPr>
              <w:t>加弹废气主要污染物为非甲烷总烃，</w:t>
            </w:r>
            <w:r>
              <w:rPr>
                <w:rFonts w:hAnsi="宋体"/>
                <w:sz w:val="24"/>
              </w:rPr>
              <w:t>无组织排放执行</w:t>
            </w:r>
            <w:r>
              <w:rPr>
                <w:rFonts w:hAnsi="宋体"/>
                <w:sz w:val="24"/>
                <w:highlight w:val="none"/>
              </w:rPr>
              <w:t>《大气污染物综合排放标准》（</w:t>
            </w:r>
            <w:r>
              <w:rPr>
                <w:sz w:val="24"/>
              </w:rPr>
              <w:t>GB16297-1996</w:t>
            </w:r>
            <w:r>
              <w:rPr>
                <w:rFonts w:hAnsi="宋体"/>
                <w:sz w:val="24"/>
              </w:rPr>
              <w:t>）中表</w:t>
            </w:r>
            <w:r>
              <w:rPr>
                <w:sz w:val="24"/>
              </w:rPr>
              <w:t>2</w:t>
            </w:r>
            <w:r>
              <w:rPr>
                <w:rFonts w:hAnsi="宋体"/>
                <w:sz w:val="24"/>
              </w:rPr>
              <w:t>中的排放限值，见表</w:t>
            </w:r>
            <w:r>
              <w:rPr>
                <w:sz w:val="24"/>
              </w:rPr>
              <w:t>3.3-</w:t>
            </w:r>
            <w:r>
              <w:rPr>
                <w:rFonts w:hint="eastAsia"/>
                <w:sz w:val="24"/>
              </w:rPr>
              <w:t>1</w:t>
            </w:r>
            <w:r>
              <w:rPr>
                <w:rFonts w:hAnsi="宋体"/>
                <w:sz w:val="24"/>
              </w:rPr>
              <w:t>。</w:t>
            </w:r>
          </w:p>
          <w:p>
            <w:pPr>
              <w:spacing w:line="500" w:lineRule="exact"/>
              <w:ind w:firstLine="482"/>
              <w:jc w:val="center"/>
              <w:rPr>
                <w:sz w:val="24"/>
              </w:rPr>
            </w:pPr>
            <w:r>
              <w:rPr>
                <w:rFonts w:hAnsi="宋体"/>
                <w:b/>
                <w:szCs w:val="21"/>
              </w:rPr>
              <w:t>表</w:t>
            </w:r>
            <w:r>
              <w:rPr>
                <w:b/>
                <w:szCs w:val="21"/>
              </w:rPr>
              <w:t>3.3-</w:t>
            </w:r>
            <w:r>
              <w:rPr>
                <w:rFonts w:hint="eastAsia"/>
                <w:b/>
                <w:szCs w:val="21"/>
              </w:rPr>
              <w:t>1</w:t>
            </w:r>
            <w:r>
              <w:rPr>
                <w:b/>
                <w:szCs w:val="21"/>
              </w:rPr>
              <w:t xml:space="preserve">  </w:t>
            </w:r>
            <w:r>
              <w:rPr>
                <w:rFonts w:hAnsi="宋体"/>
                <w:b/>
                <w:szCs w:val="21"/>
              </w:rPr>
              <w:t>《大气污染物综合排放标准》（</w:t>
            </w:r>
            <w:r>
              <w:rPr>
                <w:b/>
                <w:szCs w:val="21"/>
              </w:rPr>
              <w:t>GB16297-1996</w:t>
            </w:r>
            <w:r>
              <w:rPr>
                <w:rFonts w:hAnsi="宋体"/>
                <w:b/>
                <w:szCs w:val="21"/>
              </w:rPr>
              <w:t>）</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088"/>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69" w:type="dxa"/>
                  <w:vMerge w:val="restart"/>
                  <w:vAlign w:val="center"/>
                </w:tcPr>
                <w:p>
                  <w:pPr>
                    <w:adjustRightInd w:val="0"/>
                    <w:snapToGrid w:val="0"/>
                    <w:jc w:val="center"/>
                    <w:rPr>
                      <w:b w:val="0"/>
                      <w:bCs w:val="0"/>
                    </w:rPr>
                  </w:pPr>
                  <w:r>
                    <w:rPr>
                      <w:rFonts w:hAnsi="宋体"/>
                      <w:b w:val="0"/>
                      <w:bCs w:val="0"/>
                    </w:rPr>
                    <w:t>污染物</w:t>
                  </w:r>
                </w:p>
              </w:tc>
              <w:tc>
                <w:tcPr>
                  <w:tcW w:w="6635" w:type="dxa"/>
                  <w:gridSpan w:val="2"/>
                  <w:vAlign w:val="center"/>
                </w:tcPr>
                <w:p>
                  <w:pPr>
                    <w:adjustRightInd w:val="0"/>
                    <w:snapToGrid w:val="0"/>
                    <w:jc w:val="center"/>
                    <w:rPr>
                      <w:b w:val="0"/>
                      <w:bCs w:val="0"/>
                    </w:rPr>
                  </w:pPr>
                  <w:r>
                    <w:rPr>
                      <w:rFonts w:hAnsi="宋体"/>
                      <w:b w:val="0"/>
                      <w:bCs w:val="0"/>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69" w:type="dxa"/>
                  <w:vMerge w:val="continue"/>
                  <w:vAlign w:val="center"/>
                </w:tcPr>
                <w:p>
                  <w:pPr>
                    <w:adjustRightInd w:val="0"/>
                    <w:snapToGrid w:val="0"/>
                    <w:jc w:val="center"/>
                  </w:pPr>
                </w:p>
              </w:tc>
              <w:tc>
                <w:tcPr>
                  <w:tcW w:w="3196" w:type="dxa"/>
                  <w:vAlign w:val="center"/>
                </w:tcPr>
                <w:p>
                  <w:pPr>
                    <w:adjustRightInd w:val="0"/>
                    <w:snapToGrid w:val="0"/>
                    <w:jc w:val="center"/>
                  </w:pPr>
                  <w:r>
                    <w:rPr>
                      <w:rFonts w:hAnsi="宋体"/>
                    </w:rPr>
                    <w:t>浓度限值（</w:t>
                  </w:r>
                  <w:r>
                    <w:t>mg/m</w:t>
                  </w:r>
                  <w:r>
                    <w:rPr>
                      <w:vertAlign w:val="superscript"/>
                    </w:rPr>
                    <w:t>3</w:t>
                  </w:r>
                  <w:r>
                    <w:rPr>
                      <w:rFonts w:hAnsi="宋体"/>
                    </w:rPr>
                    <w:t>）</w:t>
                  </w:r>
                </w:p>
              </w:tc>
              <w:tc>
                <w:tcPr>
                  <w:tcW w:w="3439" w:type="dxa"/>
                  <w:vAlign w:val="center"/>
                </w:tcPr>
                <w:p>
                  <w:pPr>
                    <w:pStyle w:val="3"/>
                    <w:ind w:firstLine="0"/>
                    <w:jc w:val="center"/>
                    <w:rPr>
                      <w:szCs w:val="21"/>
                    </w:rPr>
                  </w:pPr>
                  <w:r>
                    <w:rPr>
                      <w:rFonts w:hAnsi="宋体"/>
                      <w:bCs/>
                      <w:szCs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69" w:type="dxa"/>
                  <w:vAlign w:val="center"/>
                </w:tcPr>
                <w:p>
                  <w:pPr>
                    <w:jc w:val="center"/>
                  </w:pPr>
                  <w:r>
                    <w:rPr>
                      <w:rFonts w:hAnsi="宋体"/>
                    </w:rPr>
                    <w:t>颗粒物</w:t>
                  </w:r>
                </w:p>
              </w:tc>
              <w:tc>
                <w:tcPr>
                  <w:tcW w:w="3196" w:type="dxa"/>
                  <w:vAlign w:val="center"/>
                </w:tcPr>
                <w:p>
                  <w:pPr>
                    <w:jc w:val="center"/>
                  </w:pPr>
                  <w:r>
                    <w:t>1.0</w:t>
                  </w:r>
                </w:p>
              </w:tc>
              <w:tc>
                <w:tcPr>
                  <w:tcW w:w="3439" w:type="dxa"/>
                  <w:vAlign w:val="center"/>
                </w:tcPr>
                <w:p>
                  <w:pPr>
                    <w:pStyle w:val="3"/>
                    <w:ind w:firstLine="0"/>
                    <w:jc w:val="center"/>
                    <w:rPr>
                      <w:bCs/>
                      <w:szCs w:val="21"/>
                    </w:rPr>
                  </w:pPr>
                  <w:r>
                    <w:rPr>
                      <w:rFonts w:hAnsi="宋体"/>
                      <w:color w:val="000000"/>
                      <w:szCs w:val="21"/>
                    </w:rPr>
                    <w:t>周界外浓度最高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69" w:type="dxa"/>
                  <w:vAlign w:val="center"/>
                </w:tcPr>
                <w:p>
                  <w:pPr>
                    <w:jc w:val="center"/>
                    <w:rPr>
                      <w:rFonts w:hint="eastAsia" w:hAnsi="宋体" w:eastAsia="宋体"/>
                      <w:lang w:eastAsia="zh-CN"/>
                    </w:rPr>
                  </w:pPr>
                  <w:r>
                    <w:rPr>
                      <w:rFonts w:hint="eastAsia" w:hAnsi="宋体"/>
                      <w:lang w:eastAsia="zh-CN"/>
                    </w:rPr>
                    <w:t>非甲烷总烃</w:t>
                  </w:r>
                </w:p>
              </w:tc>
              <w:tc>
                <w:tcPr>
                  <w:tcW w:w="3196" w:type="dxa"/>
                  <w:vAlign w:val="center"/>
                </w:tcPr>
                <w:p>
                  <w:pPr>
                    <w:jc w:val="center"/>
                    <w:rPr>
                      <w:rFonts w:hint="default" w:eastAsia="宋体"/>
                      <w:lang w:val="en-US" w:eastAsia="zh-CN"/>
                    </w:rPr>
                  </w:pPr>
                  <w:r>
                    <w:rPr>
                      <w:rFonts w:hint="eastAsia"/>
                      <w:lang w:val="en-US" w:eastAsia="zh-CN"/>
                    </w:rPr>
                    <w:t>4.0</w:t>
                  </w:r>
                </w:p>
              </w:tc>
              <w:tc>
                <w:tcPr>
                  <w:tcW w:w="3439" w:type="dxa"/>
                  <w:vAlign w:val="center"/>
                </w:tcPr>
                <w:p>
                  <w:pPr>
                    <w:pStyle w:val="3"/>
                    <w:ind w:firstLine="0"/>
                    <w:jc w:val="center"/>
                    <w:rPr>
                      <w:rFonts w:hAnsi="宋体"/>
                      <w:color w:val="000000"/>
                      <w:szCs w:val="21"/>
                    </w:rPr>
                  </w:pPr>
                  <w:r>
                    <w:rPr>
                      <w:rFonts w:hAnsi="宋体"/>
                      <w:color w:val="000000"/>
                      <w:szCs w:val="21"/>
                    </w:rPr>
                    <w:t>周界外浓度最高</w:t>
                  </w:r>
                </w:p>
              </w:tc>
            </w:tr>
          </w:tbl>
          <w:p>
            <w:pPr>
              <w:adjustRightInd w:val="0"/>
              <w:snapToGrid w:val="0"/>
              <w:spacing w:line="500" w:lineRule="exact"/>
              <w:ind w:firstLine="480" w:firstLineChars="200"/>
              <w:rPr>
                <w:sz w:val="24"/>
              </w:rPr>
            </w:pPr>
            <w:r>
              <w:rPr>
                <w:rFonts w:hAnsi="宋体"/>
                <w:sz w:val="24"/>
              </w:rPr>
              <w:t>（</w:t>
            </w:r>
            <w:r>
              <w:rPr>
                <w:rFonts w:hint="eastAsia"/>
                <w:sz w:val="24"/>
              </w:rPr>
              <w:t>2</w:t>
            </w:r>
            <w:r>
              <w:rPr>
                <w:rFonts w:hAnsi="宋体"/>
                <w:sz w:val="24"/>
              </w:rPr>
              <w:t>）废水</w:t>
            </w:r>
          </w:p>
          <w:p>
            <w:pPr>
              <w:spacing w:line="500" w:lineRule="exact"/>
              <w:ind w:firstLine="480" w:firstLineChars="200"/>
              <w:rPr>
                <w:rFonts w:hint="eastAsia" w:hAnsi="宋体"/>
                <w:bCs/>
                <w:sz w:val="24"/>
                <w:lang w:eastAsia="zh-CN"/>
              </w:rPr>
            </w:pPr>
            <w:r>
              <w:rPr>
                <w:rFonts w:hint="eastAsia" w:hAnsi="宋体"/>
                <w:bCs/>
                <w:sz w:val="24"/>
                <w:lang w:eastAsia="zh-CN"/>
              </w:rPr>
              <w:t>（</w:t>
            </w:r>
            <w:r>
              <w:rPr>
                <w:rFonts w:hint="eastAsia" w:hAnsi="宋体"/>
                <w:bCs/>
                <w:sz w:val="24"/>
                <w:lang w:val="en-US" w:eastAsia="zh-CN"/>
              </w:rPr>
              <w:t>1</w:t>
            </w:r>
            <w:r>
              <w:rPr>
                <w:rFonts w:hint="eastAsia" w:hAnsi="宋体"/>
                <w:bCs/>
                <w:sz w:val="24"/>
                <w:lang w:eastAsia="zh-CN"/>
              </w:rPr>
              <w:t>）生活污水</w:t>
            </w:r>
          </w:p>
          <w:p>
            <w:pPr>
              <w:spacing w:line="500" w:lineRule="exact"/>
              <w:ind w:firstLine="480" w:firstLineChars="200"/>
              <w:rPr>
                <w:rFonts w:ascii="Times New Roman" w:hAnsi="Times New Roman" w:cs="Times New Roman"/>
                <w:sz w:val="24"/>
              </w:rPr>
            </w:pPr>
            <w:r>
              <w:rPr>
                <w:rFonts w:hAnsi="宋体"/>
                <w:bCs/>
                <w:sz w:val="24"/>
              </w:rPr>
              <w:t>现有项目生活污水</w:t>
            </w:r>
            <w:r>
              <w:rPr>
                <w:rFonts w:hAnsi="宋体"/>
                <w:sz w:val="24"/>
              </w:rPr>
              <w:t>经化粪池预处理后</w:t>
            </w:r>
            <w:r>
              <w:rPr>
                <w:rFonts w:hint="eastAsia" w:hAnsi="宋体"/>
                <w:sz w:val="24"/>
              </w:rPr>
              <w:t>纳入当地农村生活污水终端系统处理达标后排放</w:t>
            </w:r>
            <w:r>
              <w:rPr>
                <w:rFonts w:hAnsi="宋体"/>
                <w:sz w:val="24"/>
              </w:rPr>
              <w:t>。</w:t>
            </w:r>
            <w:r>
              <w:rPr>
                <w:rFonts w:ascii="Times New Roman" w:hAnsi="Times New Roman" w:cs="Times New Roman"/>
                <w:sz w:val="24"/>
              </w:rPr>
              <w:t>营运期生活污水经预处理后达到《污水综合排放标准》（GB8978-1996）中的三级标准（其中氨氮纳管执行《工业企业废水氮、磷污染物间接排放限值》（DB33/887-2013）中的间接排放限值），纳入农村生活污水终端系统处理达标后排放，农村生活污水终端系统处理池中的指标执行《农村生活污水集中处理设施水污染物排放标准》（DB33/973-2021）中的表1</w:t>
            </w:r>
            <w:r>
              <w:rPr>
                <w:rFonts w:hint="eastAsia" w:ascii="Times New Roman" w:hAnsi="Times New Roman" w:cs="Times New Roman"/>
                <w:sz w:val="24"/>
                <w:lang w:eastAsia="zh-CN"/>
              </w:rPr>
              <w:t>中的</w:t>
            </w:r>
            <w:r>
              <w:rPr>
                <w:rFonts w:ascii="Times New Roman" w:hAnsi="Times New Roman" w:cs="Times New Roman"/>
                <w:sz w:val="24"/>
              </w:rPr>
              <w:t>二级标准，</w:t>
            </w:r>
            <w:r>
              <w:rPr>
                <w:rFonts w:ascii="Times New Roman" w:hAnsi="Times New Roman" w:cs="Times New Roman"/>
                <w:bCs/>
                <w:sz w:val="24"/>
                <w:szCs w:val="24"/>
              </w:rPr>
              <w:t>纳管标准见表</w:t>
            </w:r>
            <w:r>
              <w:rPr>
                <w:rFonts w:hint="eastAsia" w:ascii="Times New Roman" w:hAnsi="Times New Roman" w:cs="Times New Roman"/>
                <w:bCs/>
                <w:sz w:val="24"/>
                <w:szCs w:val="24"/>
                <w:lang w:val="en-US" w:eastAsia="zh-CN"/>
              </w:rPr>
              <w:t>3.3-2</w:t>
            </w:r>
            <w:r>
              <w:rPr>
                <w:rFonts w:ascii="Times New Roman" w:hAnsi="Times New Roman" w:cs="Times New Roman"/>
                <w:bCs/>
                <w:sz w:val="24"/>
                <w:szCs w:val="24"/>
              </w:rPr>
              <w:t>排放标准见表</w:t>
            </w:r>
            <w:r>
              <w:rPr>
                <w:rFonts w:hint="eastAsia" w:ascii="Times New Roman" w:hAnsi="Times New Roman" w:cs="Times New Roman"/>
                <w:bCs/>
                <w:sz w:val="24"/>
                <w:szCs w:val="24"/>
                <w:lang w:val="en-US" w:eastAsia="zh-CN"/>
              </w:rPr>
              <w:t>3.3-3</w:t>
            </w:r>
            <w:r>
              <w:rPr>
                <w:rFonts w:ascii="Times New Roman" w:hAnsi="Times New Roman" w:cs="Times New Roman"/>
                <w:sz w:val="24"/>
              </w:rPr>
              <w:t>。</w:t>
            </w:r>
          </w:p>
          <w:p>
            <w:pPr>
              <w:spacing w:line="460" w:lineRule="exact"/>
              <w:jc w:val="center"/>
              <w:rPr>
                <w:rFonts w:ascii="Times New Roman" w:hAnsi="Times New Roman" w:cs="Times New Roman"/>
                <w:b/>
                <w:szCs w:val="21"/>
              </w:rPr>
            </w:pPr>
            <w:r>
              <w:rPr>
                <w:rFonts w:ascii="Times New Roman" w:hAnsi="Times New Roman" w:cs="Times New Roman"/>
                <w:b/>
                <w:szCs w:val="16"/>
              </w:rPr>
              <w:t>表</w:t>
            </w:r>
            <w:r>
              <w:rPr>
                <w:rFonts w:hint="eastAsia" w:ascii="Times New Roman" w:hAnsi="Times New Roman" w:cs="Times New Roman"/>
                <w:b/>
                <w:szCs w:val="16"/>
                <w:lang w:val="en-US" w:eastAsia="zh-CN"/>
              </w:rPr>
              <w:t xml:space="preserve">3.3-2 </w:t>
            </w:r>
            <w:r>
              <w:rPr>
                <w:rFonts w:ascii="Times New Roman" w:hAnsi="Times New Roman" w:cs="Times New Roman"/>
                <w:b/>
                <w:szCs w:val="21"/>
              </w:rPr>
              <w:t>《污水综合排放标准》（GB8978-1996）三级标准</w:t>
            </w:r>
          </w:p>
          <w:p>
            <w:pPr>
              <w:tabs>
                <w:tab w:val="left" w:pos="3131"/>
                <w:tab w:val="right" w:pos="7989"/>
              </w:tabs>
              <w:spacing w:line="460" w:lineRule="exact"/>
              <w:ind w:right="210"/>
              <w:jc w:val="right"/>
              <w:rPr>
                <w:rFonts w:ascii="Times New Roman" w:hAnsi="Times New Roman" w:cs="Times New Roman"/>
                <w:szCs w:val="21"/>
              </w:rPr>
            </w:pPr>
            <w:r>
              <w:rPr>
                <w:rFonts w:ascii="Times New Roman" w:hAnsi="Times New Roman" w:cs="Times New Roman"/>
                <w:szCs w:val="21"/>
              </w:rPr>
              <w:t>单位：mg/L（除pH外）</w:t>
            </w:r>
          </w:p>
          <w:tbl>
            <w:tblPr>
              <w:tblStyle w:val="40"/>
              <w:tblW w:w="82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09"/>
              <w:gridCol w:w="770"/>
              <w:gridCol w:w="939"/>
              <w:gridCol w:w="990"/>
              <w:gridCol w:w="754"/>
              <w:gridCol w:w="836"/>
              <w:gridCol w:w="1572"/>
              <w:gridCol w:w="11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53" w:type="dxa"/>
                  <w:vAlign w:val="center"/>
                </w:tcPr>
                <w:p>
                  <w:pPr>
                    <w:adjustRightInd w:val="0"/>
                    <w:snapToGrid w:val="0"/>
                    <w:jc w:val="center"/>
                    <w:rPr>
                      <w:rFonts w:ascii="Times New Roman" w:hAnsi="Times New Roman" w:cs="Times New Roman"/>
                      <w:b/>
                    </w:rPr>
                  </w:pPr>
                  <w:r>
                    <w:rPr>
                      <w:rFonts w:ascii="Times New Roman" w:hAnsi="Times New Roman" w:cs="Times New Roman"/>
                      <w:b/>
                    </w:rPr>
                    <w:t>项  目</w:t>
                  </w:r>
                </w:p>
              </w:tc>
              <w:tc>
                <w:tcPr>
                  <w:tcW w:w="794" w:type="dxa"/>
                  <w:vAlign w:val="center"/>
                </w:tcPr>
                <w:p>
                  <w:pPr>
                    <w:adjustRightInd w:val="0"/>
                    <w:snapToGrid w:val="0"/>
                    <w:jc w:val="center"/>
                    <w:rPr>
                      <w:rFonts w:ascii="Times New Roman" w:hAnsi="Times New Roman" w:cs="Times New Roman"/>
                      <w:bCs/>
                    </w:rPr>
                  </w:pPr>
                  <w:r>
                    <w:rPr>
                      <w:rFonts w:ascii="Times New Roman" w:hAnsi="Times New Roman" w:cs="Times New Roman"/>
                      <w:bCs/>
                    </w:rPr>
                    <w:t>pH</w:t>
                  </w:r>
                </w:p>
              </w:tc>
              <w:tc>
                <w:tcPr>
                  <w:tcW w:w="971" w:type="dxa"/>
                  <w:vAlign w:val="center"/>
                </w:tcPr>
                <w:p>
                  <w:pPr>
                    <w:adjustRightInd w:val="0"/>
                    <w:snapToGrid w:val="0"/>
                    <w:jc w:val="center"/>
                    <w:rPr>
                      <w:rFonts w:ascii="Times New Roman" w:hAnsi="Times New Roman" w:cs="Times New Roman"/>
                      <w:bCs/>
                    </w:rPr>
                  </w:pPr>
                  <w:r>
                    <w:rPr>
                      <w:rFonts w:ascii="Times New Roman" w:hAnsi="Times New Roman" w:cs="Times New Roman"/>
                      <w:bCs/>
                    </w:rPr>
                    <w:t>COD</w:t>
                  </w:r>
                  <w:r>
                    <w:rPr>
                      <w:rFonts w:ascii="Times New Roman" w:hAnsi="Times New Roman" w:cs="Times New Roman"/>
                      <w:bCs/>
                      <w:vertAlign w:val="subscript"/>
                    </w:rPr>
                    <w:t>Cr</w:t>
                  </w:r>
                </w:p>
              </w:tc>
              <w:tc>
                <w:tcPr>
                  <w:tcW w:w="1024" w:type="dxa"/>
                  <w:vAlign w:val="center"/>
                </w:tcPr>
                <w:p>
                  <w:pPr>
                    <w:adjustRightInd w:val="0"/>
                    <w:snapToGrid w:val="0"/>
                    <w:jc w:val="center"/>
                    <w:rPr>
                      <w:rFonts w:ascii="Times New Roman" w:hAnsi="Times New Roman" w:cs="Times New Roman"/>
                      <w:bCs/>
                    </w:rPr>
                  </w:pPr>
                  <w:r>
                    <w:rPr>
                      <w:rFonts w:ascii="Times New Roman" w:hAnsi="Times New Roman" w:cs="Times New Roman"/>
                      <w:bCs/>
                    </w:rPr>
                    <w:t>BOD</w:t>
                  </w:r>
                  <w:r>
                    <w:rPr>
                      <w:rFonts w:ascii="Times New Roman" w:hAnsi="Times New Roman" w:cs="Times New Roman"/>
                      <w:bCs/>
                      <w:vertAlign w:val="subscript"/>
                    </w:rPr>
                    <w:t>5</w:t>
                  </w:r>
                </w:p>
              </w:tc>
              <w:tc>
                <w:tcPr>
                  <w:tcW w:w="777" w:type="dxa"/>
                  <w:vAlign w:val="center"/>
                </w:tcPr>
                <w:p>
                  <w:pPr>
                    <w:adjustRightInd w:val="0"/>
                    <w:snapToGrid w:val="0"/>
                    <w:jc w:val="center"/>
                    <w:rPr>
                      <w:rFonts w:ascii="Times New Roman" w:hAnsi="Times New Roman" w:cs="Times New Roman"/>
                      <w:bCs/>
                    </w:rPr>
                  </w:pPr>
                  <w:r>
                    <w:rPr>
                      <w:rFonts w:ascii="Times New Roman" w:hAnsi="Times New Roman" w:cs="Times New Roman"/>
                      <w:bCs/>
                    </w:rPr>
                    <w:t>SS</w:t>
                  </w:r>
                </w:p>
              </w:tc>
              <w:tc>
                <w:tcPr>
                  <w:tcW w:w="863" w:type="dxa"/>
                  <w:vAlign w:val="center"/>
                </w:tcPr>
                <w:p>
                  <w:pPr>
                    <w:adjustRightInd w:val="0"/>
                    <w:snapToGrid w:val="0"/>
                    <w:jc w:val="center"/>
                    <w:rPr>
                      <w:rFonts w:ascii="Times New Roman" w:hAnsi="Times New Roman" w:cs="Times New Roman"/>
                      <w:bCs/>
                    </w:rPr>
                  </w:pPr>
                  <w:r>
                    <w:rPr>
                      <w:rFonts w:ascii="Times New Roman" w:hAnsi="Times New Roman" w:cs="Times New Roman"/>
                      <w:bCs/>
                    </w:rPr>
                    <w:t>氨氮</w:t>
                  </w:r>
                </w:p>
              </w:tc>
              <w:tc>
                <w:tcPr>
                  <w:tcW w:w="1631" w:type="dxa"/>
                  <w:vAlign w:val="center"/>
                </w:tcPr>
                <w:p>
                  <w:pPr>
                    <w:adjustRightInd w:val="0"/>
                    <w:snapToGrid w:val="0"/>
                    <w:jc w:val="center"/>
                    <w:rPr>
                      <w:rFonts w:ascii="Times New Roman" w:hAnsi="Times New Roman" w:cs="Times New Roman"/>
                      <w:bCs/>
                      <w:szCs w:val="21"/>
                    </w:rPr>
                  </w:pPr>
                  <w:r>
                    <w:rPr>
                      <w:rFonts w:ascii="Times New Roman" w:hAnsi="Times New Roman" w:cs="Times New Roman"/>
                      <w:szCs w:val="21"/>
                    </w:rPr>
                    <w:t>总磷（以P计）</w:t>
                  </w:r>
                </w:p>
              </w:tc>
              <w:tc>
                <w:tcPr>
                  <w:tcW w:w="1191"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动植物油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53" w:type="dxa"/>
                  <w:vAlign w:val="center"/>
                </w:tcPr>
                <w:p>
                  <w:pPr>
                    <w:adjustRightInd w:val="0"/>
                    <w:snapToGrid w:val="0"/>
                    <w:jc w:val="center"/>
                    <w:rPr>
                      <w:rFonts w:ascii="Times New Roman" w:hAnsi="Times New Roman" w:cs="Times New Roman"/>
                      <w:b/>
                    </w:rPr>
                  </w:pPr>
                  <w:r>
                    <w:rPr>
                      <w:rFonts w:ascii="Times New Roman" w:hAnsi="Times New Roman" w:cs="Times New Roman"/>
                      <w:b/>
                    </w:rPr>
                    <w:t>三级标准</w:t>
                  </w:r>
                </w:p>
              </w:tc>
              <w:tc>
                <w:tcPr>
                  <w:tcW w:w="794" w:type="dxa"/>
                  <w:vAlign w:val="center"/>
                </w:tcPr>
                <w:p>
                  <w:pPr>
                    <w:adjustRightInd w:val="0"/>
                    <w:snapToGrid w:val="0"/>
                    <w:jc w:val="center"/>
                    <w:rPr>
                      <w:rFonts w:ascii="Times New Roman" w:hAnsi="Times New Roman" w:cs="Times New Roman"/>
                    </w:rPr>
                  </w:pPr>
                  <w:r>
                    <w:rPr>
                      <w:rFonts w:ascii="Times New Roman" w:hAnsi="Times New Roman" w:cs="Times New Roman"/>
                    </w:rPr>
                    <w:t>6～9</w:t>
                  </w:r>
                </w:p>
              </w:tc>
              <w:tc>
                <w:tcPr>
                  <w:tcW w:w="971" w:type="dxa"/>
                  <w:vAlign w:val="center"/>
                </w:tcPr>
                <w:p>
                  <w:pPr>
                    <w:adjustRightInd w:val="0"/>
                    <w:snapToGrid w:val="0"/>
                    <w:jc w:val="center"/>
                    <w:rPr>
                      <w:rFonts w:ascii="Times New Roman" w:hAnsi="Times New Roman" w:cs="Times New Roman"/>
                    </w:rPr>
                  </w:pPr>
                  <w:r>
                    <w:rPr>
                      <w:rFonts w:ascii="Times New Roman" w:hAnsi="Times New Roman" w:cs="Times New Roman"/>
                    </w:rPr>
                    <w:t>≤500</w:t>
                  </w:r>
                </w:p>
              </w:tc>
              <w:tc>
                <w:tcPr>
                  <w:tcW w:w="1024" w:type="dxa"/>
                  <w:vAlign w:val="center"/>
                </w:tcPr>
                <w:p>
                  <w:pPr>
                    <w:adjustRightInd w:val="0"/>
                    <w:snapToGrid w:val="0"/>
                    <w:jc w:val="center"/>
                    <w:rPr>
                      <w:rFonts w:ascii="Times New Roman" w:hAnsi="Times New Roman" w:cs="Times New Roman"/>
                    </w:rPr>
                  </w:pPr>
                  <w:r>
                    <w:rPr>
                      <w:rFonts w:ascii="Times New Roman" w:hAnsi="Times New Roman" w:cs="Times New Roman"/>
                    </w:rPr>
                    <w:t>≤300</w:t>
                  </w:r>
                </w:p>
              </w:tc>
              <w:tc>
                <w:tcPr>
                  <w:tcW w:w="777" w:type="dxa"/>
                  <w:vAlign w:val="center"/>
                </w:tcPr>
                <w:p>
                  <w:pPr>
                    <w:adjustRightInd w:val="0"/>
                    <w:snapToGrid w:val="0"/>
                    <w:jc w:val="center"/>
                    <w:rPr>
                      <w:rFonts w:ascii="Times New Roman" w:hAnsi="Times New Roman" w:cs="Times New Roman"/>
                    </w:rPr>
                  </w:pPr>
                  <w:r>
                    <w:rPr>
                      <w:rFonts w:ascii="Times New Roman" w:hAnsi="Times New Roman" w:cs="Times New Roman"/>
                    </w:rPr>
                    <w:t>≤400</w:t>
                  </w:r>
                </w:p>
              </w:tc>
              <w:tc>
                <w:tcPr>
                  <w:tcW w:w="863" w:type="dxa"/>
                  <w:vAlign w:val="center"/>
                </w:tcPr>
                <w:p>
                  <w:pPr>
                    <w:adjustRightInd w:val="0"/>
                    <w:snapToGrid w:val="0"/>
                    <w:jc w:val="center"/>
                    <w:rPr>
                      <w:rFonts w:ascii="Times New Roman" w:hAnsi="Times New Roman" w:cs="Times New Roman"/>
                    </w:rPr>
                  </w:pPr>
                  <w:r>
                    <w:rPr>
                      <w:rFonts w:ascii="Times New Roman" w:hAnsi="Times New Roman" w:cs="Times New Roman"/>
                    </w:rPr>
                    <w:t>≤35</w:t>
                  </w:r>
                </w:p>
              </w:tc>
              <w:tc>
                <w:tcPr>
                  <w:tcW w:w="1631" w:type="dxa"/>
                  <w:vAlign w:val="center"/>
                </w:tcPr>
                <w:p>
                  <w:pPr>
                    <w:adjustRightInd w:val="0"/>
                    <w:snapToGrid w:val="0"/>
                    <w:jc w:val="center"/>
                    <w:rPr>
                      <w:rFonts w:ascii="Times New Roman" w:hAnsi="Times New Roman" w:cs="Times New Roman"/>
                    </w:rPr>
                  </w:pPr>
                  <w:r>
                    <w:rPr>
                      <w:rFonts w:ascii="Times New Roman" w:hAnsi="Times New Roman" w:cs="Times New Roman"/>
                    </w:rPr>
                    <w:t>≤8.0</w:t>
                  </w:r>
                </w:p>
              </w:tc>
              <w:tc>
                <w:tcPr>
                  <w:tcW w:w="1191" w:type="dxa"/>
                  <w:vAlign w:val="center"/>
                </w:tcPr>
                <w:p>
                  <w:pPr>
                    <w:adjustRightInd w:val="0"/>
                    <w:snapToGrid w:val="0"/>
                    <w:jc w:val="center"/>
                    <w:rPr>
                      <w:rFonts w:ascii="Times New Roman" w:hAnsi="Times New Roman" w:cs="Times New Roman"/>
                    </w:rPr>
                  </w:pPr>
                  <w:r>
                    <w:rPr>
                      <w:rFonts w:ascii="Times New Roman" w:hAnsi="Times New Roman" w:cs="Times New Roman"/>
                    </w:rPr>
                    <w:t>≤20</w:t>
                  </w:r>
                </w:p>
              </w:tc>
            </w:tr>
          </w:tbl>
          <w:p>
            <w:pPr>
              <w:spacing w:line="460" w:lineRule="exact"/>
              <w:ind w:firstLine="210" w:firstLineChars="100"/>
              <w:rPr>
                <w:rFonts w:ascii="Times New Roman" w:hAnsi="Times New Roman" w:cs="Times New Roman"/>
                <w:sz w:val="24"/>
              </w:rPr>
            </w:pPr>
            <w:r>
              <w:rPr>
                <w:rFonts w:ascii="Times New Roman" w:hAnsi="Times New Roman" w:cs="Times New Roman"/>
                <w:szCs w:val="21"/>
              </w:rPr>
              <w:t>注：氨氮和总磷执行《工业企业废水氮、磷污染物间接排放限值》（DB33/887-2013）。</w:t>
            </w:r>
          </w:p>
          <w:p>
            <w:pPr>
              <w:spacing w:line="460" w:lineRule="exact"/>
              <w:jc w:val="center"/>
              <w:rPr>
                <w:rFonts w:ascii="Times New Roman" w:hAnsi="Times New Roman" w:cs="Times New Roman"/>
                <w:b/>
                <w:szCs w:val="16"/>
              </w:rPr>
            </w:pPr>
            <w:r>
              <w:rPr>
                <w:rFonts w:ascii="Times New Roman" w:hAnsi="Times New Roman" w:cs="Times New Roman"/>
                <w:b/>
                <w:szCs w:val="16"/>
              </w:rPr>
              <w:t>表</w:t>
            </w:r>
            <w:r>
              <w:rPr>
                <w:rFonts w:hint="eastAsia" w:ascii="Times New Roman" w:hAnsi="Times New Roman" w:cs="Times New Roman"/>
                <w:b/>
                <w:szCs w:val="16"/>
                <w:lang w:val="en-US" w:eastAsia="zh-CN"/>
              </w:rPr>
              <w:t xml:space="preserve">3.3-3 </w:t>
            </w:r>
            <w:r>
              <w:rPr>
                <w:rFonts w:ascii="Times New Roman" w:hAnsi="Times New Roman" w:cs="Times New Roman"/>
                <w:b/>
                <w:szCs w:val="16"/>
              </w:rPr>
              <w:t>《农村生活污水集中处理设施水污染物排放标准》</w:t>
            </w:r>
          </w:p>
          <w:p>
            <w:pPr>
              <w:spacing w:line="460" w:lineRule="exact"/>
              <w:jc w:val="right"/>
              <w:rPr>
                <w:rFonts w:ascii="Times New Roman" w:hAnsi="Times New Roman" w:cs="Times New Roman"/>
                <w:b/>
                <w:sz w:val="24"/>
                <w:szCs w:val="24"/>
              </w:rPr>
            </w:pPr>
            <w:r>
              <w:rPr>
                <w:rFonts w:ascii="Times New Roman" w:hAnsi="Times New Roman" w:cs="Times New Roman"/>
              </w:rPr>
              <w:t>单位：mg/L（pH除外）</w:t>
            </w:r>
          </w:p>
          <w:tbl>
            <w:tblPr>
              <w:tblStyle w:val="4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987"/>
              <w:gridCol w:w="2940"/>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序号</w:t>
                  </w:r>
                </w:p>
              </w:tc>
              <w:tc>
                <w:tcPr>
                  <w:tcW w:w="2055"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控制类型</w:t>
                  </w:r>
                </w:p>
              </w:tc>
              <w:tc>
                <w:tcPr>
                  <w:tcW w:w="3045"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污染物项目</w:t>
                  </w:r>
                </w:p>
              </w:tc>
              <w:tc>
                <w:tcPr>
                  <w:tcW w:w="212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055" w:type="dxa"/>
                  <w:vMerge w:val="restart"/>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基本控制项目</w:t>
                  </w:r>
                </w:p>
              </w:tc>
              <w:tc>
                <w:tcPr>
                  <w:tcW w:w="3045"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pH值（无量纲）</w:t>
                  </w:r>
                </w:p>
              </w:tc>
              <w:tc>
                <w:tcPr>
                  <w:tcW w:w="212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055" w:type="dxa"/>
                  <w:vMerge w:val="continue"/>
                  <w:vAlign w:val="center"/>
                </w:tcPr>
                <w:p>
                  <w:pPr>
                    <w:jc w:val="center"/>
                    <w:rPr>
                      <w:rFonts w:ascii="Times New Roman" w:hAnsi="Times New Roman" w:eastAsia="宋体" w:cs="Times New Roman"/>
                      <w:bCs/>
                      <w:szCs w:val="21"/>
                    </w:rPr>
                  </w:pPr>
                </w:p>
              </w:tc>
              <w:tc>
                <w:tcPr>
                  <w:tcW w:w="3045" w:type="dxa"/>
                  <w:vAlign w:val="center"/>
                </w:tcPr>
                <w:p>
                  <w:pPr>
                    <w:jc w:val="center"/>
                    <w:rPr>
                      <w:rFonts w:ascii="Times New Roman" w:hAnsi="Times New Roman" w:eastAsia="宋体" w:cs="Times New Roman"/>
                      <w:bCs/>
                      <w:szCs w:val="21"/>
                    </w:rPr>
                  </w:pPr>
                  <w:r>
                    <w:rPr>
                      <w:rFonts w:ascii="Times New Roman" w:hAnsi="Times New Roman" w:cs="Times New Roman"/>
                      <w:bCs/>
                      <w:szCs w:val="21"/>
                    </w:rPr>
                    <w:t>化学需氧量（COD</w:t>
                  </w:r>
                  <w:r>
                    <w:rPr>
                      <w:rFonts w:ascii="Times New Roman" w:hAnsi="Times New Roman" w:cs="Times New Roman"/>
                      <w:bCs/>
                      <w:szCs w:val="21"/>
                      <w:vertAlign w:val="subscript"/>
                    </w:rPr>
                    <w:t>Cr</w:t>
                  </w:r>
                  <w:r>
                    <w:rPr>
                      <w:rFonts w:ascii="Times New Roman" w:hAnsi="Times New Roman" w:cs="Times New Roman"/>
                      <w:bCs/>
                      <w:szCs w:val="21"/>
                    </w:rPr>
                    <w:t>）</w:t>
                  </w:r>
                </w:p>
              </w:tc>
              <w:tc>
                <w:tcPr>
                  <w:tcW w:w="212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055" w:type="dxa"/>
                  <w:vMerge w:val="continue"/>
                  <w:vAlign w:val="center"/>
                </w:tcPr>
                <w:p>
                  <w:pPr>
                    <w:jc w:val="center"/>
                    <w:rPr>
                      <w:rFonts w:ascii="Times New Roman" w:hAnsi="Times New Roman" w:eastAsia="宋体" w:cs="Times New Roman"/>
                      <w:bCs/>
                      <w:szCs w:val="21"/>
                    </w:rPr>
                  </w:pPr>
                </w:p>
              </w:tc>
              <w:tc>
                <w:tcPr>
                  <w:tcW w:w="3045" w:type="dxa"/>
                  <w:vAlign w:val="center"/>
                </w:tcPr>
                <w:p>
                  <w:pPr>
                    <w:jc w:val="center"/>
                    <w:rPr>
                      <w:rFonts w:ascii="Times New Roman" w:hAnsi="Times New Roman" w:eastAsia="宋体" w:cs="Times New Roman"/>
                      <w:bCs/>
                      <w:szCs w:val="21"/>
                    </w:rPr>
                  </w:pPr>
                  <w:r>
                    <w:rPr>
                      <w:rFonts w:ascii="Times New Roman" w:hAnsi="Times New Roman" w:cs="Times New Roman"/>
                      <w:bCs/>
                      <w:szCs w:val="21"/>
                    </w:rPr>
                    <w:t>悬浮物（SS）</w:t>
                  </w:r>
                </w:p>
              </w:tc>
              <w:tc>
                <w:tcPr>
                  <w:tcW w:w="212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7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055" w:type="dxa"/>
                  <w:vMerge w:val="continue"/>
                  <w:vAlign w:val="center"/>
                </w:tcPr>
                <w:p>
                  <w:pPr>
                    <w:jc w:val="center"/>
                    <w:rPr>
                      <w:rFonts w:ascii="Times New Roman" w:hAnsi="Times New Roman" w:eastAsia="宋体" w:cs="Times New Roman"/>
                      <w:bCs/>
                      <w:szCs w:val="21"/>
                    </w:rPr>
                  </w:pPr>
                </w:p>
              </w:tc>
              <w:tc>
                <w:tcPr>
                  <w:tcW w:w="3045" w:type="dxa"/>
                  <w:vAlign w:val="center"/>
                </w:tcPr>
                <w:p>
                  <w:pPr>
                    <w:jc w:val="center"/>
                    <w:rPr>
                      <w:rFonts w:ascii="Times New Roman" w:hAnsi="Times New Roman" w:eastAsia="宋体" w:cs="Times New Roman"/>
                      <w:bCs/>
                      <w:szCs w:val="21"/>
                    </w:rPr>
                  </w:pPr>
                  <w:r>
                    <w:rPr>
                      <w:rFonts w:ascii="Times New Roman" w:hAnsi="Times New Roman" w:cs="Times New Roman"/>
                      <w:bCs/>
                    </w:rPr>
                    <w:t>氨氮（以N计）</w:t>
                  </w:r>
                </w:p>
              </w:tc>
              <w:tc>
                <w:tcPr>
                  <w:tcW w:w="212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25（15）</w:t>
                  </w:r>
                  <w:r>
                    <w:rPr>
                      <w:rFonts w:ascii="Times New Roman" w:hAnsi="Times New Roman" w:eastAsia="宋体" w:cs="Times New Roman"/>
                      <w:bCs/>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2055" w:type="dxa"/>
                  <w:vMerge w:val="continue"/>
                  <w:vAlign w:val="center"/>
                </w:tcPr>
                <w:p>
                  <w:pPr>
                    <w:jc w:val="center"/>
                    <w:rPr>
                      <w:rFonts w:ascii="Times New Roman" w:hAnsi="Times New Roman" w:eastAsia="宋体" w:cs="Times New Roman"/>
                      <w:bCs/>
                      <w:szCs w:val="21"/>
                    </w:rPr>
                  </w:pPr>
                </w:p>
              </w:tc>
              <w:tc>
                <w:tcPr>
                  <w:tcW w:w="3045" w:type="dxa"/>
                  <w:vAlign w:val="center"/>
                </w:tcPr>
                <w:p>
                  <w:pPr>
                    <w:jc w:val="center"/>
                    <w:rPr>
                      <w:rFonts w:ascii="Times New Roman" w:hAnsi="Times New Roman" w:cs="Times New Roman"/>
                      <w:bCs/>
                    </w:rPr>
                  </w:pPr>
                  <w:r>
                    <w:rPr>
                      <w:rFonts w:ascii="Times New Roman" w:hAnsi="Times New Roman" w:cs="Times New Roman"/>
                      <w:bCs/>
                    </w:rPr>
                    <w:t>总磷（以P计）</w:t>
                  </w:r>
                  <w:r>
                    <w:rPr>
                      <w:rFonts w:ascii="Times New Roman" w:hAnsi="Times New Roman" w:cs="Times New Roman"/>
                      <w:bCs/>
                      <w:vertAlign w:val="superscript"/>
                    </w:rPr>
                    <w:t>b</w:t>
                  </w:r>
                </w:p>
              </w:tc>
              <w:tc>
                <w:tcPr>
                  <w:tcW w:w="212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6</w:t>
                  </w:r>
                </w:p>
              </w:tc>
              <w:tc>
                <w:tcPr>
                  <w:tcW w:w="2055" w:type="dxa"/>
                  <w:vMerge w:val="restart"/>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选择控制项目</w:t>
                  </w:r>
                </w:p>
              </w:tc>
              <w:tc>
                <w:tcPr>
                  <w:tcW w:w="3045" w:type="dxa"/>
                  <w:vAlign w:val="center"/>
                </w:tcPr>
                <w:p>
                  <w:pPr>
                    <w:jc w:val="center"/>
                    <w:rPr>
                      <w:rFonts w:ascii="Times New Roman" w:hAnsi="Times New Roman" w:cs="Times New Roman"/>
                      <w:bCs/>
                    </w:rPr>
                  </w:pPr>
                  <w:r>
                    <w:rPr>
                      <w:rFonts w:ascii="Times New Roman" w:hAnsi="Times New Roman" w:cs="Times New Roman"/>
                      <w:bCs/>
                    </w:rPr>
                    <w:t>粪大肠杆菌（MPN/L）</w:t>
                  </w:r>
                </w:p>
              </w:tc>
              <w:tc>
                <w:tcPr>
                  <w:tcW w:w="212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10000</w:t>
                  </w:r>
                  <w:r>
                    <w:rPr>
                      <w:rFonts w:ascii="Times New Roman" w:hAnsi="Times New Roman" w:eastAsia="宋体" w:cs="Times New Roman"/>
                      <w:bCs/>
                      <w:szCs w:val="21"/>
                      <w:vertAlign w:val="superscript"/>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8"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7</w:t>
                  </w:r>
                </w:p>
              </w:tc>
              <w:tc>
                <w:tcPr>
                  <w:tcW w:w="2055" w:type="dxa"/>
                  <w:vMerge w:val="continue"/>
                  <w:vAlign w:val="center"/>
                </w:tcPr>
                <w:p>
                  <w:pPr>
                    <w:jc w:val="center"/>
                    <w:rPr>
                      <w:rFonts w:ascii="Times New Roman" w:hAnsi="Times New Roman" w:eastAsia="宋体" w:cs="Times New Roman"/>
                      <w:bCs/>
                      <w:szCs w:val="21"/>
                    </w:rPr>
                  </w:pPr>
                </w:p>
              </w:tc>
              <w:tc>
                <w:tcPr>
                  <w:tcW w:w="3045" w:type="dxa"/>
                  <w:vAlign w:val="center"/>
                </w:tcPr>
                <w:p>
                  <w:pPr>
                    <w:jc w:val="center"/>
                    <w:rPr>
                      <w:rFonts w:ascii="Times New Roman" w:hAnsi="Times New Roman" w:cs="Times New Roman"/>
                      <w:bCs/>
                    </w:rPr>
                  </w:pPr>
                  <w:r>
                    <w:rPr>
                      <w:rFonts w:ascii="Times New Roman" w:hAnsi="Times New Roman" w:cs="Times New Roman"/>
                      <w:bCs/>
                    </w:rPr>
                    <w:t>动植物油</w:t>
                  </w:r>
                  <w:r>
                    <w:rPr>
                      <w:rFonts w:ascii="Times New Roman" w:hAnsi="Times New Roman" w:cs="Times New Roman"/>
                      <w:bCs/>
                      <w:vertAlign w:val="superscript"/>
                    </w:rPr>
                    <w:t>d</w:t>
                  </w:r>
                </w:p>
              </w:tc>
              <w:tc>
                <w:tcPr>
                  <w:tcW w:w="2126"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4"/>
                  <w:vAlign w:val="center"/>
                </w:tcPr>
                <w:p>
                  <w:pPr>
                    <w:rPr>
                      <w:rFonts w:ascii="Times New Roman" w:hAnsi="Times New Roman" w:eastAsia="宋体" w:cs="Times New Roman"/>
                      <w:bCs/>
                      <w:szCs w:val="21"/>
                    </w:rPr>
                  </w:pPr>
                  <w:r>
                    <w:rPr>
                      <w:rFonts w:ascii="Times New Roman" w:hAnsi="Times New Roman" w:eastAsia="宋体" w:cs="Times New Roman"/>
                      <w:bCs/>
                      <w:szCs w:val="21"/>
                    </w:rPr>
                    <w:t>a 括号内为每年的11 月1 日至次年3 月31 日执行；</w:t>
                  </w:r>
                </w:p>
                <w:p>
                  <w:pPr>
                    <w:rPr>
                      <w:rFonts w:ascii="Times New Roman" w:hAnsi="Times New Roman" w:eastAsia="宋体" w:cs="Times New Roman"/>
                      <w:bCs/>
                      <w:szCs w:val="21"/>
                    </w:rPr>
                  </w:pPr>
                  <w:r>
                    <w:rPr>
                      <w:rFonts w:ascii="Times New Roman" w:hAnsi="Times New Roman" w:eastAsia="宋体" w:cs="Times New Roman"/>
                      <w:bCs/>
                      <w:szCs w:val="21"/>
                    </w:rPr>
                    <w:t>b 括号内为出水排入封闭水体、半封闭水体和省、市、县级等水质断面磷超标水体的限值；</w:t>
                  </w:r>
                </w:p>
                <w:p>
                  <w:pPr>
                    <w:rPr>
                      <w:rFonts w:ascii="Times New Roman" w:hAnsi="Times New Roman" w:eastAsia="宋体" w:cs="Times New Roman"/>
                      <w:bCs/>
                      <w:szCs w:val="21"/>
                    </w:rPr>
                  </w:pPr>
                  <w:r>
                    <w:rPr>
                      <w:rFonts w:ascii="Times New Roman" w:hAnsi="Times New Roman" w:eastAsia="宋体" w:cs="Times New Roman"/>
                      <w:bCs/>
                      <w:szCs w:val="21"/>
                    </w:rPr>
                    <w:t>c 县级人民政府指定控制区域；</w:t>
                  </w:r>
                </w:p>
                <w:p>
                  <w:pPr>
                    <w:rPr>
                      <w:rFonts w:ascii="Times New Roman" w:hAnsi="Times New Roman" w:eastAsia="宋体" w:cs="Times New Roman"/>
                      <w:bCs/>
                      <w:szCs w:val="21"/>
                    </w:rPr>
                  </w:pPr>
                  <w:r>
                    <w:rPr>
                      <w:rFonts w:ascii="Times New Roman" w:hAnsi="Times New Roman" w:eastAsia="宋体" w:cs="Times New Roman"/>
                      <w:bCs/>
                      <w:szCs w:val="21"/>
                    </w:rPr>
                    <w:t>d 排入含油污水的处理设施。</w:t>
                  </w:r>
                </w:p>
              </w:tc>
            </w:tr>
          </w:tbl>
          <w:p>
            <w:pPr>
              <w:spacing w:line="500" w:lineRule="exact"/>
              <w:ind w:firstLine="480" w:firstLineChars="200"/>
              <w:rPr>
                <w:rFonts w:hint="eastAsia" w:hAnsi="宋体"/>
                <w:color w:val="auto"/>
                <w:sz w:val="24"/>
                <w:lang w:eastAsia="zh-CN"/>
              </w:rPr>
            </w:pPr>
            <w:r>
              <w:rPr>
                <w:rFonts w:hint="eastAsia" w:hAnsi="宋体"/>
                <w:color w:val="auto"/>
                <w:sz w:val="24"/>
                <w:lang w:eastAsia="zh-CN"/>
              </w:rPr>
              <w:t>（</w:t>
            </w:r>
            <w:r>
              <w:rPr>
                <w:rFonts w:hint="eastAsia" w:hAnsi="宋体"/>
                <w:color w:val="auto"/>
                <w:sz w:val="24"/>
                <w:lang w:val="en-US" w:eastAsia="zh-CN"/>
              </w:rPr>
              <w:t>2</w:t>
            </w:r>
            <w:r>
              <w:rPr>
                <w:rFonts w:hint="eastAsia" w:hAnsi="宋体"/>
                <w:color w:val="auto"/>
                <w:sz w:val="24"/>
                <w:lang w:eastAsia="zh-CN"/>
              </w:rPr>
              <w:t>）生产废水</w:t>
            </w:r>
          </w:p>
          <w:p>
            <w:pPr>
              <w:spacing w:line="500" w:lineRule="exact"/>
              <w:ind w:firstLine="480" w:firstLineChars="200"/>
              <w:rPr>
                <w:rFonts w:hAnsi="宋体"/>
                <w:b/>
                <w:bCs/>
                <w:color w:val="auto"/>
              </w:rPr>
            </w:pPr>
            <w:r>
              <w:rPr>
                <w:rFonts w:hint="eastAsia" w:hAnsi="宋体"/>
                <w:sz w:val="24"/>
                <w:lang w:eastAsia="zh-CN"/>
              </w:rPr>
              <w:t>生产废水单独纳管至长兴虹溪污水处理有限公司虹星桥镇北片工业园区中水回用站集中处理后回用，虹星桥镇北片工业园区中水回用站进出水水质</w:t>
            </w:r>
            <w:r>
              <w:rPr>
                <w:rFonts w:hint="eastAsia" w:hAnsi="宋体"/>
                <w:color w:val="auto"/>
                <w:sz w:val="24"/>
                <w:lang w:eastAsia="zh-CN"/>
              </w:rPr>
              <w:t>标准见表</w:t>
            </w:r>
            <w:r>
              <w:rPr>
                <w:rFonts w:hint="eastAsia" w:hAnsi="宋体"/>
                <w:color w:val="auto"/>
                <w:sz w:val="24"/>
                <w:lang w:val="en-US" w:eastAsia="zh-CN"/>
              </w:rPr>
              <w:t>3.3-4。</w:t>
            </w:r>
          </w:p>
          <w:p>
            <w:pPr>
              <w:spacing w:line="460" w:lineRule="exact"/>
              <w:jc w:val="center"/>
              <w:rPr>
                <w:rFonts w:hint="eastAsia" w:eastAsiaTheme="minorEastAsia"/>
                <w:b/>
                <w:szCs w:val="21"/>
                <w:lang w:eastAsia="zh-CN"/>
              </w:rPr>
            </w:pPr>
            <w:r>
              <w:rPr>
                <w:rFonts w:eastAsiaTheme="minorEastAsia"/>
                <w:b/>
                <w:szCs w:val="21"/>
              </w:rPr>
              <w:t>表</w:t>
            </w:r>
            <w:r>
              <w:rPr>
                <w:rFonts w:hint="eastAsia" w:eastAsiaTheme="minorEastAsia"/>
                <w:b/>
                <w:szCs w:val="21"/>
                <w:lang w:val="en-US" w:eastAsia="zh-CN"/>
              </w:rPr>
              <w:t>3.3</w:t>
            </w:r>
            <w:r>
              <w:rPr>
                <w:rFonts w:eastAsiaTheme="minorEastAsia"/>
                <w:b/>
                <w:szCs w:val="21"/>
              </w:rPr>
              <w:t>-</w:t>
            </w:r>
            <w:r>
              <w:rPr>
                <w:rFonts w:hint="eastAsia" w:eastAsiaTheme="minorEastAsia"/>
                <w:b/>
                <w:szCs w:val="21"/>
                <w:lang w:val="en-US" w:eastAsia="zh-CN"/>
              </w:rPr>
              <w:t>4</w:t>
            </w:r>
            <w:r>
              <w:rPr>
                <w:rFonts w:eastAsiaTheme="minorEastAsia"/>
                <w:b/>
                <w:szCs w:val="21"/>
              </w:rPr>
              <w:t xml:space="preserve"> </w:t>
            </w:r>
            <w:r>
              <w:rPr>
                <w:rFonts w:hint="eastAsia" w:eastAsiaTheme="minorEastAsia"/>
                <w:b/>
                <w:szCs w:val="21"/>
                <w:lang w:eastAsia="zh-CN"/>
              </w:rPr>
              <w:t>中水回用站水质标准</w:t>
            </w:r>
          </w:p>
          <w:p>
            <w:pPr>
              <w:jc w:val="right"/>
              <w:rPr>
                <w:b/>
                <w:szCs w:val="21"/>
              </w:rPr>
            </w:pPr>
            <w:r>
              <w:rPr>
                <w:szCs w:val="21"/>
              </w:rPr>
              <w:t>单位：mg/L（除pH外）</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35"/>
              <w:gridCol w:w="1643"/>
              <w:gridCol w:w="1645"/>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6" w:type="dxa"/>
                  <w:vAlign w:val="center"/>
                </w:tcPr>
                <w:p>
                  <w:pPr>
                    <w:jc w:val="center"/>
                    <w:rPr>
                      <w:b w:val="0"/>
                      <w:bCs/>
                      <w:spacing w:val="0"/>
                      <w:sz w:val="21"/>
                      <w:szCs w:val="21"/>
                    </w:rPr>
                  </w:pPr>
                  <w:r>
                    <w:rPr>
                      <w:b w:val="0"/>
                      <w:bCs/>
                      <w:spacing w:val="0"/>
                      <w:sz w:val="21"/>
                      <w:szCs w:val="21"/>
                    </w:rPr>
                    <w:t>水质指标</w:t>
                  </w:r>
                </w:p>
              </w:tc>
              <w:tc>
                <w:tcPr>
                  <w:tcW w:w="716" w:type="dxa"/>
                  <w:vAlign w:val="center"/>
                </w:tcPr>
                <w:p>
                  <w:pPr>
                    <w:jc w:val="center"/>
                    <w:rPr>
                      <w:sz w:val="21"/>
                      <w:szCs w:val="21"/>
                    </w:rPr>
                  </w:pPr>
                  <w:r>
                    <w:rPr>
                      <w:sz w:val="21"/>
                      <w:szCs w:val="21"/>
                    </w:rPr>
                    <w:t>pH</w:t>
                  </w:r>
                </w:p>
              </w:tc>
              <w:tc>
                <w:tcPr>
                  <w:tcW w:w="881" w:type="dxa"/>
                  <w:vAlign w:val="center"/>
                </w:tcPr>
                <w:p>
                  <w:pPr>
                    <w:jc w:val="center"/>
                    <w:rPr>
                      <w:sz w:val="21"/>
                      <w:szCs w:val="21"/>
                    </w:rPr>
                  </w:pPr>
                  <w:r>
                    <w:rPr>
                      <w:sz w:val="21"/>
                      <w:szCs w:val="21"/>
                    </w:rPr>
                    <w:t>COD</w:t>
                  </w:r>
                  <w:r>
                    <w:rPr>
                      <w:sz w:val="21"/>
                      <w:szCs w:val="21"/>
                      <w:vertAlign w:val="subscript"/>
                    </w:rPr>
                    <w:t>Cr</w:t>
                  </w:r>
                </w:p>
              </w:tc>
              <w:tc>
                <w:tcPr>
                  <w:tcW w:w="882" w:type="dxa"/>
                  <w:vAlign w:val="center"/>
                </w:tcPr>
                <w:p>
                  <w:pPr>
                    <w:jc w:val="center"/>
                    <w:rPr>
                      <w:sz w:val="21"/>
                      <w:szCs w:val="21"/>
                      <w:highlight w:val="none"/>
                    </w:rPr>
                  </w:pPr>
                  <w:r>
                    <w:rPr>
                      <w:sz w:val="21"/>
                      <w:szCs w:val="21"/>
                      <w:highlight w:val="none"/>
                    </w:rPr>
                    <w:t>SS</w:t>
                  </w:r>
                </w:p>
              </w:tc>
              <w:tc>
                <w:tcPr>
                  <w:tcW w:w="883" w:type="dxa"/>
                  <w:vAlign w:val="center"/>
                </w:tcPr>
                <w:p>
                  <w:pPr>
                    <w:pStyle w:val="117"/>
                    <w:rPr>
                      <w:rFonts w:hint="eastAsia" w:eastAsia="宋体"/>
                      <w:bCs/>
                      <w:spacing w:val="0"/>
                      <w:sz w:val="21"/>
                      <w:szCs w:val="21"/>
                      <w:lang w:val="en-US" w:eastAsia="zh-CN"/>
                    </w:rPr>
                  </w:pPr>
                  <w:r>
                    <w:rPr>
                      <w:bCs/>
                      <w:spacing w:val="0"/>
                      <w:sz w:val="21"/>
                      <w:szCs w:val="21"/>
                    </w:rPr>
                    <w:t>石油类</w:t>
                  </w:r>
                  <w:r>
                    <w:rPr>
                      <w:rFonts w:hint="eastAsia"/>
                      <w:bCs/>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6" w:type="dxa"/>
                  <w:vAlign w:val="center"/>
                </w:tcPr>
                <w:p>
                  <w:pPr>
                    <w:adjustRightInd w:val="0"/>
                    <w:snapToGrid w:val="0"/>
                    <w:jc w:val="center"/>
                    <w:rPr>
                      <w:rFonts w:hint="eastAsia" w:eastAsia="宋体"/>
                      <w:b w:val="0"/>
                      <w:bCs/>
                      <w:spacing w:val="0"/>
                      <w:sz w:val="21"/>
                      <w:szCs w:val="21"/>
                      <w:lang w:eastAsia="zh-CN"/>
                    </w:rPr>
                  </w:pPr>
                  <w:r>
                    <w:rPr>
                      <w:rFonts w:hint="eastAsia"/>
                      <w:b w:val="0"/>
                      <w:bCs/>
                      <w:spacing w:val="0"/>
                      <w:sz w:val="21"/>
                      <w:szCs w:val="21"/>
                      <w:lang w:eastAsia="zh-CN"/>
                    </w:rPr>
                    <w:t>进水水质</w:t>
                  </w:r>
                </w:p>
              </w:tc>
              <w:tc>
                <w:tcPr>
                  <w:tcW w:w="716" w:type="dxa"/>
                  <w:vAlign w:val="center"/>
                </w:tcPr>
                <w:p>
                  <w:pPr>
                    <w:jc w:val="center"/>
                    <w:rPr>
                      <w:sz w:val="21"/>
                      <w:szCs w:val="21"/>
                    </w:rPr>
                  </w:pPr>
                  <w:r>
                    <w:rPr>
                      <w:sz w:val="21"/>
                      <w:szCs w:val="21"/>
                    </w:rPr>
                    <w:t>6～9</w:t>
                  </w:r>
                </w:p>
              </w:tc>
              <w:tc>
                <w:tcPr>
                  <w:tcW w:w="881" w:type="dxa"/>
                  <w:vAlign w:val="center"/>
                </w:tcPr>
                <w:p>
                  <w:pPr>
                    <w:jc w:val="center"/>
                    <w:rPr>
                      <w:rFonts w:hint="default" w:eastAsia="宋体"/>
                      <w:sz w:val="21"/>
                      <w:szCs w:val="21"/>
                      <w:lang w:val="en-US" w:eastAsia="zh-CN"/>
                    </w:rPr>
                  </w:pPr>
                  <w:r>
                    <w:rPr>
                      <w:sz w:val="21"/>
                      <w:szCs w:val="21"/>
                    </w:rPr>
                    <w:t>≤</w:t>
                  </w:r>
                  <w:r>
                    <w:rPr>
                      <w:rFonts w:hint="eastAsia"/>
                      <w:sz w:val="21"/>
                      <w:szCs w:val="21"/>
                      <w:lang w:val="en-US" w:eastAsia="zh-CN"/>
                    </w:rPr>
                    <w:t>350</w:t>
                  </w:r>
                </w:p>
              </w:tc>
              <w:tc>
                <w:tcPr>
                  <w:tcW w:w="882" w:type="dxa"/>
                  <w:vAlign w:val="center"/>
                </w:tcPr>
                <w:p>
                  <w:pPr>
                    <w:jc w:val="center"/>
                    <w:rPr>
                      <w:rFonts w:hint="default" w:eastAsia="宋体"/>
                      <w:sz w:val="21"/>
                      <w:szCs w:val="21"/>
                      <w:highlight w:val="none"/>
                      <w:lang w:val="en-US" w:eastAsia="zh-CN"/>
                    </w:rPr>
                  </w:pPr>
                  <w:r>
                    <w:rPr>
                      <w:sz w:val="21"/>
                      <w:szCs w:val="21"/>
                      <w:highlight w:val="none"/>
                    </w:rPr>
                    <w:t>≤</w:t>
                  </w:r>
                  <w:r>
                    <w:rPr>
                      <w:rFonts w:hint="eastAsia"/>
                      <w:sz w:val="21"/>
                      <w:szCs w:val="21"/>
                      <w:highlight w:val="none"/>
                      <w:lang w:val="en-US" w:eastAsia="zh-CN"/>
                    </w:rPr>
                    <w:t>250</w:t>
                  </w:r>
                </w:p>
              </w:tc>
              <w:tc>
                <w:tcPr>
                  <w:tcW w:w="883" w:type="dxa"/>
                  <w:vAlign w:val="center"/>
                </w:tcPr>
                <w:p>
                  <w:pPr>
                    <w:snapToGrid w:val="0"/>
                    <w:jc w:val="center"/>
                    <w:rPr>
                      <w:rFonts w:hint="default" w:eastAsia="宋体"/>
                      <w:sz w:val="21"/>
                      <w:szCs w:val="21"/>
                      <w:lang w:val="en-US" w:eastAsia="zh-CN"/>
                    </w:rPr>
                  </w:pPr>
                  <w:r>
                    <w:rPr>
                      <w:sz w:val="21"/>
                      <w:szCs w:val="21"/>
                    </w:rPr>
                    <w:t>≤</w:t>
                  </w:r>
                  <w:r>
                    <w:rPr>
                      <w:rFonts w:hint="eastAsia"/>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6" w:type="dxa"/>
                  <w:vAlign w:val="center"/>
                </w:tcPr>
                <w:p>
                  <w:pPr>
                    <w:adjustRightInd w:val="0"/>
                    <w:snapToGrid w:val="0"/>
                    <w:jc w:val="center"/>
                    <w:rPr>
                      <w:rFonts w:hint="eastAsia"/>
                      <w:b w:val="0"/>
                      <w:bCs/>
                      <w:spacing w:val="0"/>
                      <w:sz w:val="21"/>
                      <w:szCs w:val="21"/>
                      <w:lang w:eastAsia="zh-CN"/>
                    </w:rPr>
                  </w:pPr>
                  <w:r>
                    <w:rPr>
                      <w:rFonts w:hint="eastAsia"/>
                      <w:b w:val="0"/>
                      <w:bCs/>
                      <w:spacing w:val="0"/>
                      <w:sz w:val="21"/>
                      <w:szCs w:val="21"/>
                      <w:lang w:eastAsia="zh-CN"/>
                    </w:rPr>
                    <w:t>出水水质</w:t>
                  </w:r>
                </w:p>
              </w:tc>
              <w:tc>
                <w:tcPr>
                  <w:tcW w:w="716" w:type="dxa"/>
                  <w:vAlign w:val="center"/>
                </w:tcPr>
                <w:p>
                  <w:pPr>
                    <w:jc w:val="center"/>
                    <w:rPr>
                      <w:sz w:val="21"/>
                      <w:szCs w:val="21"/>
                    </w:rPr>
                  </w:pPr>
                  <w:r>
                    <w:rPr>
                      <w:sz w:val="21"/>
                      <w:szCs w:val="21"/>
                    </w:rPr>
                    <w:t>6～9</w:t>
                  </w:r>
                </w:p>
              </w:tc>
              <w:tc>
                <w:tcPr>
                  <w:tcW w:w="881" w:type="dxa"/>
                  <w:vAlign w:val="center"/>
                </w:tcPr>
                <w:p>
                  <w:pPr>
                    <w:jc w:val="center"/>
                    <w:rPr>
                      <w:rFonts w:hint="default" w:eastAsia="宋体"/>
                      <w:sz w:val="21"/>
                      <w:szCs w:val="21"/>
                      <w:lang w:val="en-US" w:eastAsia="zh-CN"/>
                    </w:rPr>
                  </w:pPr>
                  <w:r>
                    <w:rPr>
                      <w:sz w:val="21"/>
                      <w:szCs w:val="21"/>
                    </w:rPr>
                    <w:t>≤</w:t>
                  </w:r>
                  <w:r>
                    <w:rPr>
                      <w:rFonts w:hint="eastAsia"/>
                      <w:sz w:val="21"/>
                      <w:szCs w:val="21"/>
                      <w:lang w:val="en-US" w:eastAsia="zh-CN"/>
                    </w:rPr>
                    <w:t>150</w:t>
                  </w:r>
                </w:p>
              </w:tc>
              <w:tc>
                <w:tcPr>
                  <w:tcW w:w="882" w:type="dxa"/>
                  <w:vAlign w:val="center"/>
                </w:tcPr>
                <w:p>
                  <w:pPr>
                    <w:jc w:val="center"/>
                    <w:rPr>
                      <w:rFonts w:hint="default" w:eastAsia="宋体"/>
                      <w:sz w:val="21"/>
                      <w:szCs w:val="21"/>
                      <w:highlight w:val="none"/>
                      <w:lang w:val="en-US" w:eastAsia="zh-CN"/>
                    </w:rPr>
                  </w:pPr>
                  <w:r>
                    <w:rPr>
                      <w:sz w:val="21"/>
                      <w:szCs w:val="21"/>
                      <w:highlight w:val="none"/>
                    </w:rPr>
                    <w:t>≤</w:t>
                  </w:r>
                  <w:r>
                    <w:rPr>
                      <w:rFonts w:hint="eastAsia"/>
                      <w:sz w:val="21"/>
                      <w:szCs w:val="21"/>
                      <w:highlight w:val="none"/>
                      <w:lang w:val="en-US" w:eastAsia="zh-CN"/>
                    </w:rPr>
                    <w:t>20</w:t>
                  </w:r>
                </w:p>
              </w:tc>
              <w:tc>
                <w:tcPr>
                  <w:tcW w:w="883" w:type="dxa"/>
                  <w:vAlign w:val="center"/>
                </w:tcPr>
                <w:p>
                  <w:pPr>
                    <w:snapToGrid w:val="0"/>
                    <w:jc w:val="center"/>
                    <w:rPr>
                      <w:sz w:val="21"/>
                      <w:szCs w:val="21"/>
                    </w:rPr>
                  </w:pPr>
                  <w:r>
                    <w:rPr>
                      <w:sz w:val="21"/>
                      <w:szCs w:val="21"/>
                    </w:rPr>
                    <w:t>≤</w:t>
                  </w:r>
                  <w:r>
                    <w:rPr>
                      <w:rFonts w:hint="eastAsia"/>
                      <w:sz w:val="21"/>
                      <w:szCs w:val="21"/>
                      <w:lang w:val="en-US" w:eastAsia="zh-CN"/>
                    </w:rPr>
                    <w:t>5</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hAnsi="宋体" w:eastAsia="宋体"/>
                <w:sz w:val="21"/>
                <w:szCs w:val="21"/>
                <w:lang w:eastAsia="zh-CN"/>
              </w:rPr>
            </w:pPr>
            <w:r>
              <w:rPr>
                <w:rFonts w:hint="eastAsia" w:hAnsi="宋体"/>
                <w:sz w:val="21"/>
                <w:szCs w:val="21"/>
                <w:lang w:eastAsia="zh-CN"/>
              </w:rPr>
              <w:t>注：由于北片中水回用站未对石油类提出进水水质限值，故进水水质指标参考执行《污水综合排放标准》（GB8978-1996）中的三级标准中要求。</w:t>
            </w:r>
          </w:p>
          <w:p>
            <w:pPr>
              <w:adjustRightInd w:val="0"/>
              <w:snapToGrid w:val="0"/>
              <w:spacing w:line="500" w:lineRule="exact"/>
              <w:ind w:firstLine="480" w:firstLineChars="200"/>
              <w:rPr>
                <w:sz w:val="24"/>
              </w:rPr>
            </w:pPr>
            <w:r>
              <w:rPr>
                <w:rFonts w:hAnsi="宋体"/>
                <w:sz w:val="24"/>
              </w:rPr>
              <w:t>（</w:t>
            </w:r>
            <w:r>
              <w:rPr>
                <w:rFonts w:hint="eastAsia"/>
                <w:sz w:val="24"/>
              </w:rPr>
              <w:t>3</w:t>
            </w:r>
            <w:r>
              <w:rPr>
                <w:rFonts w:hAnsi="宋体"/>
                <w:sz w:val="24"/>
              </w:rPr>
              <w:t>）噪声</w:t>
            </w:r>
          </w:p>
          <w:p>
            <w:pPr>
              <w:adjustRightInd w:val="0"/>
              <w:snapToGrid w:val="0"/>
              <w:spacing w:line="500" w:lineRule="exact"/>
              <w:ind w:firstLine="480" w:firstLineChars="200"/>
              <w:rPr>
                <w:rFonts w:hAnsi="宋体"/>
                <w:b/>
                <w:bCs/>
              </w:rPr>
            </w:pPr>
            <w:r>
              <w:rPr>
                <w:rFonts w:hAnsi="宋体"/>
                <w:sz w:val="24"/>
              </w:rPr>
              <w:t>厂界噪声排放执行《工业企业厂界环境噪声排放标准》（</w:t>
            </w:r>
            <w:r>
              <w:rPr>
                <w:sz w:val="24"/>
              </w:rPr>
              <w:t>GB12348-2008</w:t>
            </w:r>
            <w:r>
              <w:rPr>
                <w:rFonts w:hAnsi="宋体"/>
                <w:sz w:val="24"/>
              </w:rPr>
              <w:t>）中的</w:t>
            </w:r>
            <w:r>
              <w:rPr>
                <w:sz w:val="24"/>
              </w:rPr>
              <w:t>3</w:t>
            </w:r>
            <w:r>
              <w:rPr>
                <w:rFonts w:hAnsi="宋体"/>
                <w:sz w:val="24"/>
              </w:rPr>
              <w:t>类标准，见表</w:t>
            </w:r>
            <w:r>
              <w:rPr>
                <w:sz w:val="24"/>
              </w:rPr>
              <w:t>3.3-</w:t>
            </w:r>
            <w:r>
              <w:rPr>
                <w:rFonts w:hint="eastAsia"/>
                <w:sz w:val="24"/>
                <w:lang w:val="en-US" w:eastAsia="zh-CN"/>
              </w:rPr>
              <w:t>5</w:t>
            </w:r>
            <w:r>
              <w:rPr>
                <w:rFonts w:hAnsi="宋体"/>
                <w:sz w:val="24"/>
              </w:rPr>
              <w:t>。</w:t>
            </w:r>
          </w:p>
          <w:p>
            <w:pPr>
              <w:spacing w:line="460" w:lineRule="exact"/>
              <w:ind w:firstLine="422" w:firstLineChars="200"/>
              <w:jc w:val="center"/>
              <w:rPr>
                <w:b/>
                <w:bCs/>
              </w:rPr>
            </w:pPr>
            <w:r>
              <w:rPr>
                <w:rFonts w:hAnsi="宋体"/>
                <w:b/>
                <w:bCs/>
              </w:rPr>
              <w:t>表</w:t>
            </w:r>
            <w:r>
              <w:rPr>
                <w:b/>
                <w:bCs/>
              </w:rPr>
              <w:t>3.3-</w:t>
            </w:r>
            <w:r>
              <w:rPr>
                <w:rFonts w:hint="eastAsia"/>
                <w:b/>
                <w:bCs/>
                <w:lang w:val="en-US" w:eastAsia="zh-CN"/>
              </w:rPr>
              <w:t>5</w:t>
            </w:r>
            <w:r>
              <w:rPr>
                <w:b/>
                <w:bCs/>
              </w:rPr>
              <w:t xml:space="preserve">  </w:t>
            </w:r>
            <w:r>
              <w:rPr>
                <w:rFonts w:hAnsi="宋体"/>
                <w:b/>
                <w:bCs/>
              </w:rPr>
              <w:t>《工业企业厂界环境噪声排放标准》（</w:t>
            </w:r>
            <w:r>
              <w:rPr>
                <w:b/>
                <w:bCs/>
              </w:rPr>
              <w:t>GB12348-2008</w:t>
            </w:r>
            <w:r>
              <w:rPr>
                <w:rFonts w:hAnsi="宋体"/>
                <w:b/>
                <w:bCs/>
              </w:rPr>
              <w:t>）</w:t>
            </w:r>
            <w:r>
              <w:rPr>
                <w:b/>
                <w:bCs/>
              </w:rPr>
              <w:t>3</w:t>
            </w:r>
            <w:r>
              <w:rPr>
                <w:rFonts w:hAnsi="宋体"/>
                <w:b/>
                <w:bCs/>
              </w:rPr>
              <w:t>类标准</w:t>
            </w:r>
          </w:p>
          <w:tbl>
            <w:tblPr>
              <w:tblStyle w:val="40"/>
              <w:tblW w:w="82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740"/>
              <w:gridCol w:w="2740"/>
              <w:gridCol w:w="27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835" w:type="dxa"/>
                  <w:tcBorders>
                    <w:top w:val="single" w:color="auto" w:sz="6" w:space="0"/>
                    <w:left w:val="single" w:color="auto" w:sz="6" w:space="0"/>
                    <w:bottom w:val="single" w:color="auto" w:sz="6" w:space="0"/>
                    <w:right w:val="single" w:color="auto" w:sz="6" w:space="0"/>
                  </w:tcBorders>
                  <w:vAlign w:val="center"/>
                </w:tcPr>
                <w:p>
                  <w:pPr>
                    <w:pStyle w:val="117"/>
                    <w:adjustRightInd w:val="0"/>
                    <w:rPr>
                      <w:bCs/>
                      <w:spacing w:val="0"/>
                      <w:sz w:val="21"/>
                      <w:szCs w:val="21"/>
                    </w:rPr>
                  </w:pPr>
                  <w:r>
                    <w:rPr>
                      <w:rFonts w:hAnsi="宋体"/>
                      <w:bCs/>
                      <w:spacing w:val="0"/>
                      <w:sz w:val="21"/>
                      <w:szCs w:val="21"/>
                    </w:rPr>
                    <w:t>标准类别</w:t>
                  </w:r>
                </w:p>
              </w:tc>
              <w:tc>
                <w:tcPr>
                  <w:tcW w:w="2835" w:type="dxa"/>
                  <w:tcBorders>
                    <w:top w:val="single" w:color="auto" w:sz="6" w:space="0"/>
                    <w:left w:val="single" w:color="auto" w:sz="6" w:space="0"/>
                    <w:bottom w:val="single" w:color="auto" w:sz="6" w:space="0"/>
                    <w:right w:val="single" w:color="auto" w:sz="6" w:space="0"/>
                  </w:tcBorders>
                  <w:vAlign w:val="center"/>
                </w:tcPr>
                <w:p>
                  <w:pPr>
                    <w:pStyle w:val="117"/>
                    <w:adjustRightInd w:val="0"/>
                    <w:rPr>
                      <w:spacing w:val="0"/>
                      <w:sz w:val="21"/>
                      <w:szCs w:val="21"/>
                    </w:rPr>
                  </w:pPr>
                  <w:r>
                    <w:rPr>
                      <w:rFonts w:hAnsi="宋体"/>
                      <w:spacing w:val="0"/>
                      <w:sz w:val="21"/>
                      <w:szCs w:val="21"/>
                    </w:rPr>
                    <w:t>昼</w:t>
                  </w:r>
                  <w:r>
                    <w:rPr>
                      <w:spacing w:val="0"/>
                      <w:sz w:val="21"/>
                      <w:szCs w:val="21"/>
                    </w:rPr>
                    <w:t xml:space="preserve"> </w:t>
                  </w:r>
                  <w:r>
                    <w:rPr>
                      <w:rFonts w:hAnsi="宋体"/>
                      <w:spacing w:val="0"/>
                      <w:sz w:val="21"/>
                      <w:szCs w:val="21"/>
                    </w:rPr>
                    <w:t>间</w:t>
                  </w:r>
                </w:p>
              </w:tc>
              <w:tc>
                <w:tcPr>
                  <w:tcW w:w="2835" w:type="dxa"/>
                  <w:tcBorders>
                    <w:top w:val="single" w:color="auto" w:sz="6" w:space="0"/>
                    <w:left w:val="single" w:color="auto" w:sz="6" w:space="0"/>
                    <w:bottom w:val="single" w:color="auto" w:sz="6" w:space="0"/>
                    <w:right w:val="single" w:color="auto" w:sz="6" w:space="0"/>
                  </w:tcBorders>
                  <w:vAlign w:val="center"/>
                </w:tcPr>
                <w:p>
                  <w:pPr>
                    <w:pStyle w:val="117"/>
                    <w:adjustRightInd w:val="0"/>
                    <w:rPr>
                      <w:spacing w:val="0"/>
                      <w:sz w:val="21"/>
                      <w:szCs w:val="21"/>
                    </w:rPr>
                  </w:pPr>
                  <w:r>
                    <w:rPr>
                      <w:rFonts w:hAnsi="宋体"/>
                      <w:spacing w:val="0"/>
                      <w:sz w:val="21"/>
                      <w:szCs w:val="21"/>
                    </w:rPr>
                    <w:t>夜</w:t>
                  </w:r>
                  <w:r>
                    <w:rPr>
                      <w:spacing w:val="0"/>
                      <w:sz w:val="21"/>
                      <w:szCs w:val="21"/>
                    </w:rPr>
                    <w:t xml:space="preserve"> </w:t>
                  </w:r>
                  <w:r>
                    <w:rPr>
                      <w:rFonts w:hAnsi="宋体"/>
                      <w:spacing w:val="0"/>
                      <w:sz w:val="21"/>
                      <w:szCs w:val="21"/>
                    </w:rPr>
                    <w:t>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835" w:type="dxa"/>
                  <w:tcBorders>
                    <w:top w:val="single" w:color="auto" w:sz="6" w:space="0"/>
                    <w:left w:val="single" w:color="auto" w:sz="6" w:space="0"/>
                    <w:bottom w:val="single" w:color="auto" w:sz="6" w:space="0"/>
                    <w:right w:val="single" w:color="auto" w:sz="6" w:space="0"/>
                  </w:tcBorders>
                  <w:vAlign w:val="center"/>
                </w:tcPr>
                <w:p>
                  <w:pPr>
                    <w:pStyle w:val="117"/>
                    <w:adjustRightInd w:val="0"/>
                    <w:rPr>
                      <w:bCs/>
                      <w:spacing w:val="0"/>
                      <w:sz w:val="21"/>
                      <w:szCs w:val="21"/>
                    </w:rPr>
                  </w:pPr>
                  <w:r>
                    <w:rPr>
                      <w:bCs/>
                      <w:spacing w:val="0"/>
                      <w:sz w:val="21"/>
                      <w:szCs w:val="21"/>
                    </w:rPr>
                    <w:t>3</w:t>
                  </w:r>
                  <w:r>
                    <w:rPr>
                      <w:rFonts w:hAnsi="宋体"/>
                      <w:bCs/>
                      <w:spacing w:val="0"/>
                      <w:sz w:val="21"/>
                      <w:szCs w:val="21"/>
                    </w:rPr>
                    <w:t>类标准值，</w:t>
                  </w:r>
                  <w:r>
                    <w:rPr>
                      <w:sz w:val="21"/>
                      <w:szCs w:val="21"/>
                    </w:rPr>
                    <w:t>dB(A)</w:t>
                  </w:r>
                </w:p>
              </w:tc>
              <w:tc>
                <w:tcPr>
                  <w:tcW w:w="283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65</w:t>
                  </w:r>
                </w:p>
              </w:tc>
              <w:tc>
                <w:tcPr>
                  <w:tcW w:w="283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szCs w:val="21"/>
                    </w:rPr>
                    <w:t>55</w:t>
                  </w:r>
                </w:p>
              </w:tc>
            </w:tr>
          </w:tbl>
          <w:p>
            <w:pPr>
              <w:spacing w:line="500" w:lineRule="exact"/>
              <w:ind w:firstLine="480" w:firstLineChars="200"/>
              <w:rPr>
                <w:sz w:val="24"/>
              </w:rPr>
            </w:pPr>
            <w:r>
              <w:rPr>
                <w:rFonts w:hAnsi="宋体"/>
                <w:sz w:val="24"/>
              </w:rPr>
              <w:t>（</w:t>
            </w:r>
            <w:r>
              <w:rPr>
                <w:rFonts w:hint="eastAsia"/>
                <w:sz w:val="24"/>
              </w:rPr>
              <w:t>4</w:t>
            </w:r>
            <w:r>
              <w:rPr>
                <w:rFonts w:hAnsi="宋体"/>
                <w:sz w:val="24"/>
              </w:rPr>
              <w:t>）固废</w:t>
            </w:r>
          </w:p>
          <w:p>
            <w:pPr>
              <w:pStyle w:val="5"/>
              <w:spacing w:line="500" w:lineRule="exact"/>
              <w:rPr>
                <w:szCs w:val="20"/>
              </w:rPr>
            </w:pPr>
            <w:r>
              <w:rPr>
                <w:szCs w:val="22"/>
              </w:rPr>
              <w:t>a</w:t>
            </w:r>
            <w:r>
              <w:rPr>
                <w:rFonts w:hAnsi="宋体"/>
                <w:szCs w:val="22"/>
              </w:rPr>
              <w:t>）一般固废执行《一般工业固体废物贮存和填埋污染控制标准》（</w:t>
            </w:r>
            <w:r>
              <w:rPr>
                <w:szCs w:val="22"/>
              </w:rPr>
              <w:t>GB18599-2020</w:t>
            </w:r>
            <w:r>
              <w:rPr>
                <w:rFonts w:hAnsi="宋体"/>
                <w:szCs w:val="22"/>
              </w:rPr>
              <w:t>），其中采用库房、包装工具（罐、桶、包装袋等）贮存一般工业固体废物过程的污染控制，不适用《一般工业固体废物贮存和填埋污染控制标准》（</w:t>
            </w:r>
            <w:r>
              <w:rPr>
                <w:szCs w:val="22"/>
              </w:rPr>
              <w:t>GB 18599-2020</w:t>
            </w:r>
            <w:r>
              <w:rPr>
                <w:rFonts w:hAnsi="宋体"/>
                <w:szCs w:val="22"/>
              </w:rPr>
              <w:t>），其贮存过程应满足相应防渗漏、防雨淋、防扬尘等环境保护要求</w:t>
            </w:r>
            <w:r>
              <w:rPr>
                <w:rFonts w:hAnsi="宋体"/>
                <w:szCs w:val="20"/>
              </w:rPr>
              <w:t>。且执行</w:t>
            </w:r>
            <w:r>
              <w:rPr>
                <w:rFonts w:hAnsi="宋体"/>
                <w:szCs w:val="22"/>
              </w:rPr>
              <w:t>《一般固体废物分类与代码》（</w:t>
            </w:r>
            <w:r>
              <w:rPr>
                <w:szCs w:val="22"/>
              </w:rPr>
              <w:t>GB/T39198-2020</w:t>
            </w:r>
            <w:r>
              <w:rPr>
                <w:rFonts w:hAnsi="宋体"/>
                <w:szCs w:val="22"/>
              </w:rPr>
              <w:t>）和《中华人民共和国固体废物污染环境防治法》（</w:t>
            </w:r>
            <w:r>
              <w:rPr>
                <w:szCs w:val="22"/>
              </w:rPr>
              <w:t>2020</w:t>
            </w:r>
            <w:r>
              <w:rPr>
                <w:rFonts w:hAnsi="宋体"/>
                <w:szCs w:val="22"/>
              </w:rPr>
              <w:t>年修订版）中的有关规定。</w:t>
            </w:r>
          </w:p>
          <w:p>
            <w:pPr>
              <w:pStyle w:val="5"/>
              <w:spacing w:line="500" w:lineRule="exact"/>
              <w:rPr>
                <w:b/>
                <w:bCs/>
              </w:rPr>
            </w:pPr>
            <w:r>
              <w:t>b</w:t>
            </w:r>
            <w:r>
              <w:rPr>
                <w:rFonts w:hAnsi="宋体"/>
              </w:rPr>
              <w:t>）危险废物执行《危险废物贮存污染控制标准》（</w:t>
            </w:r>
            <w:r>
              <w:t>GB18597-2001</w:t>
            </w:r>
            <w:r>
              <w:rPr>
                <w:rFonts w:hAnsi="宋体"/>
              </w:rPr>
              <w:t>）。</w:t>
            </w:r>
          </w:p>
          <w:p>
            <w:pPr>
              <w:spacing w:line="500" w:lineRule="exact"/>
              <w:rPr>
                <w:sz w:val="24"/>
              </w:rPr>
            </w:pPr>
            <w:r>
              <w:rPr>
                <w:b/>
                <w:bCs/>
                <w:sz w:val="24"/>
              </w:rPr>
              <w:t>3.3.2</w:t>
            </w:r>
            <w:r>
              <w:rPr>
                <w:rFonts w:hAnsi="宋体"/>
                <w:b/>
                <w:bCs/>
                <w:sz w:val="24"/>
              </w:rPr>
              <w:t>本项目污染物排放控制标准</w:t>
            </w:r>
          </w:p>
          <w:p>
            <w:pPr>
              <w:adjustRightInd w:val="0"/>
              <w:snapToGrid w:val="0"/>
              <w:spacing w:line="500" w:lineRule="exact"/>
              <w:ind w:firstLine="480" w:firstLineChars="200"/>
              <w:rPr>
                <w:sz w:val="24"/>
              </w:rPr>
            </w:pPr>
            <w:r>
              <w:rPr>
                <w:rFonts w:hAnsi="宋体"/>
                <w:sz w:val="24"/>
              </w:rPr>
              <w:t>（</w:t>
            </w:r>
            <w:r>
              <w:rPr>
                <w:sz w:val="24"/>
              </w:rPr>
              <w:t>1</w:t>
            </w:r>
            <w:r>
              <w:rPr>
                <w:rFonts w:hAnsi="宋体"/>
                <w:sz w:val="24"/>
              </w:rPr>
              <w:t>）废气</w:t>
            </w:r>
          </w:p>
          <w:p>
            <w:pPr>
              <w:adjustRightInd w:val="0"/>
              <w:snapToGrid w:val="0"/>
              <w:spacing w:line="500" w:lineRule="exact"/>
              <w:ind w:firstLine="480" w:firstLineChars="200"/>
              <w:rPr>
                <w:rFonts w:hint="eastAsia" w:eastAsia="宋体"/>
                <w:sz w:val="24"/>
                <w:lang w:eastAsia="zh-CN"/>
              </w:rPr>
            </w:pPr>
            <w:r>
              <w:rPr>
                <w:sz w:val="24"/>
              </w:rPr>
              <w:t>a</w:t>
            </w:r>
            <w:r>
              <w:rPr>
                <w:rFonts w:hAnsi="宋体"/>
                <w:sz w:val="24"/>
              </w:rPr>
              <w:t>）</w:t>
            </w:r>
            <w:r>
              <w:rPr>
                <w:rFonts w:hint="eastAsia" w:hAnsi="宋体"/>
                <w:sz w:val="24"/>
                <w:lang w:eastAsia="zh-CN"/>
              </w:rPr>
              <w:t>织造粉尘、加弹废气</w:t>
            </w:r>
          </w:p>
          <w:p>
            <w:pPr>
              <w:adjustRightInd w:val="0"/>
              <w:snapToGrid w:val="0"/>
              <w:spacing w:line="500" w:lineRule="exact"/>
              <w:ind w:firstLine="480" w:firstLineChars="200"/>
              <w:rPr>
                <w:rFonts w:hAnsi="宋体"/>
                <w:sz w:val="24"/>
              </w:rPr>
            </w:pPr>
            <w:r>
              <w:rPr>
                <w:rFonts w:hint="eastAsia" w:hAnsi="宋体"/>
                <w:sz w:val="24"/>
                <w:lang w:eastAsia="zh-CN"/>
              </w:rPr>
              <w:t>营运期加弹废气</w:t>
            </w:r>
            <w:r>
              <w:rPr>
                <w:rFonts w:hAnsi="宋体"/>
                <w:sz w:val="24"/>
              </w:rPr>
              <w:t>主要污染因子</w:t>
            </w:r>
            <w:r>
              <w:rPr>
                <w:rFonts w:hint="eastAsia" w:hAnsi="宋体"/>
                <w:sz w:val="24"/>
                <w:lang w:eastAsia="zh-CN"/>
              </w:rPr>
              <w:t>颗粒物和非甲烷总</w:t>
            </w:r>
            <w:r>
              <w:rPr>
                <w:rFonts w:hAnsi="宋体"/>
                <w:sz w:val="24"/>
              </w:rPr>
              <w:t>排放执行</w:t>
            </w:r>
            <w:r>
              <w:rPr>
                <w:rFonts w:hAnsi="宋体"/>
                <w:sz w:val="24"/>
                <w:highlight w:val="none"/>
              </w:rPr>
              <w:t>《大气污染物综合排放标准》</w:t>
            </w:r>
            <w:r>
              <w:rPr>
                <w:rFonts w:hAnsi="宋体"/>
                <w:sz w:val="24"/>
              </w:rPr>
              <w:t>（</w:t>
            </w:r>
            <w:r>
              <w:rPr>
                <w:sz w:val="24"/>
              </w:rPr>
              <w:t>GB16297-1996</w:t>
            </w:r>
            <w:r>
              <w:rPr>
                <w:rFonts w:hAnsi="宋体"/>
                <w:sz w:val="24"/>
              </w:rPr>
              <w:t>）中表</w:t>
            </w:r>
            <w:r>
              <w:rPr>
                <w:sz w:val="24"/>
              </w:rPr>
              <w:t>2</w:t>
            </w:r>
            <w:r>
              <w:rPr>
                <w:rFonts w:hAnsi="宋体"/>
                <w:sz w:val="24"/>
              </w:rPr>
              <w:t>中的排放限值</w:t>
            </w:r>
            <w:r>
              <w:rPr>
                <w:rFonts w:hint="eastAsia" w:hAnsi="宋体"/>
                <w:sz w:val="24"/>
                <w:lang w:eastAsia="zh-CN"/>
              </w:rPr>
              <w:t>，具体</w:t>
            </w:r>
            <w:r>
              <w:rPr>
                <w:rFonts w:hAnsi="宋体"/>
                <w:sz w:val="24"/>
              </w:rPr>
              <w:t>见表</w:t>
            </w:r>
            <w:r>
              <w:rPr>
                <w:sz w:val="24"/>
              </w:rPr>
              <w:t>3.3-</w:t>
            </w:r>
            <w:r>
              <w:rPr>
                <w:rFonts w:hint="eastAsia"/>
                <w:sz w:val="24"/>
                <w:lang w:val="en-US" w:eastAsia="zh-CN"/>
              </w:rPr>
              <w:t>6</w:t>
            </w:r>
            <w:r>
              <w:rPr>
                <w:rFonts w:hAnsi="宋体"/>
                <w:sz w:val="24"/>
              </w:rPr>
              <w:t>。</w:t>
            </w:r>
          </w:p>
          <w:p>
            <w:pPr>
              <w:spacing w:line="500" w:lineRule="exact"/>
              <w:ind w:firstLine="482"/>
              <w:jc w:val="center"/>
              <w:rPr>
                <w:sz w:val="24"/>
              </w:rPr>
            </w:pPr>
            <w:r>
              <w:rPr>
                <w:rFonts w:hAnsi="宋体"/>
                <w:b/>
                <w:szCs w:val="21"/>
              </w:rPr>
              <w:t>表</w:t>
            </w:r>
            <w:r>
              <w:rPr>
                <w:b/>
                <w:szCs w:val="21"/>
              </w:rPr>
              <w:t>3.3-</w:t>
            </w:r>
            <w:r>
              <w:rPr>
                <w:rFonts w:hint="eastAsia"/>
                <w:b/>
                <w:szCs w:val="21"/>
                <w:lang w:val="en-US" w:eastAsia="zh-CN"/>
              </w:rPr>
              <w:t>6</w:t>
            </w:r>
            <w:r>
              <w:rPr>
                <w:b/>
                <w:szCs w:val="21"/>
              </w:rPr>
              <w:t xml:space="preserve">  </w:t>
            </w:r>
            <w:r>
              <w:rPr>
                <w:rFonts w:hAnsi="宋体"/>
                <w:b/>
                <w:szCs w:val="21"/>
              </w:rPr>
              <w:t>《大气污染物综合排放标准》（</w:t>
            </w:r>
            <w:r>
              <w:rPr>
                <w:b/>
                <w:szCs w:val="21"/>
              </w:rPr>
              <w:t>GB16297-1996</w:t>
            </w:r>
            <w:r>
              <w:rPr>
                <w:rFonts w:hAnsi="宋体"/>
                <w:b/>
                <w:szCs w:val="21"/>
              </w:rPr>
              <w:t>）</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563"/>
              <w:gridCol w:w="1466"/>
              <w:gridCol w:w="1284"/>
              <w:gridCol w:w="1209"/>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4" w:type="dxa"/>
                  <w:vMerge w:val="restar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b w:val="0"/>
                      <w:bCs/>
                      <w:szCs w:val="21"/>
                    </w:rPr>
                  </w:pPr>
                  <w:r>
                    <w:rPr>
                      <w:rFonts w:ascii="Times New Roman" w:hAnsi="Times New Roman" w:eastAsia="宋体" w:cs="Times New Roman"/>
                      <w:b w:val="0"/>
                      <w:bCs/>
                      <w:szCs w:val="21"/>
                    </w:rPr>
                    <w:t>污染物</w:t>
                  </w:r>
                </w:p>
              </w:tc>
              <w:tc>
                <w:tcPr>
                  <w:tcW w:w="1615" w:type="dxa"/>
                  <w:vMerge w:val="restar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b w:val="0"/>
                      <w:bCs/>
                      <w:szCs w:val="21"/>
                    </w:rPr>
                  </w:pPr>
                  <w:r>
                    <w:rPr>
                      <w:rFonts w:ascii="Times New Roman" w:hAnsi="Times New Roman" w:eastAsia="宋体" w:cs="Times New Roman"/>
                      <w:b w:val="0"/>
                      <w:bCs/>
                      <w:szCs w:val="21"/>
                    </w:rPr>
                    <w:t>最高允许排放浓度（</w:t>
                  </w:r>
                  <w:r>
                    <w:rPr>
                      <w:rFonts w:ascii="Times New Roman" w:hAnsi="Times New Roman" w:eastAsia="宋体" w:cs="Times New Roman"/>
                      <w:b w:val="0"/>
                      <w:bCs/>
                      <w:kern w:val="0"/>
                      <w:szCs w:val="21"/>
                    </w:rPr>
                    <w:t>mg/m</w:t>
                  </w:r>
                  <w:r>
                    <w:rPr>
                      <w:rFonts w:ascii="Times New Roman" w:hAnsi="Times New Roman" w:eastAsia="宋体" w:cs="Times New Roman"/>
                      <w:b w:val="0"/>
                      <w:bCs/>
                      <w:kern w:val="0"/>
                      <w:szCs w:val="21"/>
                      <w:vertAlign w:val="superscript"/>
                    </w:rPr>
                    <w:t>3</w:t>
                  </w:r>
                  <w:r>
                    <w:rPr>
                      <w:rFonts w:ascii="Times New Roman" w:hAnsi="Times New Roman" w:eastAsia="宋体" w:cs="Times New Roman"/>
                      <w:b w:val="0"/>
                      <w:bCs/>
                      <w:szCs w:val="21"/>
                    </w:rPr>
                    <w:t>）</w:t>
                  </w:r>
                </w:p>
              </w:tc>
              <w:tc>
                <w:tcPr>
                  <w:tcW w:w="2847" w:type="dxa"/>
                  <w:gridSpan w:val="2"/>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b w:val="0"/>
                      <w:bCs/>
                      <w:szCs w:val="21"/>
                    </w:rPr>
                  </w:pPr>
                  <w:r>
                    <w:rPr>
                      <w:rFonts w:ascii="Times New Roman" w:hAnsi="Times New Roman" w:eastAsia="宋体" w:cs="Times New Roman"/>
                      <w:b w:val="0"/>
                      <w:bCs/>
                      <w:szCs w:val="21"/>
                    </w:rPr>
                    <w:t>最高允许排放速率（kg/h）</w:t>
                  </w:r>
                </w:p>
              </w:tc>
              <w:tc>
                <w:tcPr>
                  <w:tcW w:w="2768" w:type="dxa"/>
                  <w:gridSpan w:val="2"/>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b w:val="0"/>
                      <w:bCs/>
                      <w:szCs w:val="21"/>
                    </w:rPr>
                  </w:pPr>
                  <w:r>
                    <w:rPr>
                      <w:rFonts w:ascii="Times New Roman" w:hAnsi="Times New Roman" w:eastAsia="宋体" w:cs="Times New Roman"/>
                      <w:b w:val="0"/>
                      <w:bCs/>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val="0"/>
                      <w:bCs/>
                      <w:szCs w:val="21"/>
                    </w:rPr>
                  </w:pPr>
                </w:p>
              </w:tc>
              <w:tc>
                <w:tcPr>
                  <w:tcW w:w="16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val="0"/>
                      <w:bCs/>
                      <w:szCs w:val="21"/>
                    </w:rPr>
                  </w:pPr>
                </w:p>
              </w:tc>
              <w:tc>
                <w:tcPr>
                  <w:tcW w:w="1518"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b w:val="0"/>
                      <w:bCs/>
                      <w:szCs w:val="21"/>
                    </w:rPr>
                  </w:pPr>
                  <w:r>
                    <w:rPr>
                      <w:rFonts w:ascii="Times New Roman" w:hAnsi="Times New Roman" w:eastAsia="宋体" w:cs="Times New Roman"/>
                      <w:b w:val="0"/>
                      <w:bCs/>
                      <w:szCs w:val="21"/>
                    </w:rPr>
                    <w:t>排气筒高度（m）</w:t>
                  </w:r>
                </w:p>
              </w:tc>
              <w:tc>
                <w:tcPr>
                  <w:tcW w:w="132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b w:val="0"/>
                      <w:bCs/>
                      <w:szCs w:val="21"/>
                    </w:rPr>
                  </w:pPr>
                  <w:r>
                    <w:rPr>
                      <w:rFonts w:ascii="Times New Roman" w:hAnsi="Times New Roman" w:eastAsia="宋体" w:cs="Times New Roman"/>
                      <w:b w:val="0"/>
                      <w:bCs/>
                      <w:szCs w:val="21"/>
                    </w:rPr>
                    <w:t>二级标准</w:t>
                  </w:r>
                </w:p>
              </w:tc>
              <w:tc>
                <w:tcPr>
                  <w:tcW w:w="1252"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b w:val="0"/>
                      <w:bCs/>
                      <w:szCs w:val="21"/>
                    </w:rPr>
                  </w:pPr>
                  <w:r>
                    <w:rPr>
                      <w:rFonts w:ascii="Times New Roman" w:hAnsi="Times New Roman" w:eastAsia="宋体" w:cs="Times New Roman"/>
                      <w:b w:val="0"/>
                      <w:bCs/>
                      <w:szCs w:val="21"/>
                    </w:rPr>
                    <w:t>监控点</w:t>
                  </w:r>
                </w:p>
              </w:tc>
              <w:tc>
                <w:tcPr>
                  <w:tcW w:w="151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b w:val="0"/>
                      <w:bCs/>
                      <w:szCs w:val="21"/>
                    </w:rPr>
                  </w:pPr>
                  <w:r>
                    <w:rPr>
                      <w:rFonts w:ascii="Times New Roman" w:hAnsi="Times New Roman" w:eastAsia="宋体" w:cs="Times New Roman"/>
                      <w:b w:val="0"/>
                      <w:bCs/>
                      <w:szCs w:val="21"/>
                    </w:rPr>
                    <w:t>浓度</w:t>
                  </w:r>
                </w:p>
                <w:p>
                  <w:pPr>
                    <w:jc w:val="center"/>
                    <w:rPr>
                      <w:rFonts w:ascii="Times New Roman" w:hAnsi="Times New Roman" w:eastAsia="宋体" w:cs="Times New Roman"/>
                      <w:b w:val="0"/>
                      <w:bCs/>
                      <w:szCs w:val="21"/>
                    </w:rPr>
                  </w:pPr>
                  <w:r>
                    <w:rPr>
                      <w:rFonts w:ascii="Times New Roman" w:hAnsi="Times New Roman" w:eastAsia="宋体" w:cs="Times New Roman"/>
                      <w:b w:val="0"/>
                      <w:bCs/>
                      <w:szCs w:val="21"/>
                    </w:rPr>
                    <w:t>（</w:t>
                  </w:r>
                  <w:r>
                    <w:rPr>
                      <w:rFonts w:ascii="Times New Roman" w:hAnsi="Times New Roman" w:eastAsia="宋体" w:cs="Times New Roman"/>
                      <w:b w:val="0"/>
                      <w:bCs/>
                      <w:kern w:val="0"/>
                      <w:szCs w:val="21"/>
                    </w:rPr>
                    <w:t>mg/m</w:t>
                  </w:r>
                  <w:r>
                    <w:rPr>
                      <w:rFonts w:ascii="Times New Roman" w:hAnsi="Times New Roman" w:eastAsia="宋体" w:cs="Times New Roman"/>
                      <w:b w:val="0"/>
                      <w:bCs/>
                      <w:kern w:val="0"/>
                      <w:szCs w:val="21"/>
                      <w:vertAlign w:val="superscript"/>
                    </w:rPr>
                    <w:t>3</w:t>
                  </w:r>
                  <w:r>
                    <w:rPr>
                      <w:rFonts w:ascii="Times New Roman" w:hAnsi="Times New Roman" w:eastAsia="宋体" w:cs="Times New Roman"/>
                      <w:b w:val="0"/>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4"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161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w:t>
                  </w:r>
                </w:p>
              </w:tc>
              <w:tc>
                <w:tcPr>
                  <w:tcW w:w="1518"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20</w:t>
                  </w:r>
                </w:p>
              </w:tc>
              <w:tc>
                <w:tcPr>
                  <w:tcW w:w="132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17</w:t>
                  </w:r>
                </w:p>
              </w:tc>
              <w:tc>
                <w:tcPr>
                  <w:tcW w:w="1252" w:type="dxa"/>
                  <w:vMerge w:val="restart"/>
                  <w:tcBorders>
                    <w:top w:val="single" w:color="auto" w:sz="4" w:space="0"/>
                    <w:left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周界外</w:t>
                  </w:r>
                </w:p>
                <w:p>
                  <w:pPr>
                    <w:jc w:val="center"/>
                    <w:rPr>
                      <w:rFonts w:ascii="Times New Roman" w:hAnsi="Times New Roman" w:eastAsia="宋体" w:cs="Times New Roman"/>
                      <w:szCs w:val="21"/>
                    </w:rPr>
                  </w:pPr>
                  <w:r>
                    <w:rPr>
                      <w:rFonts w:ascii="Times New Roman" w:hAnsi="Times New Roman" w:eastAsia="宋体" w:cs="Times New Roman"/>
                      <w:szCs w:val="21"/>
                    </w:rPr>
                    <w:t>浓度最高点</w:t>
                  </w:r>
                </w:p>
              </w:tc>
              <w:tc>
                <w:tcPr>
                  <w:tcW w:w="151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4"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颗粒物</w:t>
                  </w:r>
                </w:p>
              </w:tc>
              <w:tc>
                <w:tcPr>
                  <w:tcW w:w="1615"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hint="default" w:ascii="Times New Roman" w:hAnsi="Times New Roman" w:eastAsia="宋体" w:cs="Times New Roman"/>
                      <w:szCs w:val="21"/>
                      <w:lang w:val="en-US" w:eastAsia="zh-CN"/>
                    </w:rPr>
                  </w:pPr>
                  <w:r>
                    <w:rPr>
                      <w:rFonts w:hint="eastAsia"/>
                      <w:lang w:val="en-US" w:eastAsia="zh-CN"/>
                    </w:rPr>
                    <w:t>150</w:t>
                  </w:r>
                </w:p>
              </w:tc>
              <w:tc>
                <w:tcPr>
                  <w:tcW w:w="1518"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20</w:t>
                  </w:r>
                </w:p>
              </w:tc>
              <w:tc>
                <w:tcPr>
                  <w:tcW w:w="1329"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5.9</w:t>
                  </w:r>
                </w:p>
              </w:tc>
              <w:tc>
                <w:tcPr>
                  <w:tcW w:w="1252" w:type="dxa"/>
                  <w:vMerge w:val="continue"/>
                  <w:tcBorders>
                    <w:left w:val="single" w:color="auto" w:sz="4" w:space="0"/>
                    <w:right w:val="single" w:color="auto" w:sz="4" w:space="0"/>
                  </w:tcBorders>
                  <w:tcMar>
                    <w:top w:w="0" w:type="dxa"/>
                    <w:left w:w="51" w:type="dxa"/>
                    <w:bottom w:w="0" w:type="dxa"/>
                    <w:right w:w="51" w:type="dxa"/>
                  </w:tcMar>
                  <w:vAlign w:val="center"/>
                </w:tcPr>
                <w:p>
                  <w:pPr>
                    <w:jc w:val="center"/>
                    <w:rPr>
                      <w:rFonts w:ascii="Times New Roman" w:hAnsi="Times New Roman" w:eastAsia="宋体" w:cs="Times New Roman"/>
                      <w:szCs w:val="21"/>
                    </w:rPr>
                  </w:pPr>
                </w:p>
              </w:tc>
              <w:tc>
                <w:tcPr>
                  <w:tcW w:w="1516"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4" w:type="dxa"/>
                  <w:gridSpan w:val="6"/>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rPr>
                      <w:rFonts w:ascii="Times New Roman" w:hAnsi="Times New Roman" w:eastAsia="宋体" w:cs="Times New Roman"/>
                      <w:szCs w:val="21"/>
                    </w:rPr>
                  </w:pPr>
                  <w:r>
                    <w:rPr>
                      <w:rFonts w:ascii="Times New Roman" w:hAnsi="Times New Roman" w:eastAsia="宋体" w:cs="Times New Roman"/>
                      <w:szCs w:val="21"/>
                    </w:rPr>
                    <w:t>注：根据《大气污染物综合排放标准》（GB16297-1996），排气筒高度除须遵守表列排放速率标准值外，还应高出周围200米半径范围的建筑5米以上，不能达到该要求的排气筒，应按其高度对应的表列排放速率标准值严格50%执行。</w:t>
                  </w:r>
                </w:p>
              </w:tc>
            </w:tr>
          </w:tbl>
          <w:p>
            <w:pPr>
              <w:pStyle w:val="333"/>
              <w:rPr>
                <w:rFonts w:hint="eastAsia"/>
                <w:highlight w:val="none"/>
              </w:rPr>
            </w:pPr>
            <w:r>
              <w:rPr>
                <w:rFonts w:hint="eastAsia"/>
                <w:highlight w:val="none"/>
              </w:rPr>
              <w:t>臭气浓度排放执行《恶臭污染物排放标准》（GB14554-93）中相关排放限值，具体见表3.3-</w:t>
            </w:r>
            <w:r>
              <w:rPr>
                <w:rFonts w:hint="eastAsia"/>
                <w:highlight w:val="none"/>
                <w:lang w:val="en-US" w:eastAsia="zh-CN"/>
              </w:rPr>
              <w:t>7</w:t>
            </w:r>
            <w:r>
              <w:rPr>
                <w:rFonts w:hint="eastAsia"/>
                <w:highlight w:val="none"/>
              </w:rPr>
              <w:t>。</w:t>
            </w:r>
          </w:p>
          <w:p>
            <w:pPr>
              <w:pStyle w:val="329"/>
              <w:rPr>
                <w:rFonts w:hAnsi="Times New Roman"/>
                <w:color w:val="000000"/>
                <w:highlight w:val="none"/>
              </w:rPr>
            </w:pPr>
            <w:r>
              <w:rPr>
                <w:rFonts w:hAnsi="Times New Roman"/>
                <w:color w:val="000000"/>
                <w:highlight w:val="none"/>
              </w:rPr>
              <w:t>表</w:t>
            </w:r>
            <w:r>
              <w:rPr>
                <w:rFonts w:hint="eastAsia" w:hAnsi="Times New Roman"/>
                <w:color w:val="000000"/>
                <w:highlight w:val="none"/>
              </w:rPr>
              <w:t>3.3-</w:t>
            </w:r>
            <w:r>
              <w:rPr>
                <w:rFonts w:hint="eastAsia" w:hAnsi="Times New Roman"/>
                <w:color w:val="000000"/>
                <w:highlight w:val="none"/>
                <w:lang w:val="en-US" w:eastAsia="zh-CN"/>
              </w:rPr>
              <w:t>7</w:t>
            </w:r>
            <w:r>
              <w:rPr>
                <w:rFonts w:hint="eastAsia" w:hAnsi="Times New Roman"/>
                <w:color w:val="000000"/>
                <w:highlight w:val="none"/>
              </w:rPr>
              <w:t xml:space="preserve">  </w:t>
            </w:r>
            <w:r>
              <w:rPr>
                <w:rFonts w:hint="eastAsia"/>
                <w:highlight w:val="none"/>
              </w:rPr>
              <w:t>《恶臭污染物排放标准》（GB14554-93）</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036"/>
              <w:gridCol w:w="1560"/>
              <w:gridCol w:w="2080"/>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dxa"/>
                  <w:noWrap w:val="0"/>
                  <w:vAlign w:val="center"/>
                </w:tcPr>
                <w:p>
                  <w:pPr>
                    <w:jc w:val="center"/>
                    <w:rPr>
                      <w:highlight w:val="none"/>
                    </w:rPr>
                  </w:pPr>
                  <w:r>
                    <w:rPr>
                      <w:highlight w:val="none"/>
                    </w:rPr>
                    <w:t>序号</w:t>
                  </w:r>
                </w:p>
              </w:tc>
              <w:tc>
                <w:tcPr>
                  <w:tcW w:w="2036" w:type="dxa"/>
                  <w:noWrap w:val="0"/>
                  <w:tcMar>
                    <w:left w:w="51" w:type="dxa"/>
                    <w:right w:w="51" w:type="dxa"/>
                  </w:tcMar>
                  <w:vAlign w:val="center"/>
                </w:tcPr>
                <w:p>
                  <w:pPr>
                    <w:jc w:val="center"/>
                    <w:rPr>
                      <w:rFonts w:hint="eastAsia"/>
                      <w:highlight w:val="none"/>
                    </w:rPr>
                  </w:pPr>
                  <w:r>
                    <w:rPr>
                      <w:rFonts w:hint="eastAsia"/>
                      <w:highlight w:val="none"/>
                    </w:rPr>
                    <w:t>控制项目</w:t>
                  </w:r>
                </w:p>
              </w:tc>
              <w:tc>
                <w:tcPr>
                  <w:tcW w:w="1560" w:type="dxa"/>
                  <w:noWrap w:val="0"/>
                  <w:tcMar>
                    <w:left w:w="51" w:type="dxa"/>
                    <w:right w:w="51" w:type="dxa"/>
                  </w:tcMar>
                  <w:vAlign w:val="center"/>
                </w:tcPr>
                <w:p>
                  <w:pPr>
                    <w:jc w:val="center"/>
                    <w:rPr>
                      <w:rFonts w:hint="eastAsia"/>
                      <w:highlight w:val="none"/>
                    </w:rPr>
                  </w:pPr>
                  <w:r>
                    <w:rPr>
                      <w:rFonts w:hint="eastAsia"/>
                      <w:highlight w:val="none"/>
                    </w:rPr>
                    <w:t>排气筒高度</w:t>
                  </w:r>
                </w:p>
              </w:tc>
              <w:tc>
                <w:tcPr>
                  <w:tcW w:w="2080" w:type="dxa"/>
                  <w:noWrap w:val="0"/>
                  <w:vAlign w:val="center"/>
                </w:tcPr>
                <w:p>
                  <w:pPr>
                    <w:jc w:val="center"/>
                    <w:rPr>
                      <w:rFonts w:hint="eastAsia"/>
                      <w:highlight w:val="none"/>
                    </w:rPr>
                  </w:pPr>
                  <w:r>
                    <w:rPr>
                      <w:rFonts w:hint="eastAsia"/>
                      <w:highlight w:val="none"/>
                    </w:rPr>
                    <w:t>有组织排放标准值</w:t>
                  </w:r>
                </w:p>
              </w:tc>
              <w:tc>
                <w:tcPr>
                  <w:tcW w:w="1837" w:type="dxa"/>
                  <w:noWrap w:val="0"/>
                  <w:vAlign w:val="center"/>
                </w:tcPr>
                <w:p>
                  <w:pPr>
                    <w:jc w:val="center"/>
                    <w:rPr>
                      <w:rFonts w:hint="eastAsia"/>
                      <w:highlight w:val="none"/>
                    </w:rPr>
                  </w:pPr>
                  <w:r>
                    <w:rPr>
                      <w:rFonts w:hint="eastAsia"/>
                      <w:highlight w:val="none"/>
                    </w:rPr>
                    <w:t>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707" w:type="dxa"/>
                  <w:noWrap w:val="0"/>
                  <w:vAlign w:val="center"/>
                </w:tcPr>
                <w:p>
                  <w:pPr>
                    <w:jc w:val="center"/>
                    <w:rPr>
                      <w:highlight w:val="none"/>
                    </w:rPr>
                  </w:pPr>
                  <w:r>
                    <w:rPr>
                      <w:highlight w:val="none"/>
                    </w:rPr>
                    <w:t>1</w:t>
                  </w:r>
                </w:p>
              </w:tc>
              <w:tc>
                <w:tcPr>
                  <w:tcW w:w="2036" w:type="dxa"/>
                  <w:noWrap w:val="0"/>
                  <w:tcMar>
                    <w:left w:w="51" w:type="dxa"/>
                    <w:right w:w="51" w:type="dxa"/>
                  </w:tcMar>
                  <w:vAlign w:val="center"/>
                </w:tcPr>
                <w:p>
                  <w:pPr>
                    <w:jc w:val="center"/>
                    <w:rPr>
                      <w:rFonts w:hint="eastAsia"/>
                      <w:highlight w:val="none"/>
                    </w:rPr>
                  </w:pPr>
                  <w:r>
                    <w:rPr>
                      <w:rFonts w:hint="eastAsia"/>
                      <w:highlight w:val="none"/>
                    </w:rPr>
                    <w:t>臭气浓度（无量纲）</w:t>
                  </w:r>
                </w:p>
              </w:tc>
              <w:tc>
                <w:tcPr>
                  <w:tcW w:w="1560" w:type="dxa"/>
                  <w:noWrap w:val="0"/>
                  <w:tcMar>
                    <w:left w:w="51" w:type="dxa"/>
                    <w:right w:w="51" w:type="dxa"/>
                  </w:tcMar>
                  <w:vAlign w:val="center"/>
                </w:tcPr>
                <w:p>
                  <w:pPr>
                    <w:jc w:val="center"/>
                    <w:rPr>
                      <w:highlight w:val="none"/>
                    </w:rPr>
                  </w:pPr>
                  <w:r>
                    <w:rPr>
                      <w:rFonts w:hint="eastAsia"/>
                      <w:highlight w:val="none"/>
                      <w:lang w:val="en-US" w:eastAsia="zh-CN"/>
                    </w:rPr>
                    <w:t>20</w:t>
                  </w:r>
                  <w:r>
                    <w:rPr>
                      <w:rFonts w:hint="eastAsia"/>
                      <w:highlight w:val="none"/>
                    </w:rPr>
                    <w:t>m</w:t>
                  </w:r>
                </w:p>
              </w:tc>
              <w:tc>
                <w:tcPr>
                  <w:tcW w:w="2080" w:type="dxa"/>
                  <w:noWrap w:val="0"/>
                  <w:vAlign w:val="center"/>
                </w:tcPr>
                <w:p>
                  <w:pPr>
                    <w:jc w:val="center"/>
                    <w:rPr>
                      <w:rFonts w:hint="eastAsia" w:eastAsia="宋体"/>
                      <w:highlight w:val="none"/>
                      <w:lang w:val="en-US" w:eastAsia="zh-CN"/>
                    </w:rPr>
                  </w:pPr>
                  <w:r>
                    <w:rPr>
                      <w:rFonts w:hint="eastAsia"/>
                      <w:highlight w:val="none"/>
                      <w:lang w:val="en-US" w:eastAsia="zh-CN"/>
                    </w:rPr>
                    <w:t>4000*</w:t>
                  </w:r>
                </w:p>
              </w:tc>
              <w:tc>
                <w:tcPr>
                  <w:tcW w:w="1837" w:type="dxa"/>
                  <w:noWrap w:val="0"/>
                  <w:vAlign w:val="center"/>
                </w:tcPr>
                <w:p>
                  <w:pPr>
                    <w:jc w:val="center"/>
                    <w:rPr>
                      <w:highlight w:val="none"/>
                    </w:rPr>
                  </w:pPr>
                  <w:r>
                    <w:rPr>
                      <w:rFonts w:hint="eastAsia"/>
                      <w:highlight w:val="none"/>
                    </w:rPr>
                    <w:t>20</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sz w:val="24"/>
                <w:lang w:val="en-US" w:eastAsia="zh-CN"/>
              </w:rPr>
            </w:pPr>
            <w:r>
              <w:rPr>
                <w:rFonts w:hint="eastAsia"/>
                <w:sz w:val="21"/>
                <w:szCs w:val="21"/>
                <w:lang w:val="en-US" w:eastAsia="zh-CN"/>
              </w:rPr>
              <w:t>*</w:t>
            </w:r>
            <w:r>
              <w:rPr>
                <w:rFonts w:hint="eastAsia"/>
                <w:sz w:val="21"/>
                <w:szCs w:val="21"/>
                <w:lang w:eastAsia="zh-CN"/>
              </w:rPr>
              <w:t>注：臭气浓度有组织排放限值由内插法计算得到。</w:t>
            </w:r>
          </w:p>
          <w:p>
            <w:pPr>
              <w:adjustRightInd w:val="0"/>
              <w:snapToGrid w:val="0"/>
              <w:spacing w:line="500" w:lineRule="exact"/>
              <w:ind w:firstLine="480" w:firstLineChars="200"/>
              <w:rPr>
                <w:rFonts w:hint="eastAsia" w:eastAsia="宋体"/>
                <w:sz w:val="24"/>
                <w:lang w:eastAsia="zh-CN"/>
              </w:rPr>
            </w:pPr>
            <w:r>
              <w:rPr>
                <w:rFonts w:hint="eastAsia"/>
                <w:sz w:val="24"/>
                <w:lang w:val="en-US" w:eastAsia="zh-CN"/>
              </w:rPr>
              <w:t>b</w:t>
            </w:r>
            <w:r>
              <w:rPr>
                <w:rFonts w:hAnsi="宋体"/>
                <w:sz w:val="24"/>
              </w:rPr>
              <w:t>）</w:t>
            </w:r>
            <w:r>
              <w:rPr>
                <w:rFonts w:hint="eastAsia" w:hAnsi="宋体"/>
                <w:sz w:val="24"/>
                <w:lang w:eastAsia="zh-CN"/>
              </w:rPr>
              <w:t>有机废气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sz w:val="24"/>
                <w:szCs w:val="24"/>
                <w:lang w:val="en-US" w:eastAsia="zh-CN"/>
              </w:rPr>
            </w:pPr>
            <w:r>
              <w:rPr>
                <w:rFonts w:hint="eastAsia"/>
                <w:sz w:val="24"/>
                <w:szCs w:val="24"/>
                <w:lang w:eastAsia="zh-CN"/>
              </w:rPr>
              <w:t>整浆并生产线有机废气主要污染物非甲烷总烃、臭气浓度执行《纺织染整工业大气污染物排放标准》（DB33/962-2015）表 1“新建企业排放限值”，具体见下表</w:t>
            </w:r>
            <w:r>
              <w:rPr>
                <w:rFonts w:hint="eastAsia"/>
                <w:sz w:val="24"/>
                <w:szCs w:val="24"/>
                <w:lang w:val="en-US" w:eastAsia="zh-CN"/>
              </w:rPr>
              <w:t>3.3-8。</w:t>
            </w:r>
          </w:p>
          <w:p>
            <w:pPr>
              <w:pStyle w:val="333"/>
              <w:ind w:left="0" w:leftChars="0" w:firstLine="0" w:firstLineChars="0"/>
              <w:jc w:val="center"/>
              <w:rPr>
                <w:rFonts w:hint="eastAsia"/>
                <w:b/>
                <w:bCs/>
                <w:color w:val="000000"/>
                <w:sz w:val="21"/>
                <w:szCs w:val="21"/>
                <w:lang w:val="en-US" w:eastAsia="zh-CN"/>
              </w:rPr>
            </w:pPr>
            <w:r>
              <w:rPr>
                <w:rFonts w:hint="eastAsia"/>
                <w:b/>
                <w:bCs/>
                <w:color w:val="000000"/>
                <w:sz w:val="21"/>
                <w:szCs w:val="21"/>
                <w:lang w:eastAsia="zh-CN"/>
              </w:rPr>
              <w:t>表</w:t>
            </w:r>
            <w:r>
              <w:rPr>
                <w:rFonts w:hint="eastAsia"/>
                <w:b/>
                <w:bCs/>
                <w:color w:val="000000"/>
                <w:sz w:val="21"/>
                <w:szCs w:val="21"/>
                <w:lang w:val="en-US" w:eastAsia="zh-CN"/>
              </w:rPr>
              <w:t>3.3-8  《纺织染整工业大气污染物排放标准》（DB33/962-2015）标准</w:t>
            </w:r>
          </w:p>
          <w:p>
            <w:pPr>
              <w:pStyle w:val="333"/>
              <w:ind w:left="0" w:leftChars="0" w:firstLine="0" w:firstLineChars="0"/>
              <w:jc w:val="right"/>
              <w:rPr>
                <w:rFonts w:hint="default"/>
                <w:b/>
                <w:bCs/>
                <w:color w:val="000000"/>
                <w:sz w:val="21"/>
                <w:szCs w:val="21"/>
                <w:lang w:val="en-US" w:eastAsia="zh-CN"/>
              </w:rPr>
            </w:pPr>
            <w:r>
              <w:rPr>
                <w:rFonts w:hint="eastAsia"/>
                <w:b/>
                <w:bCs/>
                <w:color w:val="000000"/>
                <w:sz w:val="21"/>
                <w:szCs w:val="21"/>
                <w:lang w:val="en-US" w:eastAsia="zh-CN"/>
              </w:rPr>
              <w:t>单位：mg/m</w:t>
            </w:r>
            <w:r>
              <w:rPr>
                <w:rFonts w:hint="eastAsia"/>
                <w:b/>
                <w:bCs/>
                <w:color w:val="000000"/>
                <w:sz w:val="21"/>
                <w:szCs w:val="21"/>
                <w:vertAlign w:val="superscript"/>
                <w:lang w:val="en-US" w:eastAsia="zh-CN"/>
              </w:rPr>
              <w:t>3</w:t>
            </w:r>
          </w:p>
          <w:tbl>
            <w:tblPr>
              <w:tblStyle w:val="4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668"/>
              <w:gridCol w:w="1788"/>
              <w:gridCol w:w="1500"/>
              <w:gridCol w:w="2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序号</w:t>
                  </w:r>
                </w:p>
              </w:tc>
              <w:tc>
                <w:tcPr>
                  <w:tcW w:w="1668"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污染物项目</w:t>
                  </w:r>
                </w:p>
              </w:tc>
              <w:tc>
                <w:tcPr>
                  <w:tcW w:w="1788"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适用范围</w:t>
                  </w:r>
                </w:p>
              </w:tc>
              <w:tc>
                <w:tcPr>
                  <w:tcW w:w="1500"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排放限值</w:t>
                  </w:r>
                </w:p>
              </w:tc>
              <w:tc>
                <w:tcPr>
                  <w:tcW w:w="2435"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1</w:t>
                  </w:r>
                </w:p>
              </w:tc>
              <w:tc>
                <w:tcPr>
                  <w:tcW w:w="1668"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颗粒物</w:t>
                  </w:r>
                </w:p>
              </w:tc>
              <w:tc>
                <w:tcPr>
                  <w:tcW w:w="1788" w:type="dxa"/>
                  <w:vMerge w:val="restart"/>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所有企业</w:t>
                  </w:r>
                </w:p>
              </w:tc>
              <w:tc>
                <w:tcPr>
                  <w:tcW w:w="1500"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15</w:t>
                  </w:r>
                </w:p>
              </w:tc>
              <w:tc>
                <w:tcPr>
                  <w:tcW w:w="2435" w:type="dxa"/>
                  <w:vMerge w:val="restart"/>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2</w:t>
                  </w:r>
                </w:p>
              </w:tc>
              <w:tc>
                <w:tcPr>
                  <w:tcW w:w="1668"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染整油烟</w:t>
                  </w:r>
                </w:p>
              </w:tc>
              <w:tc>
                <w:tcPr>
                  <w:tcW w:w="1788" w:type="dxa"/>
                  <w:vMerge w:val="continue"/>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p>
              </w:tc>
              <w:tc>
                <w:tcPr>
                  <w:tcW w:w="1500"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15</w:t>
                  </w:r>
                </w:p>
              </w:tc>
              <w:tc>
                <w:tcPr>
                  <w:tcW w:w="2435" w:type="dxa"/>
                  <w:vMerge w:val="continue"/>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3</w:t>
                  </w:r>
                </w:p>
              </w:tc>
              <w:tc>
                <w:tcPr>
                  <w:tcW w:w="1668"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VOCs</w:t>
                  </w:r>
                </w:p>
              </w:tc>
              <w:tc>
                <w:tcPr>
                  <w:tcW w:w="1788" w:type="dxa"/>
                  <w:vMerge w:val="continue"/>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p>
              </w:tc>
              <w:tc>
                <w:tcPr>
                  <w:tcW w:w="1500"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40</w:t>
                  </w:r>
                </w:p>
              </w:tc>
              <w:tc>
                <w:tcPr>
                  <w:tcW w:w="2435" w:type="dxa"/>
                  <w:vMerge w:val="continue"/>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4</w:t>
                  </w:r>
                </w:p>
              </w:tc>
              <w:tc>
                <w:tcPr>
                  <w:tcW w:w="1668"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000000"/>
                      <w:sz w:val="21"/>
                      <w:szCs w:val="21"/>
                      <w:vertAlign w:val="baseline"/>
                      <w:lang w:val="en-US" w:eastAsia="zh-CN"/>
                    </w:rPr>
                  </w:pPr>
                  <w:r>
                    <w:rPr>
                      <w:rFonts w:hint="eastAsia"/>
                      <w:b w:val="0"/>
                      <w:bCs w:val="0"/>
                      <w:color w:val="000000"/>
                      <w:sz w:val="21"/>
                      <w:szCs w:val="21"/>
                      <w:vertAlign w:val="baseline"/>
                      <w:lang w:val="en-US" w:eastAsia="zh-CN"/>
                    </w:rPr>
                    <w:t>臭气浓度</w:t>
                  </w:r>
                </w:p>
              </w:tc>
              <w:tc>
                <w:tcPr>
                  <w:tcW w:w="1788" w:type="dxa"/>
                  <w:vMerge w:val="continue"/>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p>
              </w:tc>
              <w:tc>
                <w:tcPr>
                  <w:tcW w:w="1500" w:type="dxa"/>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300</w:t>
                  </w:r>
                </w:p>
              </w:tc>
              <w:tc>
                <w:tcPr>
                  <w:tcW w:w="2435" w:type="dxa"/>
                  <w:vMerge w:val="continue"/>
                  <w:vAlign w:val="center"/>
                </w:tcPr>
                <w:p>
                  <w:pPr>
                    <w:pStyle w:val="33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000000"/>
                      <w:sz w:val="21"/>
                      <w:szCs w:val="21"/>
                      <w:vertAlign w:val="baseline"/>
                      <w:lang w:val="en-US" w:eastAsia="zh-CN"/>
                    </w:rPr>
                  </w:pPr>
                </w:p>
              </w:tc>
            </w:tr>
          </w:tbl>
          <w:p>
            <w:pPr>
              <w:pStyle w:val="333"/>
              <w:rPr>
                <w:color w:val="000000"/>
              </w:rPr>
            </w:pPr>
            <w:r>
              <w:rPr>
                <w:color w:val="000000"/>
              </w:rPr>
              <w:t>企业厂区内VOCs无组织排放监控点浓度限值应符合《挥发性有机物无组织排放控制标准》（GB37822-2019）中附录A中表A.1规定的特别排放限值，见表3.3-</w:t>
            </w:r>
            <w:r>
              <w:rPr>
                <w:rFonts w:hint="eastAsia"/>
                <w:color w:val="000000"/>
                <w:lang w:val="en-US" w:eastAsia="zh-CN"/>
              </w:rPr>
              <w:t>9</w:t>
            </w:r>
            <w:r>
              <w:rPr>
                <w:color w:val="000000"/>
              </w:rPr>
              <w:t>。</w:t>
            </w:r>
          </w:p>
          <w:p>
            <w:pPr>
              <w:pStyle w:val="334"/>
              <w:rPr>
                <w:color w:val="000000"/>
              </w:rPr>
            </w:pPr>
            <w:r>
              <w:rPr>
                <w:color w:val="000000"/>
              </w:rPr>
              <w:t>表3.3-</w:t>
            </w:r>
            <w:r>
              <w:rPr>
                <w:rFonts w:hint="eastAsia"/>
                <w:color w:val="000000"/>
                <w:lang w:val="en-US" w:eastAsia="zh-CN"/>
              </w:rPr>
              <w:t>9</w:t>
            </w:r>
            <w:r>
              <w:rPr>
                <w:color w:val="000000"/>
              </w:rPr>
              <w:t xml:space="preserve">  《挥发性有机物无组织排放控制标准》（GB37822-2019）</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680"/>
              <w:gridCol w:w="2800"/>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noWrap w:val="0"/>
                  <w:vAlign w:val="center"/>
                </w:tcPr>
                <w:p>
                  <w:pPr>
                    <w:jc w:val="center"/>
                    <w:rPr>
                      <w:color w:val="000000"/>
                      <w:szCs w:val="21"/>
                    </w:rPr>
                  </w:pPr>
                  <w:r>
                    <w:rPr>
                      <w:color w:val="000000"/>
                      <w:szCs w:val="21"/>
                    </w:rPr>
                    <w:t>污染物项目</w:t>
                  </w:r>
                </w:p>
              </w:tc>
              <w:tc>
                <w:tcPr>
                  <w:tcW w:w="1622" w:type="dxa"/>
                  <w:noWrap w:val="0"/>
                  <w:vAlign w:val="center"/>
                </w:tcPr>
                <w:p>
                  <w:pPr>
                    <w:jc w:val="center"/>
                    <w:rPr>
                      <w:color w:val="000000"/>
                      <w:szCs w:val="21"/>
                    </w:rPr>
                  </w:pPr>
                  <w:r>
                    <w:rPr>
                      <w:color w:val="000000"/>
                      <w:szCs w:val="21"/>
                    </w:rPr>
                    <w:t>特别排放限值</w:t>
                  </w:r>
                </w:p>
                <w:p>
                  <w:pPr>
                    <w:jc w:val="center"/>
                    <w:rPr>
                      <w:color w:val="000000"/>
                      <w:szCs w:val="21"/>
                    </w:rPr>
                  </w:pPr>
                  <w:r>
                    <w:rPr>
                      <w:color w:val="000000"/>
                      <w:szCs w:val="21"/>
                    </w:rPr>
                    <w:t>（mg/m</w:t>
                  </w:r>
                  <w:r>
                    <w:rPr>
                      <w:color w:val="000000"/>
                      <w:szCs w:val="21"/>
                      <w:vertAlign w:val="superscript"/>
                    </w:rPr>
                    <w:t>3</w:t>
                  </w:r>
                  <w:r>
                    <w:rPr>
                      <w:color w:val="000000"/>
                      <w:szCs w:val="21"/>
                    </w:rPr>
                    <w:t>）</w:t>
                  </w:r>
                </w:p>
              </w:tc>
              <w:tc>
                <w:tcPr>
                  <w:tcW w:w="2704" w:type="dxa"/>
                  <w:noWrap w:val="0"/>
                  <w:vAlign w:val="center"/>
                </w:tcPr>
                <w:p>
                  <w:pPr>
                    <w:jc w:val="center"/>
                    <w:rPr>
                      <w:color w:val="000000"/>
                      <w:szCs w:val="21"/>
                    </w:rPr>
                  </w:pPr>
                  <w:r>
                    <w:rPr>
                      <w:color w:val="000000"/>
                      <w:szCs w:val="21"/>
                    </w:rPr>
                    <w:t>限值含义</w:t>
                  </w:r>
                </w:p>
              </w:tc>
              <w:tc>
                <w:tcPr>
                  <w:tcW w:w="2216" w:type="dxa"/>
                  <w:noWrap w:val="0"/>
                  <w:vAlign w:val="center"/>
                </w:tcPr>
                <w:p>
                  <w:pPr>
                    <w:jc w:val="center"/>
                    <w:rPr>
                      <w:color w:val="000000"/>
                      <w:szCs w:val="21"/>
                    </w:rPr>
                  </w:pPr>
                  <w:r>
                    <w:rPr>
                      <w:color w:val="000000"/>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vMerge w:val="restart"/>
                  <w:noWrap w:val="0"/>
                  <w:vAlign w:val="center"/>
                </w:tcPr>
                <w:p>
                  <w:pPr>
                    <w:jc w:val="center"/>
                    <w:rPr>
                      <w:color w:val="000000"/>
                      <w:szCs w:val="21"/>
                    </w:rPr>
                  </w:pPr>
                  <w:r>
                    <w:rPr>
                      <w:color w:val="000000"/>
                      <w:szCs w:val="21"/>
                    </w:rPr>
                    <w:t>NMHC</w:t>
                  </w:r>
                </w:p>
              </w:tc>
              <w:tc>
                <w:tcPr>
                  <w:tcW w:w="1622" w:type="dxa"/>
                  <w:noWrap w:val="0"/>
                  <w:vAlign w:val="center"/>
                </w:tcPr>
                <w:p>
                  <w:pPr>
                    <w:jc w:val="center"/>
                    <w:rPr>
                      <w:color w:val="000000"/>
                      <w:szCs w:val="21"/>
                    </w:rPr>
                  </w:pPr>
                  <w:r>
                    <w:rPr>
                      <w:color w:val="000000"/>
                      <w:szCs w:val="21"/>
                    </w:rPr>
                    <w:t>6</w:t>
                  </w:r>
                </w:p>
              </w:tc>
              <w:tc>
                <w:tcPr>
                  <w:tcW w:w="2704" w:type="dxa"/>
                  <w:noWrap w:val="0"/>
                  <w:vAlign w:val="center"/>
                </w:tcPr>
                <w:p>
                  <w:pPr>
                    <w:jc w:val="center"/>
                    <w:rPr>
                      <w:color w:val="000000"/>
                      <w:szCs w:val="21"/>
                    </w:rPr>
                  </w:pPr>
                  <w:r>
                    <w:rPr>
                      <w:color w:val="000000"/>
                      <w:szCs w:val="21"/>
                    </w:rPr>
                    <w:t>监控点处1h平均浓度限值</w:t>
                  </w:r>
                </w:p>
              </w:tc>
              <w:tc>
                <w:tcPr>
                  <w:tcW w:w="2216" w:type="dxa"/>
                  <w:vMerge w:val="restart"/>
                  <w:noWrap w:val="0"/>
                  <w:vAlign w:val="center"/>
                </w:tcPr>
                <w:p>
                  <w:pPr>
                    <w:jc w:val="center"/>
                    <w:rPr>
                      <w:color w:val="000000"/>
                      <w:szCs w:val="21"/>
                    </w:rPr>
                  </w:pPr>
                  <w:r>
                    <w:rPr>
                      <w:color w:val="000000"/>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6" w:type="dxa"/>
                  <w:vMerge w:val="continue"/>
                  <w:noWrap w:val="0"/>
                  <w:vAlign w:val="center"/>
                </w:tcPr>
                <w:p>
                  <w:pPr>
                    <w:jc w:val="center"/>
                    <w:rPr>
                      <w:color w:val="000000"/>
                      <w:szCs w:val="21"/>
                    </w:rPr>
                  </w:pPr>
                </w:p>
              </w:tc>
              <w:tc>
                <w:tcPr>
                  <w:tcW w:w="1622" w:type="dxa"/>
                  <w:noWrap w:val="0"/>
                  <w:vAlign w:val="center"/>
                </w:tcPr>
                <w:p>
                  <w:pPr>
                    <w:jc w:val="center"/>
                    <w:rPr>
                      <w:color w:val="000000"/>
                      <w:szCs w:val="21"/>
                    </w:rPr>
                  </w:pPr>
                  <w:r>
                    <w:rPr>
                      <w:color w:val="000000"/>
                      <w:szCs w:val="21"/>
                    </w:rPr>
                    <w:t>20</w:t>
                  </w:r>
                </w:p>
              </w:tc>
              <w:tc>
                <w:tcPr>
                  <w:tcW w:w="2704" w:type="dxa"/>
                  <w:noWrap w:val="0"/>
                  <w:vAlign w:val="center"/>
                </w:tcPr>
                <w:p>
                  <w:pPr>
                    <w:jc w:val="center"/>
                    <w:rPr>
                      <w:color w:val="000000"/>
                      <w:szCs w:val="21"/>
                    </w:rPr>
                  </w:pPr>
                  <w:r>
                    <w:rPr>
                      <w:color w:val="000000"/>
                      <w:szCs w:val="21"/>
                    </w:rPr>
                    <w:t>监控点处任意一次浓度值</w:t>
                  </w:r>
                </w:p>
              </w:tc>
              <w:tc>
                <w:tcPr>
                  <w:tcW w:w="2216" w:type="dxa"/>
                  <w:vMerge w:val="continue"/>
                  <w:noWrap w:val="0"/>
                  <w:vAlign w:val="center"/>
                </w:tcPr>
                <w:p>
                  <w:pPr>
                    <w:jc w:val="center"/>
                    <w:rPr>
                      <w:b/>
                      <w:color w:val="000000"/>
                      <w:szCs w:val="21"/>
                    </w:rPr>
                  </w:pPr>
                </w:p>
              </w:tc>
            </w:tr>
            <w:bookmarkEnd w:id="18"/>
            <w:bookmarkEnd w:id="19"/>
            <w:bookmarkEnd w:id="20"/>
          </w:tbl>
          <w:p>
            <w:pPr>
              <w:pStyle w:val="333"/>
            </w:pPr>
            <w:r>
              <w:rPr>
                <w:rFonts w:hAnsi="宋体"/>
              </w:rPr>
              <w:t>（</w:t>
            </w:r>
            <w:r>
              <w:t>2</w:t>
            </w:r>
            <w:r>
              <w:rPr>
                <w:rFonts w:hAnsi="宋体"/>
              </w:rPr>
              <w:t>）废水</w:t>
            </w:r>
          </w:p>
          <w:p>
            <w:pPr>
              <w:spacing w:line="500" w:lineRule="exact"/>
              <w:ind w:firstLine="480" w:firstLineChars="200"/>
              <w:rPr>
                <w:sz w:val="24"/>
              </w:rPr>
            </w:pPr>
            <w:r>
              <w:rPr>
                <w:rFonts w:hint="eastAsia" w:hAnsi="宋体"/>
                <w:sz w:val="24"/>
                <w:lang w:eastAsia="zh-CN"/>
              </w:rPr>
              <w:t>营运期</w:t>
            </w:r>
            <w:r>
              <w:rPr>
                <w:rFonts w:hAnsi="宋体"/>
                <w:bCs/>
                <w:sz w:val="24"/>
              </w:rPr>
              <w:t>生活污水</w:t>
            </w:r>
            <w:r>
              <w:rPr>
                <w:rFonts w:hAnsi="宋体"/>
                <w:sz w:val="24"/>
              </w:rPr>
              <w:t>经化粪池预处理后</w:t>
            </w:r>
            <w:r>
              <w:rPr>
                <w:rFonts w:hint="eastAsia" w:hAnsi="宋体"/>
                <w:sz w:val="24"/>
              </w:rPr>
              <w:t>纳入当地农村生活污水终端系统处理达标后排放</w:t>
            </w:r>
            <w:r>
              <w:rPr>
                <w:rFonts w:hint="eastAsia" w:hAnsi="宋体"/>
                <w:sz w:val="24"/>
                <w:lang w:eastAsia="zh-CN"/>
              </w:rPr>
              <w:t>，纳管标准见表</w:t>
            </w:r>
            <w:r>
              <w:rPr>
                <w:rFonts w:hint="eastAsia" w:hAnsi="宋体"/>
                <w:sz w:val="24"/>
                <w:lang w:val="en-US" w:eastAsia="zh-CN"/>
              </w:rPr>
              <w:t>3.3-2，排放标准见表3.3-2；</w:t>
            </w:r>
            <w:r>
              <w:rPr>
                <w:rFonts w:hint="eastAsia" w:hAnsi="宋体"/>
                <w:sz w:val="24"/>
                <w:lang w:eastAsia="zh-CN"/>
              </w:rPr>
              <w:t>生产废水单独纳管至长兴虹溪污水处理有限公司虹星桥镇北片工业园区中水回用站集中处理后回用，中水回用标准见表</w:t>
            </w:r>
            <w:r>
              <w:rPr>
                <w:rFonts w:hint="eastAsia" w:hAnsi="宋体"/>
                <w:sz w:val="24"/>
                <w:lang w:val="en-US" w:eastAsia="zh-CN"/>
              </w:rPr>
              <w:t>3.3-4</w:t>
            </w:r>
            <w:r>
              <w:rPr>
                <w:rFonts w:hAnsi="宋体"/>
                <w:sz w:val="24"/>
              </w:rPr>
              <w:t>。</w:t>
            </w:r>
          </w:p>
          <w:p>
            <w:pPr>
              <w:spacing w:line="500" w:lineRule="exact"/>
              <w:ind w:firstLine="480" w:firstLineChars="200"/>
              <w:rPr>
                <w:sz w:val="24"/>
              </w:rPr>
            </w:pPr>
            <w:r>
              <w:rPr>
                <w:rFonts w:hAnsi="宋体"/>
                <w:sz w:val="24"/>
              </w:rPr>
              <w:t>（</w:t>
            </w:r>
            <w:r>
              <w:rPr>
                <w:sz w:val="24"/>
              </w:rPr>
              <w:t>3</w:t>
            </w:r>
            <w:r>
              <w:rPr>
                <w:rFonts w:hAnsi="宋体"/>
                <w:sz w:val="24"/>
              </w:rPr>
              <w:t>）噪声</w:t>
            </w:r>
          </w:p>
          <w:p>
            <w:pPr>
              <w:pStyle w:val="5"/>
              <w:spacing w:line="500" w:lineRule="exact"/>
            </w:pPr>
            <w:bookmarkStart w:id="21" w:name="_Toc10343"/>
            <w:r>
              <w:rPr>
                <w:rFonts w:hAnsi="宋体"/>
              </w:rPr>
              <w:t>本项目</w:t>
            </w:r>
            <w:r>
              <w:rPr>
                <w:rFonts w:hint="eastAsia" w:hAnsi="宋体"/>
                <w:lang w:eastAsia="zh-CN"/>
              </w:rPr>
              <w:t>位于</w:t>
            </w:r>
            <w:r>
              <w:rPr>
                <w:rFonts w:hint="eastAsia" w:hAnsi="宋体"/>
                <w:kern w:val="0"/>
                <w:lang w:eastAsia="zh-CN"/>
              </w:rPr>
              <w:t xml:space="preserve">浙江省长兴县虹星桥镇工业集中区 </w:t>
            </w:r>
            <w:r>
              <w:rPr>
                <w:rFonts w:hAnsi="宋体"/>
                <w:bCs/>
                <w:snapToGrid w:val="0"/>
                <w:kern w:val="0"/>
              </w:rPr>
              <w:t>，位于工业集聚区内，故项目</w:t>
            </w:r>
            <w:r>
              <w:rPr>
                <w:rFonts w:hAnsi="宋体"/>
              </w:rPr>
              <w:t>厂界噪声排放执行《工业企业厂界环境噪声排放标准》（</w:t>
            </w:r>
            <w:r>
              <w:t>GB12348-2008</w:t>
            </w:r>
            <w:r>
              <w:rPr>
                <w:rFonts w:hAnsi="宋体"/>
              </w:rPr>
              <w:t>）中的</w:t>
            </w:r>
            <w:r>
              <w:t>3</w:t>
            </w:r>
            <w:r>
              <w:rPr>
                <w:rFonts w:hAnsi="宋体"/>
              </w:rPr>
              <w:t>类标准，</w:t>
            </w:r>
            <w:r>
              <w:rPr>
                <w:rFonts w:hint="eastAsia" w:hAnsi="宋体"/>
                <w:sz w:val="24"/>
                <w:lang w:eastAsia="zh-CN"/>
              </w:rPr>
              <w:t>与现状企业厂界噪声排放执行标准一致，具体</w:t>
            </w:r>
            <w:r>
              <w:rPr>
                <w:rFonts w:hAnsi="宋体"/>
              </w:rPr>
              <w:t>见表</w:t>
            </w:r>
            <w:r>
              <w:t>3.3-</w:t>
            </w:r>
            <w:r>
              <w:rPr>
                <w:rFonts w:hint="eastAsia"/>
                <w:lang w:val="en-US" w:eastAsia="zh-CN"/>
              </w:rPr>
              <w:t>5</w:t>
            </w:r>
            <w:r>
              <w:rPr>
                <w:rFonts w:hAnsi="宋体"/>
              </w:rPr>
              <w:t>。</w:t>
            </w:r>
            <w:bookmarkEnd w:id="21"/>
          </w:p>
          <w:p>
            <w:pPr>
              <w:spacing w:line="500" w:lineRule="exact"/>
              <w:ind w:firstLine="480" w:firstLineChars="200"/>
              <w:rPr>
                <w:sz w:val="24"/>
              </w:rPr>
            </w:pPr>
            <w:r>
              <w:rPr>
                <w:rFonts w:hAnsi="宋体"/>
                <w:sz w:val="24"/>
              </w:rPr>
              <w:t>（</w:t>
            </w:r>
            <w:r>
              <w:rPr>
                <w:sz w:val="24"/>
              </w:rPr>
              <w:t>4</w:t>
            </w:r>
            <w:r>
              <w:rPr>
                <w:rFonts w:hAnsi="宋体"/>
                <w:sz w:val="24"/>
              </w:rPr>
              <w:t>）固废</w:t>
            </w:r>
          </w:p>
          <w:p>
            <w:pPr>
              <w:pStyle w:val="5"/>
              <w:spacing w:line="500" w:lineRule="exact"/>
              <w:rPr>
                <w:szCs w:val="20"/>
              </w:rPr>
            </w:pPr>
            <w:bookmarkStart w:id="22" w:name="_Toc20139"/>
            <w:r>
              <w:rPr>
                <w:szCs w:val="22"/>
              </w:rPr>
              <w:t>a</w:t>
            </w:r>
            <w:r>
              <w:rPr>
                <w:rFonts w:hAnsi="宋体"/>
                <w:szCs w:val="22"/>
              </w:rPr>
              <w:t>）一般固废执行《一般工业固体废物贮存和填埋污染控制标准》（</w:t>
            </w:r>
            <w:r>
              <w:rPr>
                <w:szCs w:val="22"/>
              </w:rPr>
              <w:t>GB18599-2020</w:t>
            </w:r>
            <w:r>
              <w:rPr>
                <w:rFonts w:hAnsi="宋体"/>
                <w:szCs w:val="22"/>
              </w:rPr>
              <w:t>），其中采用库房、包装工具（罐、桶、包装袋等）贮存一般工业固体废物过程的污染控制，不适用《一般工业固体废物贮存和填埋污染控制标准》（</w:t>
            </w:r>
            <w:r>
              <w:rPr>
                <w:szCs w:val="22"/>
              </w:rPr>
              <w:t>GB 18599-2020</w:t>
            </w:r>
            <w:r>
              <w:rPr>
                <w:rFonts w:hAnsi="宋体"/>
                <w:szCs w:val="22"/>
              </w:rPr>
              <w:t>），其贮存过程应满足相应防渗漏、防雨淋、防扬尘等环境保护要求</w:t>
            </w:r>
            <w:r>
              <w:rPr>
                <w:rFonts w:hAnsi="宋体"/>
                <w:szCs w:val="20"/>
              </w:rPr>
              <w:t>。且执行</w:t>
            </w:r>
            <w:r>
              <w:rPr>
                <w:rFonts w:hAnsi="宋体"/>
                <w:szCs w:val="22"/>
              </w:rPr>
              <w:t>《一般固体废物分类与代码》（</w:t>
            </w:r>
            <w:r>
              <w:rPr>
                <w:szCs w:val="22"/>
              </w:rPr>
              <w:t>GB/T39198-2020</w:t>
            </w:r>
            <w:r>
              <w:rPr>
                <w:rFonts w:hAnsi="宋体"/>
                <w:szCs w:val="22"/>
              </w:rPr>
              <w:t>）和《中华人民共和国固体废物污染环境防治法》（</w:t>
            </w:r>
            <w:r>
              <w:rPr>
                <w:szCs w:val="22"/>
              </w:rPr>
              <w:t>2020</w:t>
            </w:r>
            <w:r>
              <w:rPr>
                <w:rFonts w:hAnsi="宋体"/>
                <w:szCs w:val="22"/>
              </w:rPr>
              <w:t>年修订版）中的有关规定</w:t>
            </w:r>
            <w:bookmarkEnd w:id="22"/>
            <w:bookmarkStart w:id="23" w:name="_Toc26421"/>
            <w:r>
              <w:rPr>
                <w:rFonts w:hAnsi="宋体"/>
                <w:szCs w:val="22"/>
              </w:rPr>
              <w:t>。</w:t>
            </w:r>
          </w:p>
          <w:p>
            <w:pPr>
              <w:pStyle w:val="5"/>
              <w:spacing w:line="500" w:lineRule="exact"/>
              <w:rPr>
                <w:rFonts w:hAnsi="宋体"/>
              </w:rPr>
            </w:pPr>
            <w:r>
              <w:t>b</w:t>
            </w:r>
            <w:r>
              <w:rPr>
                <w:rFonts w:hAnsi="宋体"/>
              </w:rPr>
              <w:t>）危险废物应执行《危险废物贮存污染控制标准》（</w:t>
            </w:r>
            <w:r>
              <w:t>GB18597-2001</w:t>
            </w:r>
            <w:r>
              <w:rPr>
                <w:rFonts w:hAnsi="宋体"/>
              </w:rPr>
              <w:t>）。</w:t>
            </w:r>
            <w:bookmarkEnd w:id="23"/>
          </w:p>
          <w:p>
            <w:pPr>
              <w:pStyle w:val="5"/>
              <w:spacing w:line="500" w:lineRule="exact"/>
              <w:rPr>
                <w:rFonts w:hAnsi="宋体"/>
              </w:rPr>
            </w:pPr>
          </w:p>
          <w:p>
            <w:pPr>
              <w:pStyle w:val="5"/>
              <w:spacing w:line="500" w:lineRule="exact"/>
              <w:rPr>
                <w:rFonts w:hAnsi="宋体"/>
              </w:rPr>
            </w:pPr>
          </w:p>
          <w:p>
            <w:pPr>
              <w:pStyle w:val="5"/>
              <w:spacing w:line="500" w:lineRule="exact"/>
              <w:ind w:left="0" w:leftChars="0" w:firstLine="0" w:firstLineChars="0"/>
              <w:rPr>
                <w:rFonts w:hint="eastAsia" w:eastAsia="宋体"/>
                <w:kern w:val="0"/>
                <w:lang w:eastAsia="zh-CN"/>
              </w:rPr>
            </w:pPr>
          </w:p>
        </w:tc>
      </w:tr>
    </w:tbl>
    <w:p>
      <w:pPr>
        <w:pStyle w:val="39"/>
        <w:ind w:firstLine="0" w:firstLineChars="0"/>
        <w:sectPr>
          <w:pgSz w:w="11906" w:h="16838"/>
          <w:pgMar w:top="1587" w:right="1587" w:bottom="1587" w:left="1587" w:header="851" w:footer="992" w:gutter="0"/>
          <w:pgBorders>
            <w:top w:val="none" w:sz="0" w:space="0"/>
            <w:left w:val="none" w:sz="0" w:space="0"/>
            <w:bottom w:val="none" w:sz="0" w:space="0"/>
            <w:right w:val="none" w:sz="0" w:space="0"/>
          </w:pgBorders>
          <w:cols w:space="0" w:num="1"/>
          <w:docGrid w:linePitch="312" w:charSpace="0"/>
        </w:sectPr>
      </w:pPr>
    </w:p>
    <w:tbl>
      <w:tblPr>
        <w:tblStyle w:val="40"/>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
        <w:gridCol w:w="13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dxa"/>
            <w:vAlign w:val="center"/>
          </w:tcPr>
          <w:p>
            <w:pPr>
              <w:adjustRightInd w:val="0"/>
              <w:snapToGrid w:val="0"/>
              <w:jc w:val="center"/>
              <w:rPr>
                <w:kern w:val="0"/>
                <w:szCs w:val="21"/>
              </w:rPr>
            </w:pPr>
            <w:r>
              <w:rPr>
                <w:rFonts w:hAnsi="宋体"/>
                <w:kern w:val="0"/>
                <w:szCs w:val="21"/>
              </w:rPr>
              <w:t>总</w:t>
            </w:r>
          </w:p>
          <w:p>
            <w:pPr>
              <w:adjustRightInd w:val="0"/>
              <w:snapToGrid w:val="0"/>
              <w:jc w:val="center"/>
              <w:rPr>
                <w:kern w:val="0"/>
                <w:szCs w:val="21"/>
              </w:rPr>
            </w:pPr>
            <w:r>
              <w:rPr>
                <w:rFonts w:hAnsi="宋体"/>
                <w:kern w:val="0"/>
                <w:szCs w:val="21"/>
              </w:rPr>
              <w:t>量</w:t>
            </w:r>
          </w:p>
          <w:p>
            <w:pPr>
              <w:adjustRightInd w:val="0"/>
              <w:snapToGrid w:val="0"/>
              <w:jc w:val="center"/>
              <w:rPr>
                <w:kern w:val="0"/>
                <w:szCs w:val="21"/>
              </w:rPr>
            </w:pPr>
            <w:r>
              <w:rPr>
                <w:rFonts w:hAnsi="宋体"/>
                <w:kern w:val="0"/>
                <w:szCs w:val="21"/>
              </w:rPr>
              <w:t>控</w:t>
            </w:r>
          </w:p>
          <w:p>
            <w:pPr>
              <w:adjustRightInd w:val="0"/>
              <w:snapToGrid w:val="0"/>
              <w:jc w:val="center"/>
              <w:rPr>
                <w:kern w:val="0"/>
                <w:szCs w:val="21"/>
              </w:rPr>
            </w:pPr>
            <w:r>
              <w:rPr>
                <w:rFonts w:hAnsi="宋体"/>
                <w:kern w:val="0"/>
                <w:szCs w:val="21"/>
              </w:rPr>
              <w:t>制</w:t>
            </w:r>
          </w:p>
          <w:p>
            <w:pPr>
              <w:adjustRightInd w:val="0"/>
              <w:snapToGrid w:val="0"/>
              <w:jc w:val="center"/>
              <w:rPr>
                <w:kern w:val="0"/>
                <w:szCs w:val="21"/>
              </w:rPr>
            </w:pPr>
            <w:r>
              <w:rPr>
                <w:rFonts w:hAnsi="宋体"/>
                <w:kern w:val="0"/>
                <w:szCs w:val="21"/>
              </w:rPr>
              <w:t>指</w:t>
            </w:r>
          </w:p>
          <w:p>
            <w:pPr>
              <w:adjustRightInd w:val="0"/>
              <w:snapToGrid w:val="0"/>
              <w:jc w:val="center"/>
              <w:rPr>
                <w:snapToGrid w:val="0"/>
                <w:sz w:val="36"/>
                <w:szCs w:val="36"/>
              </w:rPr>
            </w:pPr>
            <w:r>
              <w:rPr>
                <w:rFonts w:hAnsi="宋体"/>
                <w:kern w:val="0"/>
                <w:szCs w:val="21"/>
              </w:rPr>
              <w:t>标</w:t>
            </w:r>
          </w:p>
        </w:tc>
        <w:tc>
          <w:tcPr>
            <w:tcW w:w="14382" w:type="dxa"/>
          </w:tcPr>
          <w:p>
            <w:pPr>
              <w:spacing w:line="500" w:lineRule="exact"/>
              <w:rPr>
                <w:b/>
                <w:sz w:val="24"/>
              </w:rPr>
            </w:pPr>
            <w:r>
              <w:rPr>
                <w:b/>
                <w:sz w:val="24"/>
              </w:rPr>
              <w:t>3.4</w:t>
            </w:r>
            <w:r>
              <w:rPr>
                <w:rFonts w:hAnsi="宋体"/>
                <w:b/>
                <w:sz w:val="24"/>
              </w:rPr>
              <w:t>总量控制建议</w:t>
            </w:r>
          </w:p>
          <w:p>
            <w:pPr>
              <w:spacing w:line="460" w:lineRule="exact"/>
              <w:ind w:firstLine="480" w:firstLineChars="200"/>
              <w:jc w:val="left"/>
              <w:rPr>
                <w:bCs/>
                <w:sz w:val="24"/>
              </w:rPr>
            </w:pPr>
            <w:r>
              <w:rPr>
                <w:rFonts w:hAnsi="宋体"/>
                <w:bCs/>
                <w:sz w:val="24"/>
              </w:rPr>
              <w:t>企业外排污染物总量控制指标建议值见表</w:t>
            </w:r>
            <w:r>
              <w:rPr>
                <w:bCs/>
                <w:sz w:val="24"/>
              </w:rPr>
              <w:t>3.4-1</w:t>
            </w:r>
            <w:r>
              <w:rPr>
                <w:rFonts w:hAnsi="宋体"/>
                <w:bCs/>
                <w:sz w:val="24"/>
              </w:rPr>
              <w:t>。</w:t>
            </w:r>
          </w:p>
          <w:p>
            <w:pPr>
              <w:spacing w:line="460" w:lineRule="exact"/>
              <w:jc w:val="center"/>
              <w:rPr>
                <w:b/>
                <w:szCs w:val="21"/>
              </w:rPr>
            </w:pPr>
            <w:r>
              <w:rPr>
                <w:rFonts w:hAnsi="宋体"/>
                <w:b/>
                <w:szCs w:val="21"/>
              </w:rPr>
              <w:t>表</w:t>
            </w:r>
            <w:r>
              <w:rPr>
                <w:b/>
                <w:szCs w:val="21"/>
              </w:rPr>
              <w:t xml:space="preserve">3.4-1 </w:t>
            </w:r>
            <w:r>
              <w:rPr>
                <w:rFonts w:hAnsi="宋体"/>
                <w:b/>
                <w:szCs w:val="21"/>
              </w:rPr>
              <w:t>建议总量控制指标（</w:t>
            </w:r>
            <w:r>
              <w:rPr>
                <w:b/>
                <w:szCs w:val="21"/>
              </w:rPr>
              <w:t>t/a</w:t>
            </w:r>
            <w:r>
              <w:rPr>
                <w:rFonts w:hAnsi="宋体"/>
                <w:b/>
                <w:szCs w:val="21"/>
              </w:rPr>
              <w:t>）</w:t>
            </w:r>
          </w:p>
          <w:tbl>
            <w:tblPr>
              <w:tblStyle w:val="40"/>
              <w:tblW w:w="13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884"/>
              <w:gridCol w:w="2186"/>
              <w:gridCol w:w="1018"/>
              <w:gridCol w:w="1266"/>
              <w:gridCol w:w="1602"/>
              <w:gridCol w:w="1215"/>
              <w:gridCol w:w="1215"/>
              <w:gridCol w:w="996"/>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96" w:type="dxa"/>
                  <w:gridSpan w:val="2"/>
                  <w:vMerge w:val="restart"/>
                  <w:vAlign w:val="center"/>
                </w:tcPr>
                <w:p>
                  <w:pPr>
                    <w:adjustRightInd w:val="0"/>
                    <w:snapToGrid w:val="0"/>
                    <w:jc w:val="center"/>
                    <w:rPr>
                      <w:szCs w:val="21"/>
                    </w:rPr>
                  </w:pPr>
                  <w:r>
                    <w:rPr>
                      <w:rFonts w:hAnsi="宋体"/>
                      <w:szCs w:val="21"/>
                    </w:rPr>
                    <w:t>污染物名称</w:t>
                  </w:r>
                </w:p>
              </w:tc>
              <w:tc>
                <w:tcPr>
                  <w:tcW w:w="2186" w:type="dxa"/>
                  <w:vAlign w:val="center"/>
                </w:tcPr>
                <w:p>
                  <w:pPr>
                    <w:adjustRightInd w:val="0"/>
                    <w:snapToGrid w:val="0"/>
                    <w:jc w:val="center"/>
                    <w:rPr>
                      <w:szCs w:val="21"/>
                    </w:rPr>
                  </w:pPr>
                  <w:r>
                    <w:rPr>
                      <w:rFonts w:hint="eastAsia" w:hAnsi="宋体"/>
                      <w:szCs w:val="21"/>
                      <w:lang w:eastAsia="zh-CN"/>
                    </w:rPr>
                    <w:t>原有项目</w:t>
                  </w:r>
                </w:p>
              </w:tc>
              <w:tc>
                <w:tcPr>
                  <w:tcW w:w="3886" w:type="dxa"/>
                  <w:gridSpan w:val="3"/>
                  <w:vAlign w:val="center"/>
                </w:tcPr>
                <w:p>
                  <w:pPr>
                    <w:adjustRightInd w:val="0"/>
                    <w:snapToGrid w:val="0"/>
                    <w:jc w:val="center"/>
                    <w:rPr>
                      <w:szCs w:val="21"/>
                    </w:rPr>
                  </w:pPr>
                  <w:r>
                    <w:rPr>
                      <w:rFonts w:hAnsi="宋体"/>
                      <w:szCs w:val="21"/>
                    </w:rPr>
                    <w:t>本工程</w:t>
                  </w:r>
                </w:p>
              </w:tc>
              <w:tc>
                <w:tcPr>
                  <w:tcW w:w="2430" w:type="dxa"/>
                  <w:gridSpan w:val="2"/>
                  <w:vAlign w:val="center"/>
                </w:tcPr>
                <w:p>
                  <w:pPr>
                    <w:adjustRightInd w:val="0"/>
                    <w:snapToGrid w:val="0"/>
                    <w:jc w:val="center"/>
                    <w:rPr>
                      <w:szCs w:val="21"/>
                    </w:rPr>
                  </w:pPr>
                  <w:r>
                    <w:rPr>
                      <w:rFonts w:hAnsi="宋体"/>
                      <w:szCs w:val="21"/>
                    </w:rPr>
                    <w:t>本项目实施后</w:t>
                  </w:r>
                </w:p>
              </w:tc>
              <w:tc>
                <w:tcPr>
                  <w:tcW w:w="996" w:type="dxa"/>
                  <w:vMerge w:val="restart"/>
                  <w:vAlign w:val="center"/>
                </w:tcPr>
                <w:p>
                  <w:pPr>
                    <w:adjustRightInd w:val="0"/>
                    <w:snapToGrid w:val="0"/>
                    <w:jc w:val="center"/>
                    <w:rPr>
                      <w:szCs w:val="21"/>
                    </w:rPr>
                  </w:pPr>
                  <w:r>
                    <w:rPr>
                      <w:rFonts w:hAnsi="宋体"/>
                      <w:szCs w:val="21"/>
                    </w:rPr>
                    <w:t>建议申</w:t>
                  </w:r>
                </w:p>
                <w:p>
                  <w:pPr>
                    <w:adjustRightInd w:val="0"/>
                    <w:snapToGrid w:val="0"/>
                    <w:jc w:val="center"/>
                    <w:rPr>
                      <w:szCs w:val="21"/>
                    </w:rPr>
                  </w:pPr>
                  <w:r>
                    <w:rPr>
                      <w:rFonts w:hAnsi="宋体"/>
                      <w:szCs w:val="21"/>
                    </w:rPr>
                    <w:t>请总量</w:t>
                  </w:r>
                </w:p>
              </w:tc>
              <w:tc>
                <w:tcPr>
                  <w:tcW w:w="1145" w:type="dxa"/>
                  <w:vMerge w:val="restart"/>
                  <w:vAlign w:val="center"/>
                </w:tcPr>
                <w:p>
                  <w:pPr>
                    <w:adjustRightInd w:val="0"/>
                    <w:snapToGrid w:val="0"/>
                    <w:jc w:val="center"/>
                    <w:rPr>
                      <w:szCs w:val="21"/>
                    </w:rPr>
                  </w:pPr>
                  <w:r>
                    <w:rPr>
                      <w:rFonts w:hAnsi="宋体"/>
                      <w:szCs w:val="21"/>
                    </w:rPr>
                    <w:t>区域平衡替代削减量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96" w:type="dxa"/>
                  <w:gridSpan w:val="2"/>
                  <w:vMerge w:val="continue"/>
                  <w:vAlign w:val="center"/>
                </w:tcPr>
                <w:p>
                  <w:pPr>
                    <w:adjustRightInd w:val="0"/>
                    <w:snapToGrid w:val="0"/>
                    <w:jc w:val="center"/>
                    <w:rPr>
                      <w:szCs w:val="21"/>
                    </w:rPr>
                  </w:pPr>
                </w:p>
              </w:tc>
              <w:tc>
                <w:tcPr>
                  <w:tcW w:w="2186" w:type="dxa"/>
                  <w:vAlign w:val="center"/>
                </w:tcPr>
                <w:p>
                  <w:pPr>
                    <w:adjustRightInd w:val="0"/>
                    <w:snapToGrid w:val="0"/>
                    <w:jc w:val="center"/>
                    <w:rPr>
                      <w:rFonts w:hint="eastAsia" w:eastAsia="宋体"/>
                      <w:szCs w:val="21"/>
                      <w:lang w:eastAsia="zh-CN"/>
                    </w:rPr>
                  </w:pPr>
                  <w:r>
                    <w:rPr>
                      <w:rFonts w:hAnsi="宋体"/>
                      <w:szCs w:val="21"/>
                    </w:rPr>
                    <w:t>排入自然环境的量</w:t>
                  </w:r>
                </w:p>
              </w:tc>
              <w:tc>
                <w:tcPr>
                  <w:tcW w:w="1018" w:type="dxa"/>
                  <w:vAlign w:val="center"/>
                </w:tcPr>
                <w:p>
                  <w:pPr>
                    <w:adjustRightInd w:val="0"/>
                    <w:snapToGrid w:val="0"/>
                    <w:jc w:val="center"/>
                    <w:rPr>
                      <w:szCs w:val="21"/>
                    </w:rPr>
                  </w:pPr>
                  <w:r>
                    <w:rPr>
                      <w:rFonts w:hAnsi="宋体"/>
                      <w:szCs w:val="21"/>
                    </w:rPr>
                    <w:t>产生量</w:t>
                  </w:r>
                </w:p>
              </w:tc>
              <w:tc>
                <w:tcPr>
                  <w:tcW w:w="1266" w:type="dxa"/>
                  <w:vAlign w:val="center"/>
                </w:tcPr>
                <w:p>
                  <w:pPr>
                    <w:adjustRightInd w:val="0"/>
                    <w:snapToGrid w:val="0"/>
                    <w:jc w:val="center"/>
                    <w:rPr>
                      <w:szCs w:val="21"/>
                    </w:rPr>
                  </w:pPr>
                  <w:r>
                    <w:rPr>
                      <w:rFonts w:hAnsi="宋体"/>
                      <w:szCs w:val="21"/>
                    </w:rPr>
                    <w:t>削减量</w:t>
                  </w:r>
                </w:p>
              </w:tc>
              <w:tc>
                <w:tcPr>
                  <w:tcW w:w="1602" w:type="dxa"/>
                  <w:vAlign w:val="center"/>
                </w:tcPr>
                <w:p>
                  <w:pPr>
                    <w:adjustRightInd w:val="0"/>
                    <w:snapToGrid w:val="0"/>
                    <w:jc w:val="center"/>
                    <w:rPr>
                      <w:szCs w:val="21"/>
                    </w:rPr>
                  </w:pPr>
                  <w:r>
                    <w:rPr>
                      <w:rFonts w:hAnsi="宋体"/>
                      <w:szCs w:val="21"/>
                    </w:rPr>
                    <w:t>排入自然环境的量</w:t>
                  </w:r>
                </w:p>
              </w:tc>
              <w:tc>
                <w:tcPr>
                  <w:tcW w:w="1215" w:type="dxa"/>
                  <w:vAlign w:val="center"/>
                </w:tcPr>
                <w:p>
                  <w:pPr>
                    <w:adjustRightInd w:val="0"/>
                    <w:snapToGrid w:val="0"/>
                    <w:jc w:val="center"/>
                    <w:rPr>
                      <w:szCs w:val="21"/>
                    </w:rPr>
                  </w:pPr>
                  <w:r>
                    <w:rPr>
                      <w:rFonts w:hAnsi="宋体"/>
                      <w:szCs w:val="21"/>
                    </w:rPr>
                    <w:t>以新带老削减量</w:t>
                  </w:r>
                </w:p>
              </w:tc>
              <w:tc>
                <w:tcPr>
                  <w:tcW w:w="1215" w:type="dxa"/>
                  <w:vAlign w:val="center"/>
                </w:tcPr>
                <w:p>
                  <w:pPr>
                    <w:adjustRightInd w:val="0"/>
                    <w:snapToGrid w:val="0"/>
                    <w:jc w:val="center"/>
                    <w:rPr>
                      <w:szCs w:val="21"/>
                    </w:rPr>
                  </w:pPr>
                  <w:r>
                    <w:rPr>
                      <w:rFonts w:hAnsi="宋体"/>
                      <w:szCs w:val="21"/>
                    </w:rPr>
                    <w:t>预测排放总量</w:t>
                  </w:r>
                </w:p>
              </w:tc>
              <w:tc>
                <w:tcPr>
                  <w:tcW w:w="996" w:type="dxa"/>
                  <w:vMerge w:val="continue"/>
                  <w:vAlign w:val="center"/>
                </w:tcPr>
                <w:p>
                  <w:pPr>
                    <w:adjustRightInd w:val="0"/>
                    <w:snapToGrid w:val="0"/>
                    <w:jc w:val="center"/>
                    <w:rPr>
                      <w:szCs w:val="21"/>
                    </w:rPr>
                  </w:pPr>
                </w:p>
              </w:tc>
              <w:tc>
                <w:tcPr>
                  <w:tcW w:w="1145"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2" w:type="dxa"/>
                  <w:vMerge w:val="restart"/>
                  <w:vAlign w:val="center"/>
                </w:tcPr>
                <w:p>
                  <w:pPr>
                    <w:adjustRightInd w:val="0"/>
                    <w:snapToGrid w:val="0"/>
                    <w:jc w:val="center"/>
                    <w:rPr>
                      <w:szCs w:val="21"/>
                    </w:rPr>
                  </w:pPr>
                  <w:r>
                    <w:rPr>
                      <w:rFonts w:hAnsi="宋体"/>
                      <w:szCs w:val="21"/>
                    </w:rPr>
                    <w:t>废水</w:t>
                  </w:r>
                </w:p>
              </w:tc>
              <w:tc>
                <w:tcPr>
                  <w:tcW w:w="1884" w:type="dxa"/>
                  <w:vAlign w:val="center"/>
                </w:tcPr>
                <w:p>
                  <w:pPr>
                    <w:adjustRightInd w:val="0"/>
                    <w:snapToGrid w:val="0"/>
                    <w:jc w:val="center"/>
                    <w:rPr>
                      <w:szCs w:val="21"/>
                    </w:rPr>
                  </w:pPr>
                  <w:r>
                    <w:rPr>
                      <w:rFonts w:hAnsi="宋体"/>
                      <w:szCs w:val="21"/>
                    </w:rPr>
                    <w:t>水量</w:t>
                  </w:r>
                </w:p>
              </w:tc>
              <w:tc>
                <w:tcPr>
                  <w:tcW w:w="218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1440</w:t>
                  </w:r>
                </w:p>
              </w:tc>
              <w:tc>
                <w:tcPr>
                  <w:tcW w:w="1018" w:type="dxa"/>
                  <w:vAlign w:val="center"/>
                </w:tcPr>
                <w:p>
                  <w:pPr>
                    <w:widowControl/>
                    <w:adjustRightInd w:val="0"/>
                    <w:snapToGrid w:val="0"/>
                    <w:jc w:val="center"/>
                    <w:rPr>
                      <w:rFonts w:hint="default" w:eastAsia="宋体"/>
                      <w:kern w:val="0"/>
                      <w:szCs w:val="21"/>
                      <w:lang w:val="en-US" w:eastAsia="zh-CN"/>
                    </w:rPr>
                  </w:pPr>
                  <w:r>
                    <w:rPr>
                      <w:rFonts w:hint="eastAsia"/>
                      <w:kern w:val="0"/>
                      <w:szCs w:val="21"/>
                      <w:lang w:val="en-US" w:eastAsia="zh-CN"/>
                    </w:rPr>
                    <w:t>2082000</w:t>
                  </w:r>
                </w:p>
              </w:tc>
              <w:tc>
                <w:tcPr>
                  <w:tcW w:w="1266" w:type="dxa"/>
                  <w:vAlign w:val="center"/>
                </w:tcPr>
                <w:p>
                  <w:pPr>
                    <w:widowControl/>
                    <w:adjustRightInd w:val="0"/>
                    <w:snapToGrid w:val="0"/>
                    <w:jc w:val="center"/>
                    <w:rPr>
                      <w:rFonts w:hint="default" w:eastAsia="宋体"/>
                      <w:szCs w:val="21"/>
                      <w:lang w:val="en-US" w:eastAsia="zh-CN"/>
                    </w:rPr>
                  </w:pPr>
                  <w:r>
                    <w:rPr>
                      <w:rFonts w:hint="eastAsia"/>
                      <w:szCs w:val="21"/>
                      <w:lang w:val="en-US" w:eastAsia="zh-CN"/>
                    </w:rPr>
                    <w:t>207000</w:t>
                  </w:r>
                </w:p>
              </w:tc>
              <w:tc>
                <w:tcPr>
                  <w:tcW w:w="1602" w:type="dxa"/>
                  <w:vAlign w:val="center"/>
                </w:tcPr>
                <w:p>
                  <w:pPr>
                    <w:widowControl/>
                    <w:adjustRightInd w:val="0"/>
                    <w:snapToGrid w:val="0"/>
                    <w:jc w:val="center"/>
                    <w:rPr>
                      <w:rFonts w:hint="default" w:eastAsia="宋体"/>
                      <w:kern w:val="0"/>
                      <w:szCs w:val="21"/>
                      <w:lang w:val="en-US" w:eastAsia="zh-CN"/>
                    </w:rPr>
                  </w:pPr>
                  <w:r>
                    <w:rPr>
                      <w:rFonts w:hint="eastAsia"/>
                      <w:kern w:val="0"/>
                      <w:szCs w:val="21"/>
                      <w:lang w:val="en-US" w:eastAsia="zh-CN"/>
                    </w:rPr>
                    <w:t>1200</w:t>
                  </w:r>
                </w:p>
              </w:tc>
              <w:tc>
                <w:tcPr>
                  <w:tcW w:w="121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1440</w:t>
                  </w:r>
                </w:p>
              </w:tc>
              <w:tc>
                <w:tcPr>
                  <w:tcW w:w="1215" w:type="dxa"/>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1200</w:t>
                  </w:r>
                </w:p>
              </w:tc>
              <w:tc>
                <w:tcPr>
                  <w:tcW w:w="996" w:type="dxa"/>
                  <w:vAlign w:val="center"/>
                </w:tcPr>
                <w:p>
                  <w:pPr>
                    <w:widowControl/>
                    <w:adjustRightInd w:val="0"/>
                    <w:snapToGrid w:val="0"/>
                    <w:jc w:val="center"/>
                    <w:rPr>
                      <w:szCs w:val="21"/>
                    </w:rPr>
                  </w:pPr>
                  <w:r>
                    <w:rPr>
                      <w:szCs w:val="21"/>
                    </w:rPr>
                    <w:t>0</w:t>
                  </w:r>
                </w:p>
              </w:tc>
              <w:tc>
                <w:tcPr>
                  <w:tcW w:w="1145" w:type="dxa"/>
                  <w:vAlign w:val="center"/>
                </w:tcPr>
                <w:p>
                  <w:pPr>
                    <w:adjustRightInd w:val="0"/>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2" w:type="dxa"/>
                  <w:vMerge w:val="continue"/>
                  <w:vAlign w:val="center"/>
                </w:tcPr>
                <w:p>
                  <w:pPr>
                    <w:adjustRightInd w:val="0"/>
                    <w:snapToGrid w:val="0"/>
                    <w:jc w:val="center"/>
                    <w:rPr>
                      <w:szCs w:val="21"/>
                    </w:rPr>
                  </w:pPr>
                </w:p>
              </w:tc>
              <w:tc>
                <w:tcPr>
                  <w:tcW w:w="1884" w:type="dxa"/>
                  <w:vAlign w:val="center"/>
                </w:tcPr>
                <w:p>
                  <w:pPr>
                    <w:adjustRightInd w:val="0"/>
                    <w:snapToGrid w:val="0"/>
                    <w:jc w:val="center"/>
                    <w:rPr>
                      <w:szCs w:val="21"/>
                    </w:rPr>
                  </w:pPr>
                  <w:r>
                    <w:rPr>
                      <w:szCs w:val="21"/>
                    </w:rPr>
                    <w:t>COD</w:t>
                  </w:r>
                  <w:r>
                    <w:rPr>
                      <w:szCs w:val="21"/>
                      <w:vertAlign w:val="subscript"/>
                    </w:rPr>
                    <w:t>Cr</w:t>
                  </w:r>
                </w:p>
              </w:tc>
              <w:tc>
                <w:tcPr>
                  <w:tcW w:w="2186" w:type="dxa"/>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0.072</w:t>
                  </w:r>
                </w:p>
              </w:tc>
              <w:tc>
                <w:tcPr>
                  <w:tcW w:w="1018" w:type="dxa"/>
                  <w:vAlign w:val="center"/>
                </w:tcPr>
                <w:p>
                  <w:pPr>
                    <w:widowControl/>
                    <w:adjustRightInd w:val="0"/>
                    <w:snapToGrid w:val="0"/>
                    <w:jc w:val="center"/>
                    <w:rPr>
                      <w:rFonts w:hint="default" w:eastAsia="宋体"/>
                      <w:kern w:val="0"/>
                      <w:szCs w:val="21"/>
                      <w:lang w:val="en-US" w:eastAsia="zh-CN"/>
                    </w:rPr>
                  </w:pPr>
                  <w:r>
                    <w:rPr>
                      <w:rFonts w:hint="eastAsia"/>
                      <w:kern w:val="0"/>
                      <w:szCs w:val="21"/>
                      <w:lang w:val="en-US" w:eastAsia="zh-CN"/>
                    </w:rPr>
                    <w:t>72.81</w:t>
                  </w:r>
                </w:p>
              </w:tc>
              <w:tc>
                <w:tcPr>
                  <w:tcW w:w="1266" w:type="dxa"/>
                  <w:vAlign w:val="center"/>
                </w:tcPr>
                <w:p>
                  <w:pPr>
                    <w:widowControl/>
                    <w:adjustRightInd w:val="0"/>
                    <w:snapToGrid w:val="0"/>
                    <w:jc w:val="center"/>
                    <w:rPr>
                      <w:rFonts w:hint="default" w:eastAsia="宋体"/>
                      <w:szCs w:val="21"/>
                      <w:lang w:val="en-US" w:eastAsia="zh-CN"/>
                    </w:rPr>
                  </w:pPr>
                  <w:r>
                    <w:rPr>
                      <w:rFonts w:hint="eastAsia"/>
                      <w:szCs w:val="21"/>
                      <w:lang w:val="en-US" w:eastAsia="zh-CN"/>
                    </w:rPr>
                    <w:t>72.69</w:t>
                  </w:r>
                </w:p>
              </w:tc>
              <w:tc>
                <w:tcPr>
                  <w:tcW w:w="1602" w:type="dxa"/>
                  <w:vAlign w:val="center"/>
                </w:tcPr>
                <w:p>
                  <w:pPr>
                    <w:adjustRightInd w:val="0"/>
                    <w:snapToGrid w:val="0"/>
                    <w:jc w:val="center"/>
                    <w:rPr>
                      <w:rFonts w:hint="default" w:eastAsia="宋体"/>
                      <w:szCs w:val="21"/>
                      <w:lang w:val="en-US" w:eastAsia="zh-CN"/>
                    </w:rPr>
                  </w:pPr>
                  <w:r>
                    <w:rPr>
                      <w:rFonts w:hint="eastAsia"/>
                      <w:szCs w:val="21"/>
                      <w:lang w:val="en-US" w:eastAsia="zh-CN"/>
                    </w:rPr>
                    <w:t>0.12</w:t>
                  </w:r>
                </w:p>
              </w:tc>
              <w:tc>
                <w:tcPr>
                  <w:tcW w:w="1215" w:type="dxa"/>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0.072</w:t>
                  </w:r>
                </w:p>
              </w:tc>
              <w:tc>
                <w:tcPr>
                  <w:tcW w:w="1215"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0.12</w:t>
                  </w:r>
                </w:p>
              </w:tc>
              <w:tc>
                <w:tcPr>
                  <w:tcW w:w="996" w:type="dxa"/>
                  <w:vAlign w:val="center"/>
                </w:tcPr>
                <w:p>
                  <w:pPr>
                    <w:widowControl/>
                    <w:adjustRightInd w:val="0"/>
                    <w:snapToGrid w:val="0"/>
                    <w:jc w:val="center"/>
                    <w:rPr>
                      <w:szCs w:val="21"/>
                    </w:rPr>
                  </w:pPr>
                  <w:r>
                    <w:rPr>
                      <w:szCs w:val="21"/>
                    </w:rPr>
                    <w:t>0</w:t>
                  </w:r>
                </w:p>
              </w:tc>
              <w:tc>
                <w:tcPr>
                  <w:tcW w:w="1145" w:type="dxa"/>
                  <w:vAlign w:val="center"/>
                </w:tcPr>
                <w:p>
                  <w:pPr>
                    <w:widowControl/>
                    <w:adjustRightInd w:val="0"/>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2" w:type="dxa"/>
                  <w:vMerge w:val="continue"/>
                  <w:vAlign w:val="center"/>
                </w:tcPr>
                <w:p>
                  <w:pPr>
                    <w:adjustRightInd w:val="0"/>
                    <w:snapToGrid w:val="0"/>
                    <w:jc w:val="center"/>
                    <w:rPr>
                      <w:szCs w:val="21"/>
                    </w:rPr>
                  </w:pPr>
                </w:p>
              </w:tc>
              <w:tc>
                <w:tcPr>
                  <w:tcW w:w="1884" w:type="dxa"/>
                  <w:vAlign w:val="center"/>
                </w:tcPr>
                <w:p>
                  <w:pPr>
                    <w:adjustRightInd w:val="0"/>
                    <w:snapToGrid w:val="0"/>
                    <w:jc w:val="center"/>
                    <w:rPr>
                      <w:szCs w:val="21"/>
                    </w:rPr>
                  </w:pPr>
                  <w:r>
                    <w:rPr>
                      <w:rFonts w:hAnsi="宋体"/>
                      <w:szCs w:val="21"/>
                    </w:rPr>
                    <w:t>氨氮</w:t>
                  </w:r>
                </w:p>
              </w:tc>
              <w:tc>
                <w:tcPr>
                  <w:tcW w:w="218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0.007</w:t>
                  </w:r>
                </w:p>
              </w:tc>
              <w:tc>
                <w:tcPr>
                  <w:tcW w:w="1018" w:type="dxa"/>
                  <w:vAlign w:val="center"/>
                </w:tcPr>
                <w:p>
                  <w:pPr>
                    <w:adjustRightInd w:val="0"/>
                    <w:snapToGrid w:val="0"/>
                    <w:jc w:val="center"/>
                    <w:rPr>
                      <w:rFonts w:hint="default" w:eastAsia="宋体"/>
                      <w:szCs w:val="21"/>
                      <w:lang w:val="en-US" w:eastAsia="zh-CN"/>
                    </w:rPr>
                  </w:pPr>
                  <w:r>
                    <w:rPr>
                      <w:rFonts w:hint="eastAsia"/>
                      <w:szCs w:val="21"/>
                      <w:lang w:val="en-US" w:eastAsia="zh-CN"/>
                    </w:rPr>
                    <w:t>0.036</w:t>
                  </w:r>
                </w:p>
              </w:tc>
              <w:tc>
                <w:tcPr>
                  <w:tcW w:w="1266" w:type="dxa"/>
                  <w:vAlign w:val="center"/>
                </w:tcPr>
                <w:p>
                  <w:pPr>
                    <w:widowControl/>
                    <w:adjustRightInd w:val="0"/>
                    <w:snapToGrid w:val="0"/>
                    <w:jc w:val="center"/>
                    <w:rPr>
                      <w:rFonts w:hint="default" w:eastAsia="宋体"/>
                      <w:szCs w:val="21"/>
                      <w:lang w:val="en-US" w:eastAsia="zh-CN"/>
                    </w:rPr>
                  </w:pPr>
                  <w:r>
                    <w:rPr>
                      <w:rFonts w:hint="eastAsia"/>
                      <w:szCs w:val="21"/>
                      <w:lang w:val="en-US" w:eastAsia="zh-CN"/>
                    </w:rPr>
                    <w:t>0.011</w:t>
                  </w:r>
                </w:p>
              </w:tc>
              <w:tc>
                <w:tcPr>
                  <w:tcW w:w="1602" w:type="dxa"/>
                  <w:vAlign w:val="center"/>
                </w:tcPr>
                <w:p>
                  <w:pPr>
                    <w:adjustRightInd w:val="0"/>
                    <w:snapToGrid w:val="0"/>
                    <w:jc w:val="center"/>
                    <w:rPr>
                      <w:rFonts w:hint="default" w:eastAsia="宋体"/>
                      <w:szCs w:val="21"/>
                      <w:lang w:val="en-US" w:eastAsia="zh-CN"/>
                    </w:rPr>
                  </w:pPr>
                  <w:r>
                    <w:rPr>
                      <w:rFonts w:hint="eastAsia"/>
                      <w:szCs w:val="21"/>
                      <w:lang w:val="en-US" w:eastAsia="zh-CN"/>
                    </w:rPr>
                    <w:t>0.025</w:t>
                  </w:r>
                </w:p>
              </w:tc>
              <w:tc>
                <w:tcPr>
                  <w:tcW w:w="121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0.007</w:t>
                  </w:r>
                </w:p>
              </w:tc>
              <w:tc>
                <w:tcPr>
                  <w:tcW w:w="1215"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0.025</w:t>
                  </w:r>
                </w:p>
              </w:tc>
              <w:tc>
                <w:tcPr>
                  <w:tcW w:w="996" w:type="dxa"/>
                  <w:vAlign w:val="center"/>
                </w:tcPr>
                <w:p>
                  <w:pPr>
                    <w:widowControl/>
                    <w:adjustRightInd w:val="0"/>
                    <w:snapToGrid w:val="0"/>
                    <w:jc w:val="center"/>
                    <w:rPr>
                      <w:szCs w:val="21"/>
                    </w:rPr>
                  </w:pPr>
                  <w:r>
                    <w:rPr>
                      <w:szCs w:val="21"/>
                    </w:rPr>
                    <w:t>0</w:t>
                  </w:r>
                </w:p>
              </w:tc>
              <w:tc>
                <w:tcPr>
                  <w:tcW w:w="1145" w:type="dxa"/>
                  <w:vAlign w:val="center"/>
                </w:tcPr>
                <w:p>
                  <w:pPr>
                    <w:widowControl/>
                    <w:adjustRightInd w:val="0"/>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12" w:type="dxa"/>
                  <w:vAlign w:val="center"/>
                </w:tcPr>
                <w:p>
                  <w:pPr>
                    <w:adjustRightInd w:val="0"/>
                    <w:snapToGrid w:val="0"/>
                    <w:jc w:val="center"/>
                    <w:rPr>
                      <w:rFonts w:hint="eastAsia" w:eastAsia="宋体"/>
                      <w:szCs w:val="21"/>
                      <w:lang w:eastAsia="zh-CN"/>
                    </w:rPr>
                  </w:pPr>
                  <w:r>
                    <w:rPr>
                      <w:rFonts w:hint="eastAsia"/>
                      <w:szCs w:val="21"/>
                      <w:lang w:eastAsia="zh-CN"/>
                    </w:rPr>
                    <w:t>废气</w:t>
                  </w:r>
                </w:p>
              </w:tc>
              <w:tc>
                <w:tcPr>
                  <w:tcW w:w="1884" w:type="dxa"/>
                  <w:vAlign w:val="center"/>
                </w:tcPr>
                <w:p>
                  <w:pPr>
                    <w:adjustRightInd w:val="0"/>
                    <w:snapToGrid w:val="0"/>
                    <w:jc w:val="center"/>
                    <w:rPr>
                      <w:rFonts w:hint="default" w:hAnsi="宋体" w:eastAsia="宋体"/>
                      <w:szCs w:val="21"/>
                      <w:lang w:val="en-US" w:eastAsia="zh-CN"/>
                    </w:rPr>
                  </w:pPr>
                  <w:r>
                    <w:rPr>
                      <w:rFonts w:hint="eastAsia" w:hAnsi="宋体"/>
                      <w:szCs w:val="21"/>
                      <w:lang w:val="en-US" w:eastAsia="zh-CN"/>
                    </w:rPr>
                    <w:t>VOCs</w:t>
                  </w:r>
                </w:p>
              </w:tc>
              <w:tc>
                <w:tcPr>
                  <w:tcW w:w="2186" w:type="dxa"/>
                  <w:vAlign w:val="center"/>
                </w:tcPr>
                <w:p>
                  <w:pPr>
                    <w:adjustRightInd w:val="0"/>
                    <w:snapToGrid w:val="0"/>
                    <w:jc w:val="center"/>
                    <w:rPr>
                      <w:rFonts w:hint="default" w:eastAsia="宋体"/>
                      <w:szCs w:val="21"/>
                      <w:lang w:val="en-US" w:eastAsia="zh-CN"/>
                    </w:rPr>
                  </w:pPr>
                  <w:r>
                    <w:rPr>
                      <w:rFonts w:hint="eastAsia"/>
                      <w:szCs w:val="21"/>
                      <w:lang w:val="en-US" w:eastAsia="zh-CN"/>
                    </w:rPr>
                    <w:t>0.648</w:t>
                  </w:r>
                </w:p>
              </w:tc>
              <w:tc>
                <w:tcPr>
                  <w:tcW w:w="1018" w:type="dxa"/>
                  <w:vAlign w:val="center"/>
                </w:tcPr>
                <w:p>
                  <w:pPr>
                    <w:adjustRightInd w:val="0"/>
                    <w:snapToGrid w:val="0"/>
                    <w:jc w:val="center"/>
                    <w:rPr>
                      <w:rFonts w:hint="default" w:eastAsia="宋体"/>
                      <w:szCs w:val="21"/>
                      <w:lang w:val="en-US" w:eastAsia="zh-CN"/>
                    </w:rPr>
                  </w:pPr>
                  <w:r>
                    <w:rPr>
                      <w:rFonts w:hint="eastAsia"/>
                      <w:szCs w:val="21"/>
                      <w:lang w:val="en-US" w:eastAsia="zh-CN"/>
                    </w:rPr>
                    <w:t>1.128</w:t>
                  </w:r>
                </w:p>
              </w:tc>
              <w:tc>
                <w:tcPr>
                  <w:tcW w:w="1266" w:type="dxa"/>
                  <w:vAlign w:val="center"/>
                </w:tcPr>
                <w:p>
                  <w:pPr>
                    <w:widowControl/>
                    <w:adjustRightInd w:val="0"/>
                    <w:snapToGrid w:val="0"/>
                    <w:jc w:val="center"/>
                    <w:rPr>
                      <w:rFonts w:hint="default" w:eastAsia="宋体"/>
                      <w:szCs w:val="21"/>
                      <w:lang w:val="en-US" w:eastAsia="zh-CN"/>
                    </w:rPr>
                  </w:pPr>
                  <w:r>
                    <w:rPr>
                      <w:rFonts w:hint="eastAsia"/>
                      <w:szCs w:val="21"/>
                      <w:lang w:val="en-US" w:eastAsia="zh-CN"/>
                    </w:rPr>
                    <w:t>0.914</w:t>
                  </w:r>
                </w:p>
              </w:tc>
              <w:tc>
                <w:tcPr>
                  <w:tcW w:w="1602" w:type="dxa"/>
                  <w:vAlign w:val="center"/>
                </w:tcPr>
                <w:p>
                  <w:pPr>
                    <w:adjustRightInd w:val="0"/>
                    <w:snapToGrid w:val="0"/>
                    <w:jc w:val="center"/>
                    <w:rPr>
                      <w:rFonts w:hint="default" w:eastAsia="宋体"/>
                      <w:szCs w:val="21"/>
                      <w:lang w:val="en-US" w:eastAsia="zh-CN"/>
                    </w:rPr>
                  </w:pPr>
                  <w:r>
                    <w:rPr>
                      <w:rFonts w:hint="eastAsia"/>
                      <w:szCs w:val="21"/>
                      <w:lang w:val="en-US" w:eastAsia="zh-CN"/>
                    </w:rPr>
                    <w:t>0.214</w:t>
                  </w:r>
                </w:p>
              </w:tc>
              <w:tc>
                <w:tcPr>
                  <w:tcW w:w="1215" w:type="dxa"/>
                  <w:vAlign w:val="center"/>
                </w:tcPr>
                <w:p>
                  <w:pPr>
                    <w:adjustRightInd w:val="0"/>
                    <w:snapToGrid w:val="0"/>
                    <w:jc w:val="center"/>
                    <w:rPr>
                      <w:rFonts w:hint="default" w:eastAsia="宋体"/>
                      <w:szCs w:val="21"/>
                      <w:lang w:val="en-US" w:eastAsia="zh-CN"/>
                    </w:rPr>
                  </w:pPr>
                  <w:r>
                    <w:rPr>
                      <w:rFonts w:hint="eastAsia"/>
                      <w:szCs w:val="21"/>
                      <w:lang w:val="en-US" w:eastAsia="zh-CN"/>
                    </w:rPr>
                    <w:t>0.648</w:t>
                  </w:r>
                </w:p>
              </w:tc>
              <w:tc>
                <w:tcPr>
                  <w:tcW w:w="1215" w:type="dxa"/>
                  <w:vAlign w:val="center"/>
                </w:tcPr>
                <w:p>
                  <w:pPr>
                    <w:adjustRightInd w:val="0"/>
                    <w:snapToGrid w:val="0"/>
                    <w:jc w:val="center"/>
                    <w:rPr>
                      <w:rFonts w:hint="default" w:eastAsia="宋体"/>
                      <w:szCs w:val="21"/>
                      <w:lang w:val="en-US" w:eastAsia="zh-CN"/>
                    </w:rPr>
                  </w:pPr>
                  <w:r>
                    <w:rPr>
                      <w:rFonts w:hint="eastAsia"/>
                      <w:szCs w:val="21"/>
                      <w:lang w:val="en-US" w:eastAsia="zh-CN"/>
                    </w:rPr>
                    <w:t>0.214</w:t>
                  </w:r>
                </w:p>
              </w:tc>
              <w:tc>
                <w:tcPr>
                  <w:tcW w:w="996" w:type="dxa"/>
                  <w:vAlign w:val="center"/>
                </w:tcPr>
                <w:p>
                  <w:pPr>
                    <w:widowControl/>
                    <w:adjustRightInd w:val="0"/>
                    <w:snapToGrid w:val="0"/>
                    <w:jc w:val="center"/>
                    <w:rPr>
                      <w:rFonts w:hint="default" w:eastAsia="宋体"/>
                      <w:szCs w:val="21"/>
                      <w:lang w:val="en-US" w:eastAsia="zh-CN"/>
                    </w:rPr>
                  </w:pPr>
                  <w:r>
                    <w:rPr>
                      <w:rFonts w:hint="eastAsia"/>
                      <w:szCs w:val="21"/>
                      <w:lang w:val="en-US" w:eastAsia="zh-CN"/>
                    </w:rPr>
                    <w:t>0.214</w:t>
                  </w:r>
                </w:p>
              </w:tc>
              <w:tc>
                <w:tcPr>
                  <w:tcW w:w="1145" w:type="dxa"/>
                  <w:vAlign w:val="center"/>
                </w:tcPr>
                <w:p>
                  <w:pPr>
                    <w:widowControl/>
                    <w:adjustRightInd w:val="0"/>
                    <w:snapToGrid w:val="0"/>
                    <w:jc w:val="center"/>
                    <w:rPr>
                      <w:rFonts w:hint="default" w:eastAsia="宋体"/>
                      <w:szCs w:val="21"/>
                      <w:lang w:val="en-US" w:eastAsia="zh-CN"/>
                    </w:rPr>
                  </w:pPr>
                  <w:r>
                    <w:rPr>
                      <w:rFonts w:hint="eastAsia"/>
                      <w:szCs w:val="21"/>
                      <w:lang w:val="en-US" w:eastAsia="zh-CN"/>
                    </w:rPr>
                    <w:t>0.428</w:t>
                  </w:r>
                </w:p>
              </w:tc>
            </w:tr>
          </w:tbl>
          <w:p>
            <w:pPr>
              <w:spacing w:line="50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注：本项目生活污水与生产废水分开纳管。</w:t>
            </w:r>
          </w:p>
          <w:p>
            <w:pPr>
              <w:spacing w:line="500" w:lineRule="exact"/>
              <w:ind w:firstLine="480" w:firstLineChars="200"/>
              <w:jc w:val="left"/>
              <w:rPr>
                <w:rFonts w:hint="default" w:ascii="Times New Roman" w:hAnsi="Times New Roman" w:eastAsia="宋体" w:cs="Times New Roman"/>
                <w:sz w:val="24"/>
                <w:lang w:val="en-US" w:eastAsia="zh-CN"/>
              </w:rPr>
            </w:pPr>
            <w:r>
              <w:rPr>
                <w:rFonts w:ascii="Times New Roman" w:hAnsi="Times New Roman" w:cs="Times New Roman"/>
                <w:sz w:val="24"/>
              </w:rPr>
              <w:t>由表</w:t>
            </w:r>
            <w:r>
              <w:rPr>
                <w:rFonts w:hint="eastAsia" w:ascii="Times New Roman" w:hAnsi="Times New Roman" w:cs="Times New Roman"/>
                <w:sz w:val="24"/>
                <w:lang w:val="en-US" w:eastAsia="zh-CN"/>
              </w:rPr>
              <w:t>3.4-1</w:t>
            </w:r>
            <w:r>
              <w:rPr>
                <w:rFonts w:ascii="Times New Roman" w:hAnsi="Times New Roman" w:cs="Times New Roman"/>
                <w:sz w:val="24"/>
              </w:rPr>
              <w:t>可知</w:t>
            </w:r>
            <w:r>
              <w:rPr>
                <w:rFonts w:hint="eastAsia" w:ascii="Times New Roman" w:hAnsi="Times New Roman" w:cs="Times New Roman"/>
                <w:sz w:val="24"/>
              </w:rPr>
              <w:t>，</w:t>
            </w:r>
            <w:r>
              <w:rPr>
                <w:rFonts w:ascii="Times New Roman" w:hAnsi="Times New Roman" w:cs="Times New Roman"/>
                <w:sz w:val="24"/>
              </w:rPr>
              <w:t>本</w:t>
            </w:r>
            <w:r>
              <w:rPr>
                <w:rFonts w:hint="eastAsia" w:ascii="Times New Roman" w:hAnsi="Times New Roman" w:cs="Times New Roman"/>
                <w:sz w:val="24"/>
              </w:rPr>
              <w:t>次改建</w:t>
            </w:r>
            <w:r>
              <w:rPr>
                <w:rFonts w:ascii="Times New Roman" w:hAnsi="Times New Roman" w:cs="Times New Roman"/>
                <w:sz w:val="24"/>
              </w:rPr>
              <w:t>项目实施后</w:t>
            </w:r>
            <w:r>
              <w:rPr>
                <w:rFonts w:hint="eastAsia" w:ascii="Times New Roman" w:hAnsi="Times New Roman" w:cs="Times New Roman"/>
                <w:sz w:val="24"/>
              </w:rPr>
              <w:t>，</w:t>
            </w:r>
            <w:r>
              <w:rPr>
                <w:rFonts w:ascii="Times New Roman" w:hAnsi="Times New Roman" w:cs="Times New Roman"/>
                <w:sz w:val="24"/>
              </w:rPr>
              <w:t>本项目织造废水经</w:t>
            </w:r>
            <w:r>
              <w:rPr>
                <w:rFonts w:hint="eastAsia" w:ascii="Times New Roman" w:hAnsi="Times New Roman" w:cs="Times New Roman"/>
                <w:sz w:val="24"/>
              </w:rPr>
              <w:t>长兴虹溪污水处理有限公司建设在虹星桥镇北片工业园区的中水回用站处理后回用于织造</w:t>
            </w:r>
            <w:r>
              <w:rPr>
                <w:rFonts w:ascii="Times New Roman" w:hAnsi="Times New Roman" w:cs="Times New Roman"/>
                <w:sz w:val="24"/>
              </w:rPr>
              <w:t>，不</w:t>
            </w:r>
            <w:r>
              <w:rPr>
                <w:rFonts w:hint="eastAsia" w:ascii="Times New Roman" w:hAnsi="Times New Roman" w:cs="Times New Roman"/>
                <w:sz w:val="24"/>
              </w:rPr>
              <w:t>对外</w:t>
            </w:r>
            <w:r>
              <w:rPr>
                <w:rFonts w:ascii="Times New Roman" w:hAnsi="Times New Roman" w:cs="Times New Roman"/>
                <w:sz w:val="24"/>
              </w:rPr>
              <w:t>排放。因此本项目无需申请</w:t>
            </w:r>
            <w:r>
              <w:rPr>
                <w:rFonts w:hint="eastAsia" w:ascii="Times New Roman" w:hAnsi="Times New Roman" w:cs="Times New Roman"/>
                <w:sz w:val="24"/>
                <w:lang w:eastAsia="zh-CN"/>
              </w:rPr>
              <w:t>废水</w:t>
            </w:r>
            <w:r>
              <w:rPr>
                <w:rFonts w:ascii="Times New Roman" w:hAnsi="Times New Roman" w:cs="Times New Roman"/>
                <w:sz w:val="24"/>
              </w:rPr>
              <w:t>总量控制指标。</w:t>
            </w:r>
            <w:r>
              <w:rPr>
                <w:rFonts w:hint="eastAsia" w:ascii="Times New Roman" w:hAnsi="Times New Roman" w:cs="Times New Roman"/>
                <w:sz w:val="24"/>
                <w:lang w:eastAsia="zh-CN"/>
              </w:rPr>
              <w:t>新增的</w:t>
            </w:r>
            <w:r>
              <w:rPr>
                <w:rFonts w:hint="eastAsia" w:ascii="Times New Roman" w:hAnsi="Times New Roman" w:cs="Times New Roman"/>
                <w:sz w:val="24"/>
                <w:lang w:val="en-US" w:eastAsia="zh-CN"/>
              </w:rPr>
              <w:t>VOCs总量按照1:2进行削减替代，由当地生态环境部门平衡。</w:t>
            </w:r>
          </w:p>
          <w:p>
            <w:pPr>
              <w:pStyle w:val="5"/>
            </w:pPr>
          </w:p>
          <w:p>
            <w:pPr>
              <w:pStyle w:val="333"/>
              <w:rPr>
                <w:snapToGrid w:val="0"/>
              </w:rPr>
            </w:pPr>
          </w:p>
          <w:p>
            <w:pPr>
              <w:pStyle w:val="333"/>
              <w:rPr>
                <w:snapToGrid w:val="0"/>
              </w:rPr>
            </w:pPr>
          </w:p>
          <w:p>
            <w:pPr>
              <w:pStyle w:val="333"/>
              <w:ind w:left="0" w:leftChars="0" w:firstLine="0" w:firstLineChars="0"/>
              <w:rPr>
                <w:snapToGrid w:val="0"/>
              </w:rPr>
            </w:pPr>
          </w:p>
        </w:tc>
      </w:tr>
    </w:tbl>
    <w:p>
      <w:pPr>
        <w:pStyle w:val="39"/>
        <w:ind w:firstLine="482"/>
      </w:pPr>
    </w:p>
    <w:p>
      <w:pPr>
        <w:pStyle w:val="39"/>
        <w:ind w:firstLine="482"/>
        <w:sectPr>
          <w:pgSz w:w="16838" w:h="11906" w:orient="landscape"/>
          <w:pgMar w:top="1587" w:right="1587" w:bottom="1587" w:left="1587" w:header="851" w:footer="992" w:gutter="0"/>
          <w:pgBorders>
            <w:top w:val="none" w:sz="0" w:space="0"/>
            <w:left w:val="none" w:sz="0" w:space="0"/>
            <w:bottom w:val="none" w:sz="0" w:space="0"/>
            <w:right w:val="none" w:sz="0" w:space="0"/>
          </w:pgBorders>
          <w:cols w:space="0" w:num="1"/>
          <w:docGrid w:linePitch="312" w:charSpace="0"/>
        </w:sectPr>
      </w:pPr>
    </w:p>
    <w:p>
      <w:pPr>
        <w:spacing w:line="500" w:lineRule="exact"/>
        <w:jc w:val="center"/>
        <w:outlineLvl w:val="0"/>
        <w:rPr>
          <w:rFonts w:hint="eastAsia" w:ascii="黑体" w:hAnsi="黑体" w:eastAsia="黑体" w:cs="黑体"/>
        </w:rPr>
      </w:pPr>
      <w:bookmarkStart w:id="24" w:name="_Toc10795"/>
      <w:bookmarkStart w:id="25" w:name="_Toc29805"/>
      <w:r>
        <w:rPr>
          <w:rFonts w:hint="eastAsia" w:ascii="黑体" w:hAnsi="黑体" w:eastAsia="黑体" w:cs="黑体"/>
          <w:sz w:val="28"/>
          <w:szCs w:val="28"/>
        </w:rPr>
        <w:t>四、主要环境影响和保护措施</w:t>
      </w:r>
      <w:bookmarkEnd w:id="24"/>
      <w:bookmarkEnd w:id="25"/>
    </w:p>
    <w:tbl>
      <w:tblPr>
        <w:tblStyle w:val="40"/>
        <w:tblW w:w="14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5"/>
        <w:gridCol w:w="143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341" w:type="dxa"/>
            <w:tcMar>
              <w:left w:w="28" w:type="dxa"/>
              <w:right w:w="28" w:type="dxa"/>
            </w:tcMar>
            <w:vAlign w:val="center"/>
          </w:tcPr>
          <w:p>
            <w:pPr>
              <w:pStyle w:val="35"/>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cs="Times New Roman"/>
                <w:kern w:val="2"/>
                <w:sz w:val="21"/>
                <w:szCs w:val="21"/>
              </w:rPr>
              <w:t>施工期</w:t>
            </w:r>
          </w:p>
          <w:p>
            <w:pPr>
              <w:pStyle w:val="35"/>
              <w:adjustRightInd w:val="0"/>
              <w:snapToGrid w:val="0"/>
              <w:spacing w:before="0" w:beforeAutospacing="0" w:after="0" w:afterAutospacing="0"/>
              <w:jc w:val="center"/>
              <w:rPr>
                <w:rFonts w:ascii="Times New Roman" w:hAnsi="Times New Roman" w:cs="Times New Roman"/>
                <w:bCs/>
                <w:sz w:val="21"/>
                <w:szCs w:val="21"/>
              </w:rPr>
            </w:pPr>
            <w:r>
              <w:rPr>
                <w:rFonts w:ascii="Times New Roman" w:cs="Times New Roman"/>
                <w:kern w:val="2"/>
                <w:sz w:val="21"/>
                <w:szCs w:val="21"/>
              </w:rPr>
              <w:t>环境保护措施</w:t>
            </w:r>
          </w:p>
        </w:tc>
        <w:tc>
          <w:tcPr>
            <w:tcW w:w="13832" w:type="dxa"/>
          </w:tcPr>
          <w:p>
            <w:pPr>
              <w:adjustRightInd w:val="0"/>
              <w:snapToGrid w:val="0"/>
              <w:spacing w:line="500" w:lineRule="exact"/>
              <w:rPr>
                <w:b/>
                <w:bCs/>
                <w:sz w:val="24"/>
              </w:rPr>
            </w:pPr>
            <w:r>
              <w:rPr>
                <w:b/>
                <w:bCs/>
                <w:sz w:val="24"/>
              </w:rPr>
              <w:t xml:space="preserve">4.1 </w:t>
            </w:r>
            <w:r>
              <w:rPr>
                <w:rFonts w:hAnsi="宋体"/>
                <w:b/>
                <w:bCs/>
                <w:sz w:val="24"/>
              </w:rPr>
              <w:t>施工期环境保护措施</w:t>
            </w:r>
          </w:p>
          <w:p>
            <w:pPr>
              <w:adjustRightInd w:val="0"/>
              <w:snapToGrid w:val="0"/>
              <w:spacing w:line="500" w:lineRule="exact"/>
              <w:ind w:firstLine="480" w:firstLineChars="200"/>
              <w:rPr>
                <w:b/>
                <w:bCs/>
                <w:snapToGrid w:val="0"/>
                <w:kern w:val="0"/>
                <w:sz w:val="24"/>
              </w:rPr>
            </w:pPr>
            <w:r>
              <w:rPr>
                <w:rFonts w:hAnsi="宋体"/>
                <w:sz w:val="24"/>
              </w:rPr>
              <w:t>本项目系利用自有工业厂房进行生产，不新增用地和土建，无土建施工期。</w:t>
            </w:r>
            <w:r>
              <w:rPr>
                <w:rFonts w:hAnsi="宋体"/>
                <w:bCs/>
                <w:sz w:val="24"/>
              </w:rPr>
              <w:t>对周边环境影响较小。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6" w:hRule="atLeast"/>
          <w:jc w:val="center"/>
        </w:trPr>
        <w:tc>
          <w:tcPr>
            <w:tcW w:w="341" w:type="dxa"/>
            <w:tcMar>
              <w:left w:w="28" w:type="dxa"/>
              <w:right w:w="28" w:type="dxa"/>
            </w:tcMar>
            <w:vAlign w:val="center"/>
          </w:tcPr>
          <w:p>
            <w:pPr>
              <w:adjustRightInd w:val="0"/>
              <w:snapToGrid w:val="0"/>
              <w:jc w:val="center"/>
              <w:rPr>
                <w:bCs/>
                <w:sz w:val="21"/>
                <w:szCs w:val="21"/>
              </w:rPr>
            </w:pPr>
            <w:r>
              <w:rPr>
                <w:rFonts w:hAnsi="宋体"/>
                <w:bCs/>
                <w:sz w:val="21"/>
                <w:szCs w:val="21"/>
              </w:rPr>
              <w:t>运营</w:t>
            </w:r>
          </w:p>
          <w:p>
            <w:pPr>
              <w:adjustRightInd w:val="0"/>
              <w:snapToGrid w:val="0"/>
              <w:jc w:val="center"/>
              <w:rPr>
                <w:bCs/>
                <w:sz w:val="21"/>
                <w:szCs w:val="21"/>
              </w:rPr>
            </w:pPr>
            <w:r>
              <w:rPr>
                <w:rFonts w:hAnsi="宋体"/>
                <w:bCs/>
                <w:sz w:val="21"/>
                <w:szCs w:val="21"/>
              </w:rPr>
              <w:t>期环</w:t>
            </w:r>
          </w:p>
          <w:p>
            <w:pPr>
              <w:adjustRightInd w:val="0"/>
              <w:snapToGrid w:val="0"/>
              <w:jc w:val="center"/>
              <w:rPr>
                <w:bCs/>
                <w:sz w:val="21"/>
                <w:szCs w:val="21"/>
              </w:rPr>
            </w:pPr>
            <w:r>
              <w:rPr>
                <w:rFonts w:hAnsi="宋体"/>
                <w:bCs/>
                <w:sz w:val="21"/>
                <w:szCs w:val="21"/>
              </w:rPr>
              <w:t>境影</w:t>
            </w:r>
          </w:p>
          <w:p>
            <w:pPr>
              <w:adjustRightInd w:val="0"/>
              <w:snapToGrid w:val="0"/>
              <w:jc w:val="center"/>
              <w:rPr>
                <w:bCs/>
                <w:sz w:val="21"/>
                <w:szCs w:val="21"/>
              </w:rPr>
            </w:pPr>
            <w:r>
              <w:rPr>
                <w:rFonts w:hAnsi="宋体"/>
                <w:bCs/>
                <w:sz w:val="21"/>
                <w:szCs w:val="21"/>
              </w:rPr>
              <w:t>响和</w:t>
            </w:r>
          </w:p>
          <w:p>
            <w:pPr>
              <w:adjustRightInd w:val="0"/>
              <w:snapToGrid w:val="0"/>
              <w:jc w:val="center"/>
              <w:rPr>
                <w:bCs/>
                <w:sz w:val="21"/>
                <w:szCs w:val="21"/>
              </w:rPr>
            </w:pPr>
            <w:r>
              <w:rPr>
                <w:rFonts w:hAnsi="宋体"/>
                <w:bCs/>
                <w:sz w:val="21"/>
                <w:szCs w:val="21"/>
              </w:rPr>
              <w:t>保护</w:t>
            </w:r>
          </w:p>
          <w:p>
            <w:pPr>
              <w:pStyle w:val="35"/>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cs="Times New Roman"/>
                <w:bCs/>
                <w:sz w:val="21"/>
                <w:szCs w:val="21"/>
              </w:rPr>
              <w:t>措施</w:t>
            </w:r>
          </w:p>
        </w:tc>
        <w:tc>
          <w:tcPr>
            <w:tcW w:w="13832" w:type="dxa"/>
          </w:tcPr>
          <w:p>
            <w:pPr>
              <w:adjustRightInd w:val="0"/>
              <w:snapToGrid w:val="0"/>
              <w:spacing w:line="500" w:lineRule="exact"/>
              <w:rPr>
                <w:b/>
                <w:bCs/>
                <w:sz w:val="24"/>
              </w:rPr>
            </w:pPr>
            <w:r>
              <w:rPr>
                <w:b/>
                <w:bCs/>
                <w:sz w:val="24"/>
              </w:rPr>
              <w:t xml:space="preserve">4.2 </w:t>
            </w:r>
            <w:r>
              <w:rPr>
                <w:rFonts w:hAnsi="宋体"/>
                <w:b/>
                <w:bCs/>
                <w:sz w:val="24"/>
              </w:rPr>
              <w:t>废气</w:t>
            </w:r>
          </w:p>
          <w:p>
            <w:pPr>
              <w:spacing w:line="500" w:lineRule="exact"/>
              <w:outlineLvl w:val="2"/>
              <w:rPr>
                <w:b/>
                <w:bCs/>
                <w:sz w:val="24"/>
              </w:rPr>
            </w:pPr>
            <w:r>
              <w:rPr>
                <w:b/>
                <w:bCs/>
                <w:sz w:val="24"/>
              </w:rPr>
              <w:t xml:space="preserve">4.2.1 </w:t>
            </w:r>
            <w:r>
              <w:rPr>
                <w:rFonts w:hAnsi="宋体"/>
                <w:b/>
                <w:bCs/>
                <w:sz w:val="24"/>
              </w:rPr>
              <w:t>废气源强</w:t>
            </w:r>
          </w:p>
          <w:p>
            <w:pPr>
              <w:spacing w:line="500" w:lineRule="exact"/>
              <w:outlineLvl w:val="2"/>
              <w:rPr>
                <w:b/>
                <w:bCs/>
                <w:sz w:val="24"/>
              </w:rPr>
            </w:pPr>
            <w:r>
              <w:rPr>
                <w:b/>
                <w:bCs/>
                <w:sz w:val="24"/>
              </w:rPr>
              <w:t xml:space="preserve">4.2.1.1 </w:t>
            </w:r>
            <w:r>
              <w:rPr>
                <w:rFonts w:hAnsi="宋体"/>
                <w:b/>
                <w:bCs/>
                <w:sz w:val="24"/>
              </w:rPr>
              <w:t>废气源强汇总表</w:t>
            </w:r>
          </w:p>
          <w:p>
            <w:pPr>
              <w:spacing w:line="500" w:lineRule="exact"/>
              <w:ind w:firstLine="480" w:firstLineChars="200"/>
              <w:rPr>
                <w:sz w:val="24"/>
              </w:rPr>
            </w:pPr>
            <w:r>
              <w:rPr>
                <w:rFonts w:hAnsi="宋体"/>
                <w:sz w:val="24"/>
              </w:rPr>
              <w:t>根据《污染源源强核算技术指南</w:t>
            </w:r>
            <w:r>
              <w:rPr>
                <w:sz w:val="24"/>
              </w:rPr>
              <w:t xml:space="preserve"> </w:t>
            </w:r>
            <w:r>
              <w:rPr>
                <w:rFonts w:hAnsi="宋体"/>
                <w:sz w:val="24"/>
              </w:rPr>
              <w:t>准则》（</w:t>
            </w:r>
            <w:r>
              <w:rPr>
                <w:sz w:val="24"/>
              </w:rPr>
              <w:t>HJ884-2018</w:t>
            </w:r>
            <w:r>
              <w:rPr>
                <w:rFonts w:hAnsi="宋体"/>
                <w:sz w:val="24"/>
              </w:rPr>
              <w:t>），本环评对本项目运营阶段产生的废气产、排情况进行汇总，见表</w:t>
            </w:r>
            <w:r>
              <w:rPr>
                <w:sz w:val="24"/>
              </w:rPr>
              <w:t>4.2-1</w:t>
            </w:r>
            <w:r>
              <w:rPr>
                <w:rFonts w:hAnsi="宋体"/>
                <w:sz w:val="24"/>
              </w:rPr>
              <w:t>。</w:t>
            </w:r>
          </w:p>
          <w:p>
            <w:pPr>
              <w:adjustRightInd w:val="0"/>
              <w:spacing w:line="460" w:lineRule="exact"/>
              <w:contextualSpacing/>
              <w:jc w:val="center"/>
              <w:rPr>
                <w:b/>
                <w:szCs w:val="21"/>
              </w:rPr>
            </w:pPr>
            <w:r>
              <w:rPr>
                <w:rFonts w:hAnsi="宋体"/>
                <w:b/>
                <w:szCs w:val="21"/>
              </w:rPr>
              <w:t>表</w:t>
            </w:r>
            <w:r>
              <w:rPr>
                <w:b/>
                <w:szCs w:val="21"/>
              </w:rPr>
              <w:t xml:space="preserve">4.2-1  </w:t>
            </w:r>
            <w:r>
              <w:rPr>
                <w:rFonts w:hAnsi="宋体"/>
                <w:b/>
                <w:szCs w:val="21"/>
              </w:rPr>
              <w:t>项目废气污染源源强核算结果及相关参数一览表</w:t>
            </w:r>
          </w:p>
          <w:tbl>
            <w:tblPr>
              <w:tblStyle w:val="40"/>
              <w:tblW w:w="13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873"/>
              <w:gridCol w:w="807"/>
              <w:gridCol w:w="944"/>
              <w:gridCol w:w="731"/>
              <w:gridCol w:w="961"/>
              <w:gridCol w:w="907"/>
              <w:gridCol w:w="841"/>
              <w:gridCol w:w="1027"/>
              <w:gridCol w:w="1027"/>
              <w:gridCol w:w="692"/>
              <w:gridCol w:w="675"/>
              <w:gridCol w:w="912"/>
              <w:gridCol w:w="1066"/>
              <w:gridCol w:w="787"/>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restart"/>
                  <w:noWrap w:val="0"/>
                  <w:vAlign w:val="center"/>
                </w:tcPr>
                <w:p>
                  <w:pPr>
                    <w:adjustRightInd w:val="0"/>
                    <w:snapToGrid w:val="0"/>
                    <w:jc w:val="center"/>
                    <w:rPr>
                      <w:bCs/>
                      <w:szCs w:val="21"/>
                    </w:rPr>
                  </w:pPr>
                  <w:r>
                    <w:rPr>
                      <w:bCs/>
                      <w:szCs w:val="21"/>
                    </w:rPr>
                    <w:t>工序生产线</w:t>
                  </w:r>
                </w:p>
              </w:tc>
              <w:tc>
                <w:tcPr>
                  <w:tcW w:w="873" w:type="dxa"/>
                  <w:vMerge w:val="restart"/>
                  <w:noWrap w:val="0"/>
                  <w:vAlign w:val="center"/>
                </w:tcPr>
                <w:p>
                  <w:pPr>
                    <w:adjustRightInd w:val="0"/>
                    <w:snapToGrid w:val="0"/>
                    <w:jc w:val="center"/>
                    <w:rPr>
                      <w:bCs/>
                      <w:szCs w:val="21"/>
                    </w:rPr>
                  </w:pPr>
                  <w:r>
                    <w:rPr>
                      <w:bCs/>
                      <w:szCs w:val="21"/>
                    </w:rPr>
                    <w:t>装置</w:t>
                  </w:r>
                </w:p>
              </w:tc>
              <w:tc>
                <w:tcPr>
                  <w:tcW w:w="807" w:type="dxa"/>
                  <w:vMerge w:val="restart"/>
                  <w:noWrap w:val="0"/>
                  <w:vAlign w:val="center"/>
                </w:tcPr>
                <w:p>
                  <w:pPr>
                    <w:adjustRightInd w:val="0"/>
                    <w:snapToGrid w:val="0"/>
                    <w:jc w:val="center"/>
                    <w:rPr>
                      <w:bCs/>
                      <w:szCs w:val="21"/>
                    </w:rPr>
                  </w:pPr>
                  <w:r>
                    <w:rPr>
                      <w:bCs/>
                      <w:szCs w:val="21"/>
                    </w:rPr>
                    <w:t>污染源</w:t>
                  </w:r>
                </w:p>
              </w:tc>
              <w:tc>
                <w:tcPr>
                  <w:tcW w:w="944" w:type="dxa"/>
                  <w:vMerge w:val="restart"/>
                  <w:noWrap w:val="0"/>
                  <w:vAlign w:val="center"/>
                </w:tcPr>
                <w:p>
                  <w:pPr>
                    <w:adjustRightInd w:val="0"/>
                    <w:snapToGrid w:val="0"/>
                    <w:jc w:val="center"/>
                    <w:rPr>
                      <w:bCs/>
                      <w:szCs w:val="21"/>
                    </w:rPr>
                  </w:pPr>
                  <w:r>
                    <w:rPr>
                      <w:bCs/>
                      <w:szCs w:val="21"/>
                    </w:rPr>
                    <w:t>污染物</w:t>
                  </w:r>
                </w:p>
              </w:tc>
              <w:tc>
                <w:tcPr>
                  <w:tcW w:w="3440" w:type="dxa"/>
                  <w:gridSpan w:val="4"/>
                  <w:noWrap w:val="0"/>
                  <w:vAlign w:val="center"/>
                </w:tcPr>
                <w:p>
                  <w:pPr>
                    <w:adjustRightInd w:val="0"/>
                    <w:snapToGrid w:val="0"/>
                    <w:jc w:val="center"/>
                    <w:rPr>
                      <w:bCs/>
                      <w:szCs w:val="21"/>
                    </w:rPr>
                  </w:pPr>
                  <w:r>
                    <w:rPr>
                      <w:bCs/>
                      <w:szCs w:val="21"/>
                    </w:rPr>
                    <w:t>污染物产生</w:t>
                  </w:r>
                </w:p>
              </w:tc>
              <w:tc>
                <w:tcPr>
                  <w:tcW w:w="2746" w:type="dxa"/>
                  <w:gridSpan w:val="3"/>
                  <w:noWrap w:val="0"/>
                  <w:vAlign w:val="center"/>
                </w:tcPr>
                <w:p>
                  <w:pPr>
                    <w:adjustRightInd w:val="0"/>
                    <w:snapToGrid w:val="0"/>
                    <w:jc w:val="center"/>
                    <w:rPr>
                      <w:bCs/>
                      <w:szCs w:val="21"/>
                    </w:rPr>
                  </w:pPr>
                  <w:r>
                    <w:rPr>
                      <w:bCs/>
                      <w:szCs w:val="21"/>
                    </w:rPr>
                    <w:t>治理措施</w:t>
                  </w:r>
                </w:p>
              </w:tc>
              <w:tc>
                <w:tcPr>
                  <w:tcW w:w="3440" w:type="dxa"/>
                  <w:gridSpan w:val="4"/>
                  <w:noWrap w:val="0"/>
                  <w:vAlign w:val="center"/>
                </w:tcPr>
                <w:p>
                  <w:pPr>
                    <w:adjustRightInd w:val="0"/>
                    <w:snapToGrid w:val="0"/>
                    <w:jc w:val="center"/>
                    <w:rPr>
                      <w:bCs/>
                      <w:szCs w:val="21"/>
                    </w:rPr>
                  </w:pPr>
                  <w:r>
                    <w:rPr>
                      <w:bCs/>
                      <w:szCs w:val="21"/>
                    </w:rPr>
                    <w:t>污染物排放</w:t>
                  </w:r>
                </w:p>
              </w:tc>
              <w:tc>
                <w:tcPr>
                  <w:tcW w:w="727" w:type="dxa"/>
                  <w:vMerge w:val="restart"/>
                  <w:noWrap w:val="0"/>
                  <w:vAlign w:val="center"/>
                </w:tcPr>
                <w:p>
                  <w:pPr>
                    <w:adjustRightInd w:val="0"/>
                    <w:snapToGrid w:val="0"/>
                    <w:jc w:val="center"/>
                    <w:rPr>
                      <w:bCs/>
                      <w:szCs w:val="21"/>
                    </w:rPr>
                  </w:pPr>
                  <w:r>
                    <w:rPr>
                      <w:bCs/>
                      <w:szCs w:val="21"/>
                    </w:rPr>
                    <w:t>排放</w:t>
                  </w:r>
                </w:p>
                <w:p>
                  <w:pPr>
                    <w:adjustRightInd w:val="0"/>
                    <w:snapToGrid w:val="0"/>
                    <w:jc w:val="center"/>
                    <w:rPr>
                      <w:bCs/>
                      <w:szCs w:val="21"/>
                    </w:rPr>
                  </w:pPr>
                  <w:r>
                    <w:rPr>
                      <w:bCs/>
                      <w:szCs w:val="21"/>
                    </w:rPr>
                    <w:t>时间</w:t>
                  </w:r>
                </w:p>
                <w:p>
                  <w:pPr>
                    <w:adjustRightInd w:val="0"/>
                    <w:snapToGrid w:val="0"/>
                    <w:jc w:val="center"/>
                    <w:rPr>
                      <w:bCs/>
                      <w:szCs w:val="21"/>
                    </w:rPr>
                  </w:pPr>
                  <w:r>
                    <w:rPr>
                      <w:bCs/>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continue"/>
                  <w:noWrap w:val="0"/>
                  <w:vAlign w:val="center"/>
                </w:tcPr>
                <w:p>
                  <w:pPr>
                    <w:adjustRightInd w:val="0"/>
                    <w:snapToGrid w:val="0"/>
                    <w:jc w:val="center"/>
                    <w:rPr>
                      <w:szCs w:val="21"/>
                    </w:rPr>
                  </w:pPr>
                </w:p>
              </w:tc>
              <w:tc>
                <w:tcPr>
                  <w:tcW w:w="873" w:type="dxa"/>
                  <w:vMerge w:val="continue"/>
                  <w:noWrap w:val="0"/>
                  <w:vAlign w:val="center"/>
                </w:tcPr>
                <w:p>
                  <w:pPr>
                    <w:adjustRightInd w:val="0"/>
                    <w:snapToGrid w:val="0"/>
                    <w:jc w:val="center"/>
                    <w:rPr>
                      <w:szCs w:val="21"/>
                    </w:rPr>
                  </w:pPr>
                </w:p>
              </w:tc>
              <w:tc>
                <w:tcPr>
                  <w:tcW w:w="807" w:type="dxa"/>
                  <w:vMerge w:val="continue"/>
                  <w:noWrap w:val="0"/>
                  <w:vAlign w:val="center"/>
                </w:tcPr>
                <w:p>
                  <w:pPr>
                    <w:adjustRightInd w:val="0"/>
                    <w:snapToGrid w:val="0"/>
                    <w:jc w:val="center"/>
                    <w:rPr>
                      <w:szCs w:val="21"/>
                    </w:rPr>
                  </w:pPr>
                </w:p>
              </w:tc>
              <w:tc>
                <w:tcPr>
                  <w:tcW w:w="944" w:type="dxa"/>
                  <w:vMerge w:val="continue"/>
                  <w:noWrap w:val="0"/>
                  <w:vAlign w:val="center"/>
                </w:tcPr>
                <w:p>
                  <w:pPr>
                    <w:adjustRightInd w:val="0"/>
                    <w:snapToGrid w:val="0"/>
                    <w:jc w:val="center"/>
                    <w:rPr>
                      <w:szCs w:val="21"/>
                    </w:rPr>
                  </w:pPr>
                </w:p>
              </w:tc>
              <w:tc>
                <w:tcPr>
                  <w:tcW w:w="731" w:type="dxa"/>
                  <w:noWrap w:val="0"/>
                  <w:vAlign w:val="center"/>
                </w:tcPr>
                <w:p>
                  <w:pPr>
                    <w:adjustRightInd w:val="0"/>
                    <w:snapToGrid w:val="0"/>
                    <w:jc w:val="center"/>
                    <w:rPr>
                      <w:szCs w:val="21"/>
                    </w:rPr>
                  </w:pPr>
                  <w:r>
                    <w:rPr>
                      <w:szCs w:val="21"/>
                    </w:rPr>
                    <w:t>核算</w:t>
                  </w:r>
                </w:p>
                <w:p>
                  <w:pPr>
                    <w:adjustRightInd w:val="0"/>
                    <w:snapToGrid w:val="0"/>
                    <w:jc w:val="center"/>
                    <w:rPr>
                      <w:szCs w:val="21"/>
                    </w:rPr>
                  </w:pPr>
                  <w:r>
                    <w:rPr>
                      <w:szCs w:val="21"/>
                    </w:rPr>
                    <w:t>方法</w:t>
                  </w:r>
                </w:p>
              </w:tc>
              <w:tc>
                <w:tcPr>
                  <w:tcW w:w="961" w:type="dxa"/>
                  <w:noWrap w:val="0"/>
                  <w:vAlign w:val="center"/>
                </w:tcPr>
                <w:p>
                  <w:pPr>
                    <w:adjustRightInd w:val="0"/>
                    <w:snapToGrid w:val="0"/>
                    <w:jc w:val="center"/>
                    <w:rPr>
                      <w:szCs w:val="21"/>
                    </w:rPr>
                  </w:pPr>
                  <w:r>
                    <w:rPr>
                      <w:szCs w:val="21"/>
                    </w:rPr>
                    <w:t>废气产生量m</w:t>
                  </w:r>
                  <w:r>
                    <w:rPr>
                      <w:szCs w:val="21"/>
                      <w:vertAlign w:val="superscript"/>
                    </w:rPr>
                    <w:t>3</w:t>
                  </w:r>
                  <w:r>
                    <w:rPr>
                      <w:szCs w:val="21"/>
                    </w:rPr>
                    <w:t>/h</w:t>
                  </w:r>
                </w:p>
              </w:tc>
              <w:tc>
                <w:tcPr>
                  <w:tcW w:w="907" w:type="dxa"/>
                  <w:noWrap w:val="0"/>
                  <w:vAlign w:val="center"/>
                </w:tcPr>
                <w:p>
                  <w:pPr>
                    <w:adjustRightInd w:val="0"/>
                    <w:snapToGrid w:val="0"/>
                    <w:jc w:val="center"/>
                    <w:rPr>
                      <w:rFonts w:hint="eastAsia"/>
                      <w:szCs w:val="21"/>
                    </w:rPr>
                  </w:pPr>
                  <w:r>
                    <w:rPr>
                      <w:szCs w:val="21"/>
                    </w:rPr>
                    <w:t>产生</w:t>
                  </w:r>
                </w:p>
                <w:p>
                  <w:pPr>
                    <w:adjustRightInd w:val="0"/>
                    <w:snapToGrid w:val="0"/>
                    <w:jc w:val="center"/>
                    <w:rPr>
                      <w:szCs w:val="21"/>
                    </w:rPr>
                  </w:pPr>
                  <w:r>
                    <w:rPr>
                      <w:szCs w:val="21"/>
                    </w:rPr>
                    <w:t>浓度mg/m</w:t>
                  </w:r>
                  <w:r>
                    <w:rPr>
                      <w:szCs w:val="21"/>
                      <w:vertAlign w:val="superscript"/>
                    </w:rPr>
                    <w:t>3</w:t>
                  </w:r>
                </w:p>
              </w:tc>
              <w:tc>
                <w:tcPr>
                  <w:tcW w:w="841" w:type="dxa"/>
                  <w:noWrap w:val="0"/>
                  <w:vAlign w:val="center"/>
                </w:tcPr>
                <w:p>
                  <w:pPr>
                    <w:adjustRightInd w:val="0"/>
                    <w:snapToGrid w:val="0"/>
                    <w:jc w:val="center"/>
                    <w:rPr>
                      <w:szCs w:val="21"/>
                    </w:rPr>
                  </w:pPr>
                  <w:r>
                    <w:rPr>
                      <w:szCs w:val="21"/>
                    </w:rPr>
                    <w:t>产生量</w:t>
                  </w:r>
                </w:p>
                <w:p>
                  <w:pPr>
                    <w:adjustRightInd w:val="0"/>
                    <w:snapToGrid w:val="0"/>
                    <w:jc w:val="center"/>
                    <w:rPr>
                      <w:szCs w:val="21"/>
                    </w:rPr>
                  </w:pPr>
                  <w:r>
                    <w:rPr>
                      <w:rFonts w:hint="eastAsia"/>
                      <w:szCs w:val="21"/>
                    </w:rPr>
                    <w:t>kg/h</w:t>
                  </w:r>
                </w:p>
              </w:tc>
              <w:tc>
                <w:tcPr>
                  <w:tcW w:w="1027" w:type="dxa"/>
                  <w:noWrap w:val="0"/>
                  <w:vAlign w:val="center"/>
                </w:tcPr>
                <w:p>
                  <w:pPr>
                    <w:adjustRightInd w:val="0"/>
                    <w:snapToGrid w:val="0"/>
                    <w:jc w:val="center"/>
                    <w:rPr>
                      <w:rFonts w:hint="eastAsia"/>
                      <w:szCs w:val="21"/>
                    </w:rPr>
                  </w:pPr>
                  <w:r>
                    <w:rPr>
                      <w:rFonts w:hint="eastAsia"/>
                      <w:szCs w:val="21"/>
                    </w:rPr>
                    <w:t>收集</w:t>
                  </w:r>
                </w:p>
                <w:p>
                  <w:pPr>
                    <w:adjustRightInd w:val="0"/>
                    <w:snapToGrid w:val="0"/>
                    <w:jc w:val="center"/>
                    <w:rPr>
                      <w:szCs w:val="21"/>
                    </w:rPr>
                  </w:pPr>
                  <w:r>
                    <w:rPr>
                      <w:rFonts w:hint="eastAsia"/>
                      <w:szCs w:val="21"/>
                    </w:rPr>
                    <w:t>效率</w:t>
                  </w:r>
                </w:p>
              </w:tc>
              <w:tc>
                <w:tcPr>
                  <w:tcW w:w="1027" w:type="dxa"/>
                  <w:noWrap w:val="0"/>
                  <w:vAlign w:val="center"/>
                </w:tcPr>
                <w:p>
                  <w:pPr>
                    <w:adjustRightInd w:val="0"/>
                    <w:snapToGrid w:val="0"/>
                    <w:jc w:val="center"/>
                    <w:rPr>
                      <w:szCs w:val="21"/>
                    </w:rPr>
                  </w:pPr>
                  <w:r>
                    <w:rPr>
                      <w:szCs w:val="21"/>
                    </w:rPr>
                    <w:t>工艺</w:t>
                  </w:r>
                </w:p>
              </w:tc>
              <w:tc>
                <w:tcPr>
                  <w:tcW w:w="692" w:type="dxa"/>
                  <w:noWrap w:val="0"/>
                  <w:vAlign w:val="center"/>
                </w:tcPr>
                <w:p>
                  <w:pPr>
                    <w:adjustRightInd w:val="0"/>
                    <w:snapToGrid w:val="0"/>
                    <w:jc w:val="center"/>
                    <w:rPr>
                      <w:szCs w:val="21"/>
                    </w:rPr>
                  </w:pPr>
                  <w:r>
                    <w:rPr>
                      <w:rFonts w:hint="eastAsia"/>
                      <w:szCs w:val="21"/>
                    </w:rPr>
                    <w:t>处理</w:t>
                  </w:r>
                  <w:r>
                    <w:rPr>
                      <w:szCs w:val="21"/>
                    </w:rPr>
                    <w:t>效率</w:t>
                  </w:r>
                </w:p>
              </w:tc>
              <w:tc>
                <w:tcPr>
                  <w:tcW w:w="675" w:type="dxa"/>
                  <w:noWrap w:val="0"/>
                  <w:vAlign w:val="center"/>
                </w:tcPr>
                <w:p>
                  <w:pPr>
                    <w:adjustRightInd w:val="0"/>
                    <w:snapToGrid w:val="0"/>
                    <w:jc w:val="center"/>
                    <w:rPr>
                      <w:szCs w:val="21"/>
                    </w:rPr>
                  </w:pPr>
                  <w:r>
                    <w:rPr>
                      <w:szCs w:val="21"/>
                    </w:rPr>
                    <w:t>核算</w:t>
                  </w:r>
                </w:p>
                <w:p>
                  <w:pPr>
                    <w:adjustRightInd w:val="0"/>
                    <w:snapToGrid w:val="0"/>
                    <w:jc w:val="center"/>
                    <w:rPr>
                      <w:szCs w:val="21"/>
                    </w:rPr>
                  </w:pPr>
                  <w:r>
                    <w:rPr>
                      <w:szCs w:val="21"/>
                    </w:rPr>
                    <w:t>方法</w:t>
                  </w:r>
                </w:p>
              </w:tc>
              <w:tc>
                <w:tcPr>
                  <w:tcW w:w="912" w:type="dxa"/>
                  <w:noWrap w:val="0"/>
                  <w:vAlign w:val="center"/>
                </w:tcPr>
                <w:p>
                  <w:pPr>
                    <w:adjustRightInd w:val="0"/>
                    <w:snapToGrid w:val="0"/>
                    <w:jc w:val="center"/>
                    <w:rPr>
                      <w:szCs w:val="21"/>
                    </w:rPr>
                  </w:pPr>
                  <w:r>
                    <w:rPr>
                      <w:szCs w:val="21"/>
                    </w:rPr>
                    <w:t>废气排放量m</w:t>
                  </w:r>
                  <w:r>
                    <w:rPr>
                      <w:szCs w:val="21"/>
                      <w:vertAlign w:val="superscript"/>
                    </w:rPr>
                    <w:t>3</w:t>
                  </w:r>
                  <w:r>
                    <w:rPr>
                      <w:szCs w:val="21"/>
                    </w:rPr>
                    <w:t>/h</w:t>
                  </w:r>
                </w:p>
              </w:tc>
              <w:tc>
                <w:tcPr>
                  <w:tcW w:w="1066" w:type="dxa"/>
                  <w:noWrap w:val="0"/>
                  <w:vAlign w:val="center"/>
                </w:tcPr>
                <w:p>
                  <w:pPr>
                    <w:adjustRightInd w:val="0"/>
                    <w:snapToGrid w:val="0"/>
                    <w:jc w:val="center"/>
                    <w:rPr>
                      <w:szCs w:val="21"/>
                    </w:rPr>
                  </w:pPr>
                  <w:r>
                    <w:rPr>
                      <w:szCs w:val="21"/>
                    </w:rPr>
                    <w:t>排放</w:t>
                  </w:r>
                </w:p>
                <w:p>
                  <w:pPr>
                    <w:adjustRightInd w:val="0"/>
                    <w:snapToGrid w:val="0"/>
                    <w:jc w:val="center"/>
                    <w:rPr>
                      <w:szCs w:val="21"/>
                    </w:rPr>
                  </w:pPr>
                  <w:r>
                    <w:rPr>
                      <w:szCs w:val="21"/>
                    </w:rPr>
                    <w:t>浓度</w:t>
                  </w:r>
                </w:p>
                <w:p>
                  <w:pPr>
                    <w:adjustRightInd w:val="0"/>
                    <w:snapToGrid w:val="0"/>
                    <w:jc w:val="center"/>
                    <w:rPr>
                      <w:szCs w:val="21"/>
                    </w:rPr>
                  </w:pPr>
                  <w:r>
                    <w:rPr>
                      <w:szCs w:val="21"/>
                    </w:rPr>
                    <w:t>mg/m</w:t>
                  </w:r>
                  <w:r>
                    <w:rPr>
                      <w:szCs w:val="21"/>
                      <w:vertAlign w:val="superscript"/>
                    </w:rPr>
                    <w:t>3</w:t>
                  </w:r>
                </w:p>
              </w:tc>
              <w:tc>
                <w:tcPr>
                  <w:tcW w:w="787" w:type="dxa"/>
                  <w:noWrap w:val="0"/>
                  <w:vAlign w:val="center"/>
                </w:tcPr>
                <w:p>
                  <w:pPr>
                    <w:adjustRightInd w:val="0"/>
                    <w:snapToGrid w:val="0"/>
                    <w:jc w:val="center"/>
                    <w:rPr>
                      <w:szCs w:val="21"/>
                    </w:rPr>
                  </w:pPr>
                  <w:r>
                    <w:rPr>
                      <w:szCs w:val="21"/>
                    </w:rPr>
                    <w:t>排放量</w:t>
                  </w:r>
                </w:p>
                <w:p>
                  <w:pPr>
                    <w:adjustRightInd w:val="0"/>
                    <w:snapToGrid w:val="0"/>
                    <w:jc w:val="center"/>
                    <w:rPr>
                      <w:szCs w:val="21"/>
                    </w:rPr>
                  </w:pPr>
                  <w:r>
                    <w:rPr>
                      <w:rFonts w:hint="eastAsia"/>
                      <w:szCs w:val="21"/>
                    </w:rPr>
                    <w:t>kg/h</w:t>
                  </w:r>
                </w:p>
              </w:tc>
              <w:tc>
                <w:tcPr>
                  <w:tcW w:w="727" w:type="dxa"/>
                  <w:vMerge w:val="continue"/>
                  <w:noWrap w:val="0"/>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13" w:type="dxa"/>
                  <w:noWrap w:val="0"/>
                  <w:vAlign w:val="center"/>
                </w:tcPr>
                <w:p>
                  <w:pPr>
                    <w:adjustRightInd w:val="0"/>
                    <w:snapToGrid w:val="0"/>
                    <w:jc w:val="center"/>
                    <w:rPr>
                      <w:rFonts w:hint="eastAsia"/>
                      <w:szCs w:val="21"/>
                      <w:lang w:eastAsia="zh-CN"/>
                    </w:rPr>
                  </w:pPr>
                  <w:r>
                    <w:rPr>
                      <w:rFonts w:hint="eastAsia"/>
                      <w:szCs w:val="21"/>
                      <w:lang w:eastAsia="zh-CN"/>
                    </w:rPr>
                    <w:t>喷水</w:t>
                  </w:r>
                </w:p>
                <w:p>
                  <w:pPr>
                    <w:adjustRightInd w:val="0"/>
                    <w:snapToGrid w:val="0"/>
                    <w:jc w:val="center"/>
                    <w:rPr>
                      <w:rFonts w:hint="eastAsia" w:eastAsia="宋体"/>
                      <w:szCs w:val="21"/>
                      <w:lang w:eastAsia="zh-CN"/>
                    </w:rPr>
                  </w:pPr>
                  <w:r>
                    <w:rPr>
                      <w:rFonts w:hint="eastAsia"/>
                      <w:szCs w:val="21"/>
                      <w:lang w:eastAsia="zh-CN"/>
                    </w:rPr>
                    <w:t>织造</w:t>
                  </w:r>
                </w:p>
              </w:tc>
              <w:tc>
                <w:tcPr>
                  <w:tcW w:w="873" w:type="dxa"/>
                  <w:noWrap w:val="0"/>
                  <w:vAlign w:val="center"/>
                </w:tcPr>
                <w:p>
                  <w:pPr>
                    <w:adjustRightInd w:val="0"/>
                    <w:snapToGrid w:val="0"/>
                    <w:jc w:val="center"/>
                    <w:rPr>
                      <w:rFonts w:hint="eastAsia"/>
                      <w:szCs w:val="21"/>
                      <w:lang w:eastAsia="zh-CN"/>
                    </w:rPr>
                  </w:pPr>
                  <w:r>
                    <w:rPr>
                      <w:rFonts w:hint="eastAsia"/>
                      <w:szCs w:val="21"/>
                      <w:lang w:eastAsia="zh-CN"/>
                    </w:rPr>
                    <w:t>喷水</w:t>
                  </w:r>
                </w:p>
                <w:p>
                  <w:pPr>
                    <w:adjustRightInd w:val="0"/>
                    <w:snapToGrid w:val="0"/>
                    <w:jc w:val="center"/>
                    <w:rPr>
                      <w:rFonts w:hint="eastAsia" w:eastAsia="宋体"/>
                      <w:szCs w:val="21"/>
                      <w:lang w:eastAsia="zh-CN"/>
                    </w:rPr>
                  </w:pPr>
                  <w:r>
                    <w:rPr>
                      <w:rFonts w:hint="eastAsia"/>
                      <w:szCs w:val="21"/>
                      <w:lang w:eastAsia="zh-CN"/>
                    </w:rPr>
                    <w:t>织机</w:t>
                  </w:r>
                </w:p>
              </w:tc>
              <w:tc>
                <w:tcPr>
                  <w:tcW w:w="807" w:type="dxa"/>
                  <w:noWrap w:val="0"/>
                  <w:vAlign w:val="center"/>
                </w:tcPr>
                <w:p>
                  <w:pPr>
                    <w:adjustRightInd w:val="0"/>
                    <w:snapToGrid w:val="0"/>
                    <w:jc w:val="center"/>
                    <w:rPr>
                      <w:rFonts w:hint="eastAsia" w:eastAsia="宋体"/>
                      <w:szCs w:val="21"/>
                      <w:lang w:eastAsia="zh-CN"/>
                    </w:rPr>
                  </w:pPr>
                  <w:r>
                    <w:rPr>
                      <w:rFonts w:hint="eastAsia"/>
                      <w:szCs w:val="21"/>
                      <w:lang w:eastAsia="zh-CN"/>
                    </w:rPr>
                    <w:t>织造粉尘</w:t>
                  </w:r>
                </w:p>
              </w:tc>
              <w:tc>
                <w:tcPr>
                  <w:tcW w:w="944" w:type="dxa"/>
                  <w:noWrap w:val="0"/>
                  <w:vAlign w:val="center"/>
                </w:tcPr>
                <w:p>
                  <w:pPr>
                    <w:adjustRightInd w:val="0"/>
                    <w:snapToGrid w:val="0"/>
                    <w:jc w:val="center"/>
                    <w:rPr>
                      <w:rFonts w:hint="eastAsia"/>
                      <w:szCs w:val="21"/>
                    </w:rPr>
                  </w:pPr>
                  <w:r>
                    <w:rPr>
                      <w:rFonts w:hint="eastAsia"/>
                      <w:szCs w:val="21"/>
                    </w:rPr>
                    <w:t>颗粒物</w:t>
                  </w:r>
                </w:p>
              </w:tc>
              <w:tc>
                <w:tcPr>
                  <w:tcW w:w="731" w:type="dxa"/>
                  <w:noWrap w:val="0"/>
                  <w:vAlign w:val="center"/>
                </w:tcPr>
                <w:p>
                  <w:pPr>
                    <w:adjustRightInd w:val="0"/>
                    <w:snapToGrid w:val="0"/>
                    <w:jc w:val="center"/>
                    <w:rPr>
                      <w:rFonts w:hint="eastAsia"/>
                      <w:szCs w:val="21"/>
                    </w:rPr>
                  </w:pPr>
                  <w:r>
                    <w:rPr>
                      <w:rFonts w:hint="eastAsia"/>
                      <w:szCs w:val="21"/>
                    </w:rPr>
                    <w:t>/</w:t>
                  </w:r>
                </w:p>
              </w:tc>
              <w:tc>
                <w:tcPr>
                  <w:tcW w:w="961" w:type="dxa"/>
                  <w:noWrap w:val="0"/>
                  <w:vAlign w:val="center"/>
                </w:tcPr>
                <w:p>
                  <w:pPr>
                    <w:adjustRightInd w:val="0"/>
                    <w:snapToGrid w:val="0"/>
                    <w:jc w:val="center"/>
                    <w:rPr>
                      <w:szCs w:val="21"/>
                    </w:rPr>
                  </w:pPr>
                  <w:r>
                    <w:rPr>
                      <w:rFonts w:hint="eastAsia"/>
                      <w:szCs w:val="21"/>
                    </w:rPr>
                    <w:t>/</w:t>
                  </w:r>
                </w:p>
              </w:tc>
              <w:tc>
                <w:tcPr>
                  <w:tcW w:w="907" w:type="dxa"/>
                  <w:noWrap w:val="0"/>
                  <w:vAlign w:val="center"/>
                </w:tcPr>
                <w:p>
                  <w:pPr>
                    <w:adjustRightInd w:val="0"/>
                    <w:snapToGrid w:val="0"/>
                    <w:jc w:val="center"/>
                    <w:rPr>
                      <w:szCs w:val="21"/>
                    </w:rPr>
                  </w:pPr>
                  <w:r>
                    <w:rPr>
                      <w:rFonts w:hint="eastAsia"/>
                      <w:szCs w:val="21"/>
                    </w:rPr>
                    <w:t>/</w:t>
                  </w:r>
                </w:p>
              </w:tc>
              <w:tc>
                <w:tcPr>
                  <w:tcW w:w="841" w:type="dxa"/>
                  <w:noWrap w:val="0"/>
                  <w:vAlign w:val="center"/>
                </w:tcPr>
                <w:p>
                  <w:pPr>
                    <w:adjustRightInd w:val="0"/>
                    <w:snapToGrid w:val="0"/>
                    <w:jc w:val="center"/>
                    <w:rPr>
                      <w:rFonts w:hint="eastAsia"/>
                      <w:szCs w:val="21"/>
                    </w:rPr>
                  </w:pPr>
                  <w:r>
                    <w:rPr>
                      <w:rFonts w:hint="eastAsia"/>
                      <w:szCs w:val="21"/>
                    </w:rPr>
                    <w:t>/</w:t>
                  </w:r>
                </w:p>
              </w:tc>
              <w:tc>
                <w:tcPr>
                  <w:tcW w:w="1027" w:type="dxa"/>
                  <w:noWrap w:val="0"/>
                  <w:vAlign w:val="center"/>
                </w:tcPr>
                <w:p>
                  <w:pPr>
                    <w:adjustRightInd w:val="0"/>
                    <w:snapToGrid w:val="0"/>
                    <w:jc w:val="center"/>
                    <w:rPr>
                      <w:rFonts w:hint="eastAsia"/>
                      <w:szCs w:val="21"/>
                    </w:rPr>
                  </w:pPr>
                  <w:r>
                    <w:rPr>
                      <w:rFonts w:hint="eastAsia"/>
                      <w:szCs w:val="21"/>
                    </w:rPr>
                    <w:t>/</w:t>
                  </w:r>
                </w:p>
              </w:tc>
              <w:tc>
                <w:tcPr>
                  <w:tcW w:w="1027" w:type="dxa"/>
                  <w:noWrap w:val="0"/>
                  <w:vAlign w:val="center"/>
                </w:tcPr>
                <w:p>
                  <w:pPr>
                    <w:adjustRightInd w:val="0"/>
                    <w:snapToGrid w:val="0"/>
                    <w:jc w:val="center"/>
                    <w:rPr>
                      <w:rFonts w:hint="eastAsia"/>
                      <w:szCs w:val="21"/>
                    </w:rPr>
                  </w:pPr>
                  <w:r>
                    <w:rPr>
                      <w:rFonts w:hint="eastAsia"/>
                      <w:szCs w:val="21"/>
                    </w:rPr>
                    <w:t>加强车间通风</w:t>
                  </w:r>
                </w:p>
              </w:tc>
              <w:tc>
                <w:tcPr>
                  <w:tcW w:w="692" w:type="dxa"/>
                  <w:noWrap w:val="0"/>
                  <w:vAlign w:val="center"/>
                </w:tcPr>
                <w:p>
                  <w:pPr>
                    <w:adjustRightInd w:val="0"/>
                    <w:snapToGrid w:val="0"/>
                    <w:jc w:val="center"/>
                    <w:rPr>
                      <w:rFonts w:hint="eastAsia"/>
                      <w:szCs w:val="21"/>
                    </w:rPr>
                  </w:pPr>
                  <w:r>
                    <w:rPr>
                      <w:rFonts w:hint="eastAsia"/>
                      <w:szCs w:val="21"/>
                    </w:rPr>
                    <w:t>/</w:t>
                  </w:r>
                </w:p>
              </w:tc>
              <w:tc>
                <w:tcPr>
                  <w:tcW w:w="675" w:type="dxa"/>
                  <w:noWrap w:val="0"/>
                  <w:vAlign w:val="center"/>
                </w:tcPr>
                <w:p>
                  <w:pPr>
                    <w:adjustRightInd w:val="0"/>
                    <w:snapToGrid w:val="0"/>
                    <w:jc w:val="center"/>
                    <w:rPr>
                      <w:szCs w:val="21"/>
                    </w:rPr>
                  </w:pPr>
                  <w:r>
                    <w:rPr>
                      <w:rFonts w:hint="eastAsia"/>
                      <w:szCs w:val="21"/>
                    </w:rPr>
                    <w:t>/</w:t>
                  </w:r>
                </w:p>
              </w:tc>
              <w:tc>
                <w:tcPr>
                  <w:tcW w:w="912" w:type="dxa"/>
                  <w:noWrap w:val="0"/>
                  <w:vAlign w:val="center"/>
                </w:tcPr>
                <w:p>
                  <w:pPr>
                    <w:adjustRightInd w:val="0"/>
                    <w:snapToGrid w:val="0"/>
                    <w:jc w:val="center"/>
                    <w:rPr>
                      <w:szCs w:val="21"/>
                    </w:rPr>
                  </w:pPr>
                  <w:r>
                    <w:rPr>
                      <w:rFonts w:hint="eastAsia"/>
                      <w:szCs w:val="21"/>
                    </w:rPr>
                    <w:t>/</w:t>
                  </w:r>
                </w:p>
              </w:tc>
              <w:tc>
                <w:tcPr>
                  <w:tcW w:w="1066" w:type="dxa"/>
                  <w:noWrap w:val="0"/>
                  <w:vAlign w:val="center"/>
                </w:tcPr>
                <w:p>
                  <w:pPr>
                    <w:adjustRightInd w:val="0"/>
                    <w:snapToGrid w:val="0"/>
                    <w:jc w:val="center"/>
                    <w:rPr>
                      <w:szCs w:val="21"/>
                    </w:rPr>
                  </w:pPr>
                  <w:r>
                    <w:rPr>
                      <w:rFonts w:hint="eastAsia"/>
                      <w:szCs w:val="21"/>
                    </w:rPr>
                    <w:t>/</w:t>
                  </w:r>
                </w:p>
              </w:tc>
              <w:tc>
                <w:tcPr>
                  <w:tcW w:w="787" w:type="dxa"/>
                  <w:noWrap w:val="0"/>
                  <w:vAlign w:val="center"/>
                </w:tcPr>
                <w:p>
                  <w:pPr>
                    <w:adjustRightInd w:val="0"/>
                    <w:snapToGrid w:val="0"/>
                    <w:jc w:val="center"/>
                    <w:rPr>
                      <w:rFonts w:hint="eastAsia"/>
                      <w:szCs w:val="21"/>
                    </w:rPr>
                  </w:pPr>
                  <w:r>
                    <w:rPr>
                      <w:rFonts w:hint="eastAsia"/>
                      <w:szCs w:val="21"/>
                    </w:rPr>
                    <w:t>/</w:t>
                  </w:r>
                </w:p>
              </w:tc>
              <w:tc>
                <w:tcPr>
                  <w:tcW w:w="727"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restart"/>
                  <w:noWrap w:val="0"/>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eastAsia="zh-CN"/>
                    </w:rPr>
                    <w:t>加弹</w:t>
                  </w:r>
                </w:p>
              </w:tc>
              <w:tc>
                <w:tcPr>
                  <w:tcW w:w="873" w:type="dxa"/>
                  <w:vMerge w:val="restart"/>
                  <w:noWrap w:val="0"/>
                  <w:vAlign w:val="center"/>
                </w:tcPr>
                <w:p>
                  <w:pPr>
                    <w:adjustRightInd w:val="0"/>
                    <w:snapToGrid w:val="0"/>
                    <w:jc w:val="center"/>
                    <w:rPr>
                      <w:rFonts w:hint="eastAsia"/>
                      <w:lang w:eastAsia="zh-CN"/>
                    </w:rPr>
                  </w:pPr>
                  <w:r>
                    <w:rPr>
                      <w:rFonts w:hint="eastAsia"/>
                      <w:lang w:eastAsia="zh-CN"/>
                    </w:rPr>
                    <w:t>加弹机</w:t>
                  </w:r>
                </w:p>
                <w:p>
                  <w:pPr>
                    <w:bidi w:val="0"/>
                    <w:jc w:val="center"/>
                    <w:rPr>
                      <w:rFonts w:hint="eastAsia"/>
                      <w:lang w:eastAsia="zh-CN"/>
                    </w:rPr>
                  </w:pPr>
                  <w:r>
                    <w:rPr>
                      <w:rFonts w:hint="eastAsia"/>
                      <w:lang w:eastAsia="zh-CN"/>
                    </w:rPr>
                    <w:t>加弹</w:t>
                  </w:r>
                </w:p>
                <w:p>
                  <w:pPr>
                    <w:bidi w:val="0"/>
                    <w:jc w:val="center"/>
                    <w:rPr>
                      <w:rFonts w:hint="eastAsia"/>
                      <w:lang w:val="en-US" w:eastAsia="zh-CN"/>
                    </w:rPr>
                  </w:pPr>
                  <w:r>
                    <w:rPr>
                      <w:rFonts w:hint="eastAsia"/>
                      <w:lang w:eastAsia="zh-CN"/>
                    </w:rPr>
                    <w:t>废气</w:t>
                  </w:r>
                </w:p>
              </w:tc>
              <w:tc>
                <w:tcPr>
                  <w:tcW w:w="807" w:type="dxa"/>
                  <w:vMerge w:val="restart"/>
                  <w:noWrap w:val="0"/>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有组织</w:t>
                  </w:r>
                </w:p>
              </w:tc>
              <w:tc>
                <w:tcPr>
                  <w:tcW w:w="944" w:type="dxa"/>
                  <w:noWrap w:val="0"/>
                  <w:vAlign w:val="center"/>
                </w:tcPr>
                <w:p>
                  <w:pPr>
                    <w:adjustRightInd w:val="0"/>
                    <w:snapToGrid w:val="0"/>
                    <w:jc w:val="center"/>
                    <w:rPr>
                      <w:rFonts w:hint="eastAsia" w:eastAsia="宋体"/>
                      <w:szCs w:val="21"/>
                      <w:lang w:eastAsia="zh-CN"/>
                    </w:rPr>
                  </w:pPr>
                  <w:r>
                    <w:rPr>
                      <w:rFonts w:hint="eastAsia"/>
                      <w:szCs w:val="21"/>
                      <w:lang w:eastAsia="zh-CN"/>
                    </w:rPr>
                    <w:t>非甲烷总烃</w:t>
                  </w:r>
                </w:p>
              </w:tc>
              <w:tc>
                <w:tcPr>
                  <w:tcW w:w="731" w:type="dxa"/>
                  <w:vMerge w:val="restart"/>
                  <w:noWrap w:val="0"/>
                  <w:vAlign w:val="center"/>
                </w:tcPr>
                <w:p>
                  <w:pPr>
                    <w:adjustRightInd w:val="0"/>
                    <w:snapToGrid w:val="0"/>
                    <w:jc w:val="center"/>
                    <w:rPr>
                      <w:rFonts w:hint="eastAsia" w:eastAsia="宋体"/>
                      <w:szCs w:val="21"/>
                      <w:lang w:eastAsia="zh-CN"/>
                    </w:rPr>
                  </w:pPr>
                  <w:r>
                    <w:rPr>
                      <w:rFonts w:hint="eastAsia"/>
                      <w:szCs w:val="21"/>
                      <w:lang w:eastAsia="zh-CN"/>
                    </w:rPr>
                    <w:t>类比法</w:t>
                  </w:r>
                </w:p>
              </w:tc>
              <w:tc>
                <w:tcPr>
                  <w:tcW w:w="961" w:type="dxa"/>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5000</w:t>
                  </w:r>
                </w:p>
              </w:tc>
              <w:tc>
                <w:tcPr>
                  <w:tcW w:w="907"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16.2</w:t>
                  </w:r>
                </w:p>
              </w:tc>
              <w:tc>
                <w:tcPr>
                  <w:tcW w:w="841"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0.081</w:t>
                  </w:r>
                </w:p>
              </w:tc>
              <w:tc>
                <w:tcPr>
                  <w:tcW w:w="1027" w:type="dxa"/>
                  <w:noWrap w:val="0"/>
                  <w:vAlign w:val="center"/>
                </w:tcPr>
                <w:p>
                  <w:pPr>
                    <w:adjustRightInd w:val="0"/>
                    <w:snapToGrid w:val="0"/>
                    <w:jc w:val="center"/>
                    <w:rPr>
                      <w:szCs w:val="21"/>
                    </w:rPr>
                  </w:pPr>
                  <w:r>
                    <w:rPr>
                      <w:rFonts w:hint="eastAsia"/>
                      <w:szCs w:val="21"/>
                      <w:lang w:val="en-US" w:eastAsia="zh-CN"/>
                    </w:rPr>
                    <w:t>90</w:t>
                  </w:r>
                  <w:r>
                    <w:rPr>
                      <w:rFonts w:hint="eastAsia"/>
                      <w:szCs w:val="21"/>
                    </w:rPr>
                    <w:t>%</w:t>
                  </w:r>
                </w:p>
              </w:tc>
              <w:tc>
                <w:tcPr>
                  <w:tcW w:w="1027" w:type="dxa"/>
                  <w:vMerge w:val="restart"/>
                  <w:noWrap w:val="0"/>
                  <w:vAlign w:val="center"/>
                </w:tcPr>
                <w:p>
                  <w:pPr>
                    <w:adjustRightInd w:val="0"/>
                    <w:snapToGrid w:val="0"/>
                    <w:jc w:val="center"/>
                    <w:rPr>
                      <w:rFonts w:hint="eastAsia"/>
                      <w:szCs w:val="21"/>
                    </w:rPr>
                  </w:pPr>
                  <w:r>
                    <w:rPr>
                      <w:rFonts w:hint="eastAsia"/>
                      <w:szCs w:val="21"/>
                      <w:lang w:eastAsia="zh-CN"/>
                    </w:rPr>
                    <w:t>冷却</w:t>
                  </w:r>
                  <w:r>
                    <w:rPr>
                      <w:rFonts w:hint="eastAsia"/>
                      <w:szCs w:val="21"/>
                      <w:lang w:val="en-US" w:eastAsia="zh-CN"/>
                    </w:rPr>
                    <w:t>+水喷淋+静电</w:t>
                  </w:r>
                  <w:r>
                    <w:rPr>
                      <w:rFonts w:hint="eastAsia"/>
                      <w:szCs w:val="21"/>
                    </w:rPr>
                    <w:t>油烟净化装置</w:t>
                  </w:r>
                </w:p>
              </w:tc>
              <w:tc>
                <w:tcPr>
                  <w:tcW w:w="692" w:type="dxa"/>
                  <w:noWrap w:val="0"/>
                  <w:vAlign w:val="center"/>
                </w:tcPr>
                <w:p>
                  <w:pPr>
                    <w:adjustRightInd w:val="0"/>
                    <w:snapToGrid w:val="0"/>
                    <w:jc w:val="center"/>
                    <w:rPr>
                      <w:szCs w:val="21"/>
                    </w:rPr>
                  </w:pPr>
                  <w:r>
                    <w:rPr>
                      <w:rFonts w:hint="eastAsia"/>
                      <w:szCs w:val="21"/>
                      <w:lang w:val="en-US" w:eastAsia="zh-CN"/>
                    </w:rPr>
                    <w:t>90</w:t>
                  </w:r>
                  <w:r>
                    <w:rPr>
                      <w:rFonts w:hint="eastAsia"/>
                      <w:szCs w:val="21"/>
                    </w:rPr>
                    <w:t>%</w:t>
                  </w:r>
                </w:p>
              </w:tc>
              <w:tc>
                <w:tcPr>
                  <w:tcW w:w="675" w:type="dxa"/>
                  <w:vMerge w:val="restart"/>
                  <w:noWrap w:val="0"/>
                  <w:vAlign w:val="center"/>
                </w:tcPr>
                <w:p>
                  <w:pPr>
                    <w:adjustRightInd w:val="0"/>
                    <w:snapToGrid w:val="0"/>
                    <w:jc w:val="center"/>
                    <w:rPr>
                      <w:szCs w:val="21"/>
                    </w:rPr>
                  </w:pPr>
                  <w:r>
                    <w:rPr>
                      <w:rFonts w:hint="eastAsia"/>
                      <w:szCs w:val="21"/>
                      <w:lang w:eastAsia="zh-CN"/>
                    </w:rPr>
                    <w:t>类比法</w:t>
                  </w:r>
                </w:p>
              </w:tc>
              <w:tc>
                <w:tcPr>
                  <w:tcW w:w="912" w:type="dxa"/>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5000</w:t>
                  </w:r>
                </w:p>
              </w:tc>
              <w:tc>
                <w:tcPr>
                  <w:tcW w:w="1066"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1.6</w:t>
                  </w:r>
                </w:p>
              </w:tc>
              <w:tc>
                <w:tcPr>
                  <w:tcW w:w="787"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0.008</w:t>
                  </w:r>
                </w:p>
              </w:tc>
              <w:tc>
                <w:tcPr>
                  <w:tcW w:w="727" w:type="dxa"/>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13" w:type="dxa"/>
                  <w:vMerge w:val="continue"/>
                  <w:noWrap w:val="0"/>
                  <w:vAlign w:val="center"/>
                </w:tcPr>
                <w:p>
                  <w:pPr>
                    <w:adjustRightInd w:val="0"/>
                    <w:snapToGrid w:val="0"/>
                    <w:jc w:val="center"/>
                    <w:rPr>
                      <w:rFonts w:hint="eastAsia"/>
                      <w:szCs w:val="21"/>
                    </w:rPr>
                  </w:pPr>
                </w:p>
              </w:tc>
              <w:tc>
                <w:tcPr>
                  <w:tcW w:w="873" w:type="dxa"/>
                  <w:vMerge w:val="continue"/>
                  <w:noWrap w:val="0"/>
                  <w:vAlign w:val="center"/>
                </w:tcPr>
                <w:p>
                  <w:pPr>
                    <w:adjustRightInd w:val="0"/>
                    <w:snapToGrid w:val="0"/>
                    <w:jc w:val="center"/>
                    <w:rPr>
                      <w:rFonts w:hint="eastAsia"/>
                      <w:szCs w:val="21"/>
                    </w:rPr>
                  </w:pPr>
                </w:p>
              </w:tc>
              <w:tc>
                <w:tcPr>
                  <w:tcW w:w="807" w:type="dxa"/>
                  <w:vMerge w:val="continue"/>
                  <w:noWrap w:val="0"/>
                  <w:vAlign w:val="center"/>
                </w:tcPr>
                <w:p>
                  <w:pPr>
                    <w:adjustRightInd w:val="0"/>
                    <w:snapToGrid w:val="0"/>
                    <w:jc w:val="center"/>
                    <w:rPr>
                      <w:rFonts w:hint="eastAsia"/>
                      <w:szCs w:val="21"/>
                    </w:rPr>
                  </w:pPr>
                </w:p>
              </w:tc>
              <w:tc>
                <w:tcPr>
                  <w:tcW w:w="944" w:type="dxa"/>
                  <w:noWrap w:val="0"/>
                  <w:vAlign w:val="center"/>
                </w:tcPr>
                <w:p>
                  <w:pPr>
                    <w:adjustRightInd w:val="0"/>
                    <w:snapToGrid w:val="0"/>
                    <w:jc w:val="center"/>
                    <w:rPr>
                      <w:rFonts w:hint="eastAsia"/>
                      <w:szCs w:val="21"/>
                    </w:rPr>
                  </w:pPr>
                  <w:r>
                    <w:rPr>
                      <w:rFonts w:hint="eastAsia"/>
                      <w:szCs w:val="21"/>
                    </w:rPr>
                    <w:t>臭气</w:t>
                  </w:r>
                </w:p>
                <w:p>
                  <w:pPr>
                    <w:adjustRightInd w:val="0"/>
                    <w:snapToGrid w:val="0"/>
                    <w:jc w:val="center"/>
                    <w:rPr>
                      <w:rFonts w:hint="eastAsia"/>
                      <w:szCs w:val="21"/>
                    </w:rPr>
                  </w:pPr>
                  <w:r>
                    <w:rPr>
                      <w:rFonts w:hint="eastAsia"/>
                      <w:szCs w:val="21"/>
                    </w:rPr>
                    <w:t>浓度</w:t>
                  </w:r>
                </w:p>
              </w:tc>
              <w:tc>
                <w:tcPr>
                  <w:tcW w:w="731" w:type="dxa"/>
                  <w:vMerge w:val="continue"/>
                  <w:noWrap w:val="0"/>
                  <w:vAlign w:val="center"/>
                </w:tcPr>
                <w:p>
                  <w:pPr>
                    <w:adjustRightInd w:val="0"/>
                    <w:snapToGrid w:val="0"/>
                    <w:jc w:val="center"/>
                    <w:rPr>
                      <w:rFonts w:hint="eastAsia"/>
                      <w:szCs w:val="21"/>
                    </w:rPr>
                  </w:pPr>
                </w:p>
              </w:tc>
              <w:tc>
                <w:tcPr>
                  <w:tcW w:w="961" w:type="dxa"/>
                  <w:vMerge w:val="continue"/>
                  <w:noWrap w:val="0"/>
                  <w:vAlign w:val="center"/>
                </w:tcPr>
                <w:p>
                  <w:pPr>
                    <w:adjustRightInd w:val="0"/>
                    <w:snapToGrid w:val="0"/>
                    <w:jc w:val="center"/>
                    <w:rPr>
                      <w:rFonts w:hint="eastAsia"/>
                      <w:szCs w:val="21"/>
                    </w:rPr>
                  </w:pPr>
                </w:p>
              </w:tc>
              <w:tc>
                <w:tcPr>
                  <w:tcW w:w="907" w:type="dxa"/>
                  <w:noWrap w:val="0"/>
                  <w:vAlign w:val="center"/>
                </w:tcPr>
                <w:p>
                  <w:pPr>
                    <w:adjustRightInd w:val="0"/>
                    <w:snapToGrid w:val="0"/>
                    <w:jc w:val="center"/>
                    <w:rPr>
                      <w:szCs w:val="21"/>
                    </w:rPr>
                  </w:pPr>
                  <w:r>
                    <w:rPr>
                      <w:rFonts w:hint="eastAsia"/>
                      <w:szCs w:val="21"/>
                      <w:lang w:val="en-US" w:eastAsia="zh-CN"/>
                    </w:rPr>
                    <w:t>300</w:t>
                  </w:r>
                  <w:r>
                    <w:rPr>
                      <w:rFonts w:hint="eastAsia"/>
                      <w:szCs w:val="21"/>
                    </w:rPr>
                    <w:t>（无量纲）</w:t>
                  </w:r>
                </w:p>
              </w:tc>
              <w:tc>
                <w:tcPr>
                  <w:tcW w:w="841" w:type="dxa"/>
                  <w:noWrap w:val="0"/>
                  <w:vAlign w:val="center"/>
                </w:tcPr>
                <w:p>
                  <w:pPr>
                    <w:adjustRightInd w:val="0"/>
                    <w:snapToGrid w:val="0"/>
                    <w:jc w:val="center"/>
                    <w:rPr>
                      <w:szCs w:val="21"/>
                    </w:rPr>
                  </w:pPr>
                  <w:r>
                    <w:rPr>
                      <w:rFonts w:hint="eastAsia"/>
                      <w:szCs w:val="21"/>
                    </w:rPr>
                    <w:t>/</w:t>
                  </w:r>
                </w:p>
              </w:tc>
              <w:tc>
                <w:tcPr>
                  <w:tcW w:w="1027" w:type="dxa"/>
                  <w:noWrap w:val="0"/>
                  <w:vAlign w:val="center"/>
                </w:tcPr>
                <w:p>
                  <w:pPr>
                    <w:adjustRightInd w:val="0"/>
                    <w:snapToGrid w:val="0"/>
                    <w:jc w:val="center"/>
                    <w:rPr>
                      <w:rFonts w:hint="eastAsia"/>
                      <w:szCs w:val="21"/>
                    </w:rPr>
                  </w:pPr>
                  <w:r>
                    <w:rPr>
                      <w:rFonts w:hint="eastAsia"/>
                      <w:szCs w:val="21"/>
                      <w:lang w:val="en-US" w:eastAsia="zh-CN"/>
                    </w:rPr>
                    <w:t>90</w:t>
                  </w:r>
                  <w:r>
                    <w:rPr>
                      <w:rFonts w:hint="eastAsia"/>
                      <w:szCs w:val="21"/>
                    </w:rPr>
                    <w:t>%</w:t>
                  </w:r>
                </w:p>
              </w:tc>
              <w:tc>
                <w:tcPr>
                  <w:tcW w:w="1027" w:type="dxa"/>
                  <w:vMerge w:val="continue"/>
                  <w:noWrap w:val="0"/>
                  <w:vAlign w:val="center"/>
                </w:tcPr>
                <w:p>
                  <w:pPr>
                    <w:adjustRightInd w:val="0"/>
                    <w:snapToGrid w:val="0"/>
                    <w:jc w:val="center"/>
                    <w:rPr>
                      <w:rFonts w:hint="eastAsia"/>
                      <w:szCs w:val="21"/>
                    </w:rPr>
                  </w:pPr>
                </w:p>
              </w:tc>
              <w:tc>
                <w:tcPr>
                  <w:tcW w:w="692"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50%</w:t>
                  </w:r>
                </w:p>
              </w:tc>
              <w:tc>
                <w:tcPr>
                  <w:tcW w:w="675" w:type="dxa"/>
                  <w:vMerge w:val="continue"/>
                  <w:noWrap w:val="0"/>
                  <w:vAlign w:val="center"/>
                </w:tcPr>
                <w:p>
                  <w:pPr>
                    <w:adjustRightInd w:val="0"/>
                    <w:snapToGrid w:val="0"/>
                    <w:jc w:val="center"/>
                    <w:rPr>
                      <w:rFonts w:hint="eastAsia"/>
                      <w:szCs w:val="21"/>
                    </w:rPr>
                  </w:pPr>
                </w:p>
              </w:tc>
              <w:tc>
                <w:tcPr>
                  <w:tcW w:w="912" w:type="dxa"/>
                  <w:vMerge w:val="continue"/>
                  <w:noWrap w:val="0"/>
                  <w:vAlign w:val="center"/>
                </w:tcPr>
                <w:p>
                  <w:pPr>
                    <w:adjustRightInd w:val="0"/>
                    <w:snapToGrid w:val="0"/>
                    <w:jc w:val="center"/>
                    <w:rPr>
                      <w:rFonts w:hint="eastAsia"/>
                      <w:szCs w:val="21"/>
                    </w:rPr>
                  </w:pPr>
                </w:p>
              </w:tc>
              <w:tc>
                <w:tcPr>
                  <w:tcW w:w="1066" w:type="dxa"/>
                  <w:noWrap w:val="0"/>
                  <w:vAlign w:val="center"/>
                </w:tcPr>
                <w:p>
                  <w:pPr>
                    <w:adjustRightInd w:val="0"/>
                    <w:snapToGrid w:val="0"/>
                    <w:jc w:val="center"/>
                    <w:rPr>
                      <w:szCs w:val="21"/>
                    </w:rPr>
                  </w:pPr>
                  <w:r>
                    <w:rPr>
                      <w:rFonts w:hint="eastAsia"/>
                      <w:szCs w:val="21"/>
                      <w:lang w:val="en-US" w:eastAsia="zh-CN"/>
                    </w:rPr>
                    <w:t>150</w:t>
                  </w:r>
                  <w:r>
                    <w:rPr>
                      <w:rFonts w:hint="eastAsia"/>
                      <w:szCs w:val="21"/>
                    </w:rPr>
                    <w:t>（无量纲）</w:t>
                  </w:r>
                </w:p>
              </w:tc>
              <w:tc>
                <w:tcPr>
                  <w:tcW w:w="787" w:type="dxa"/>
                  <w:noWrap w:val="0"/>
                  <w:vAlign w:val="center"/>
                </w:tcPr>
                <w:p>
                  <w:pPr>
                    <w:adjustRightInd w:val="0"/>
                    <w:snapToGrid w:val="0"/>
                    <w:jc w:val="center"/>
                    <w:rPr>
                      <w:szCs w:val="21"/>
                    </w:rPr>
                  </w:pPr>
                  <w:r>
                    <w:rPr>
                      <w:rFonts w:hint="eastAsia"/>
                      <w:szCs w:val="21"/>
                    </w:rPr>
                    <w:t>/</w:t>
                  </w:r>
                </w:p>
              </w:tc>
              <w:tc>
                <w:tcPr>
                  <w:tcW w:w="727" w:type="dxa"/>
                  <w:vMerge w:val="continue"/>
                  <w:noWrap w:val="0"/>
                  <w:vAlign w:val="center"/>
                </w:tcPr>
                <w:p>
                  <w:pPr>
                    <w:adjustRightInd w:val="0"/>
                    <w:snapToGri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continue"/>
                  <w:noWrap w:val="0"/>
                  <w:vAlign w:val="center"/>
                </w:tcPr>
                <w:p>
                  <w:pPr>
                    <w:adjustRightInd w:val="0"/>
                    <w:snapToGrid w:val="0"/>
                    <w:jc w:val="center"/>
                    <w:rPr>
                      <w:rFonts w:hint="eastAsia"/>
                      <w:szCs w:val="21"/>
                    </w:rPr>
                  </w:pPr>
                </w:p>
              </w:tc>
              <w:tc>
                <w:tcPr>
                  <w:tcW w:w="873" w:type="dxa"/>
                  <w:vMerge w:val="continue"/>
                  <w:noWrap w:val="0"/>
                  <w:vAlign w:val="center"/>
                </w:tcPr>
                <w:p>
                  <w:pPr>
                    <w:adjustRightInd w:val="0"/>
                    <w:snapToGrid w:val="0"/>
                    <w:jc w:val="center"/>
                    <w:rPr>
                      <w:rFonts w:hint="eastAsia"/>
                      <w:szCs w:val="21"/>
                    </w:rPr>
                  </w:pPr>
                </w:p>
              </w:tc>
              <w:tc>
                <w:tcPr>
                  <w:tcW w:w="807" w:type="dxa"/>
                  <w:vMerge w:val="restart"/>
                  <w:noWrap w:val="0"/>
                  <w:vAlign w:val="center"/>
                </w:tcPr>
                <w:p>
                  <w:pPr>
                    <w:adjustRightInd w:val="0"/>
                    <w:snapToGrid w:val="0"/>
                    <w:jc w:val="center"/>
                    <w:rPr>
                      <w:rFonts w:hint="eastAsia"/>
                      <w:szCs w:val="21"/>
                    </w:rPr>
                  </w:pPr>
                  <w:r>
                    <w:rPr>
                      <w:rFonts w:hint="eastAsia"/>
                      <w:szCs w:val="21"/>
                    </w:rPr>
                    <w:t>无组织</w:t>
                  </w:r>
                </w:p>
              </w:tc>
              <w:tc>
                <w:tcPr>
                  <w:tcW w:w="944" w:type="dxa"/>
                  <w:noWrap w:val="0"/>
                  <w:vAlign w:val="center"/>
                </w:tcPr>
                <w:p>
                  <w:pPr>
                    <w:adjustRightInd w:val="0"/>
                    <w:snapToGrid w:val="0"/>
                    <w:jc w:val="center"/>
                    <w:rPr>
                      <w:rFonts w:hint="eastAsia" w:eastAsia="宋体"/>
                      <w:szCs w:val="21"/>
                      <w:lang w:eastAsia="zh-CN"/>
                    </w:rPr>
                  </w:pPr>
                  <w:r>
                    <w:rPr>
                      <w:rFonts w:hint="eastAsia"/>
                      <w:szCs w:val="21"/>
                      <w:lang w:eastAsia="zh-CN"/>
                    </w:rPr>
                    <w:t>非甲烷总烃</w:t>
                  </w:r>
                </w:p>
              </w:tc>
              <w:tc>
                <w:tcPr>
                  <w:tcW w:w="731" w:type="dxa"/>
                  <w:vMerge w:val="continue"/>
                  <w:noWrap w:val="0"/>
                  <w:vAlign w:val="center"/>
                </w:tcPr>
                <w:p>
                  <w:pPr>
                    <w:adjustRightInd w:val="0"/>
                    <w:snapToGrid w:val="0"/>
                    <w:jc w:val="center"/>
                    <w:rPr>
                      <w:rFonts w:hint="eastAsia"/>
                      <w:szCs w:val="21"/>
                    </w:rPr>
                  </w:pPr>
                </w:p>
              </w:tc>
              <w:tc>
                <w:tcPr>
                  <w:tcW w:w="961" w:type="dxa"/>
                  <w:noWrap w:val="0"/>
                  <w:vAlign w:val="center"/>
                </w:tcPr>
                <w:p>
                  <w:pPr>
                    <w:adjustRightInd w:val="0"/>
                    <w:snapToGrid w:val="0"/>
                    <w:jc w:val="center"/>
                    <w:rPr>
                      <w:szCs w:val="21"/>
                    </w:rPr>
                  </w:pPr>
                  <w:r>
                    <w:rPr>
                      <w:rFonts w:hint="eastAsia"/>
                      <w:szCs w:val="21"/>
                    </w:rPr>
                    <w:t>/</w:t>
                  </w:r>
                </w:p>
              </w:tc>
              <w:tc>
                <w:tcPr>
                  <w:tcW w:w="907" w:type="dxa"/>
                  <w:noWrap w:val="0"/>
                  <w:vAlign w:val="center"/>
                </w:tcPr>
                <w:p>
                  <w:pPr>
                    <w:adjustRightInd w:val="0"/>
                    <w:snapToGrid w:val="0"/>
                    <w:jc w:val="center"/>
                    <w:rPr>
                      <w:szCs w:val="21"/>
                    </w:rPr>
                  </w:pPr>
                  <w:r>
                    <w:rPr>
                      <w:rFonts w:hint="eastAsia"/>
                      <w:szCs w:val="21"/>
                    </w:rPr>
                    <w:t>/</w:t>
                  </w:r>
                </w:p>
              </w:tc>
              <w:tc>
                <w:tcPr>
                  <w:tcW w:w="841"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0.009</w:t>
                  </w:r>
                </w:p>
              </w:tc>
              <w:tc>
                <w:tcPr>
                  <w:tcW w:w="1027" w:type="dxa"/>
                  <w:noWrap w:val="0"/>
                  <w:vAlign w:val="center"/>
                </w:tcPr>
                <w:p>
                  <w:pPr>
                    <w:adjustRightInd w:val="0"/>
                    <w:snapToGrid w:val="0"/>
                    <w:jc w:val="center"/>
                    <w:rPr>
                      <w:rFonts w:hint="eastAsia"/>
                      <w:szCs w:val="21"/>
                    </w:rPr>
                  </w:pPr>
                  <w:r>
                    <w:rPr>
                      <w:rFonts w:hint="eastAsia"/>
                      <w:szCs w:val="21"/>
                    </w:rPr>
                    <w:t>/</w:t>
                  </w:r>
                </w:p>
              </w:tc>
              <w:tc>
                <w:tcPr>
                  <w:tcW w:w="1027" w:type="dxa"/>
                  <w:noWrap w:val="0"/>
                  <w:vAlign w:val="center"/>
                </w:tcPr>
                <w:p>
                  <w:pPr>
                    <w:adjustRightInd w:val="0"/>
                    <w:snapToGrid w:val="0"/>
                    <w:jc w:val="center"/>
                    <w:rPr>
                      <w:rFonts w:hint="eastAsia"/>
                      <w:szCs w:val="21"/>
                    </w:rPr>
                  </w:pPr>
                  <w:r>
                    <w:rPr>
                      <w:rFonts w:hint="eastAsia"/>
                      <w:szCs w:val="21"/>
                    </w:rPr>
                    <w:t>/</w:t>
                  </w:r>
                </w:p>
              </w:tc>
              <w:tc>
                <w:tcPr>
                  <w:tcW w:w="692" w:type="dxa"/>
                  <w:noWrap w:val="0"/>
                  <w:vAlign w:val="center"/>
                </w:tcPr>
                <w:p>
                  <w:pPr>
                    <w:adjustRightInd w:val="0"/>
                    <w:snapToGrid w:val="0"/>
                    <w:jc w:val="center"/>
                    <w:rPr>
                      <w:rFonts w:hint="eastAsia"/>
                      <w:szCs w:val="21"/>
                    </w:rPr>
                  </w:pPr>
                  <w:r>
                    <w:rPr>
                      <w:rFonts w:hint="eastAsia"/>
                      <w:szCs w:val="21"/>
                    </w:rPr>
                    <w:t>/</w:t>
                  </w:r>
                </w:p>
              </w:tc>
              <w:tc>
                <w:tcPr>
                  <w:tcW w:w="675" w:type="dxa"/>
                  <w:vMerge w:val="continue"/>
                  <w:noWrap w:val="0"/>
                  <w:vAlign w:val="center"/>
                </w:tcPr>
                <w:p>
                  <w:pPr>
                    <w:adjustRightInd w:val="0"/>
                    <w:snapToGrid w:val="0"/>
                    <w:jc w:val="center"/>
                    <w:rPr>
                      <w:rFonts w:hint="eastAsia"/>
                      <w:szCs w:val="21"/>
                    </w:rPr>
                  </w:pPr>
                </w:p>
              </w:tc>
              <w:tc>
                <w:tcPr>
                  <w:tcW w:w="912" w:type="dxa"/>
                  <w:noWrap w:val="0"/>
                  <w:vAlign w:val="center"/>
                </w:tcPr>
                <w:p>
                  <w:pPr>
                    <w:adjustRightInd w:val="0"/>
                    <w:snapToGrid w:val="0"/>
                    <w:jc w:val="center"/>
                    <w:rPr>
                      <w:szCs w:val="21"/>
                    </w:rPr>
                  </w:pPr>
                  <w:r>
                    <w:rPr>
                      <w:rFonts w:hint="eastAsia"/>
                      <w:szCs w:val="21"/>
                    </w:rPr>
                    <w:t>/</w:t>
                  </w:r>
                </w:p>
              </w:tc>
              <w:tc>
                <w:tcPr>
                  <w:tcW w:w="1066" w:type="dxa"/>
                  <w:noWrap w:val="0"/>
                  <w:vAlign w:val="center"/>
                </w:tcPr>
                <w:p>
                  <w:pPr>
                    <w:adjustRightInd w:val="0"/>
                    <w:snapToGrid w:val="0"/>
                    <w:jc w:val="center"/>
                    <w:rPr>
                      <w:szCs w:val="21"/>
                    </w:rPr>
                  </w:pPr>
                  <w:r>
                    <w:rPr>
                      <w:rFonts w:hint="eastAsia"/>
                      <w:szCs w:val="21"/>
                    </w:rPr>
                    <w:t>/</w:t>
                  </w:r>
                </w:p>
              </w:tc>
              <w:tc>
                <w:tcPr>
                  <w:tcW w:w="787"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0.009</w:t>
                  </w:r>
                </w:p>
              </w:tc>
              <w:tc>
                <w:tcPr>
                  <w:tcW w:w="727" w:type="dxa"/>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continue"/>
                  <w:noWrap w:val="0"/>
                  <w:vAlign w:val="center"/>
                </w:tcPr>
                <w:p>
                  <w:pPr>
                    <w:adjustRightInd w:val="0"/>
                    <w:snapToGrid w:val="0"/>
                    <w:jc w:val="center"/>
                    <w:rPr>
                      <w:rFonts w:hint="eastAsia"/>
                      <w:szCs w:val="21"/>
                    </w:rPr>
                  </w:pPr>
                </w:p>
              </w:tc>
              <w:tc>
                <w:tcPr>
                  <w:tcW w:w="873" w:type="dxa"/>
                  <w:vMerge w:val="continue"/>
                  <w:noWrap w:val="0"/>
                  <w:vAlign w:val="center"/>
                </w:tcPr>
                <w:p>
                  <w:pPr>
                    <w:adjustRightInd w:val="0"/>
                    <w:snapToGrid w:val="0"/>
                    <w:jc w:val="center"/>
                    <w:rPr>
                      <w:rFonts w:hint="eastAsia"/>
                      <w:szCs w:val="21"/>
                    </w:rPr>
                  </w:pPr>
                </w:p>
              </w:tc>
              <w:tc>
                <w:tcPr>
                  <w:tcW w:w="807" w:type="dxa"/>
                  <w:vMerge w:val="continue"/>
                  <w:noWrap w:val="0"/>
                  <w:vAlign w:val="center"/>
                </w:tcPr>
                <w:p>
                  <w:pPr>
                    <w:adjustRightInd w:val="0"/>
                    <w:snapToGrid w:val="0"/>
                    <w:jc w:val="center"/>
                    <w:rPr>
                      <w:rFonts w:hint="eastAsia"/>
                      <w:szCs w:val="21"/>
                    </w:rPr>
                  </w:pPr>
                </w:p>
              </w:tc>
              <w:tc>
                <w:tcPr>
                  <w:tcW w:w="944" w:type="dxa"/>
                  <w:noWrap w:val="0"/>
                  <w:vAlign w:val="center"/>
                </w:tcPr>
                <w:p>
                  <w:pPr>
                    <w:adjustRightInd w:val="0"/>
                    <w:snapToGrid w:val="0"/>
                    <w:jc w:val="center"/>
                    <w:rPr>
                      <w:rFonts w:hint="eastAsia"/>
                      <w:szCs w:val="21"/>
                    </w:rPr>
                  </w:pPr>
                  <w:r>
                    <w:rPr>
                      <w:rFonts w:hint="eastAsia"/>
                      <w:szCs w:val="21"/>
                    </w:rPr>
                    <w:t>臭气</w:t>
                  </w:r>
                </w:p>
                <w:p>
                  <w:pPr>
                    <w:adjustRightInd w:val="0"/>
                    <w:snapToGrid w:val="0"/>
                    <w:jc w:val="center"/>
                    <w:rPr>
                      <w:rFonts w:hint="eastAsia"/>
                      <w:szCs w:val="21"/>
                    </w:rPr>
                  </w:pPr>
                  <w:r>
                    <w:rPr>
                      <w:rFonts w:hint="eastAsia"/>
                      <w:szCs w:val="21"/>
                    </w:rPr>
                    <w:t>浓度</w:t>
                  </w:r>
                </w:p>
              </w:tc>
              <w:tc>
                <w:tcPr>
                  <w:tcW w:w="731" w:type="dxa"/>
                  <w:vMerge w:val="continue"/>
                  <w:noWrap w:val="0"/>
                  <w:vAlign w:val="center"/>
                </w:tcPr>
                <w:p>
                  <w:pPr>
                    <w:adjustRightInd w:val="0"/>
                    <w:snapToGrid w:val="0"/>
                    <w:jc w:val="center"/>
                    <w:rPr>
                      <w:rFonts w:hint="eastAsia"/>
                      <w:szCs w:val="21"/>
                    </w:rPr>
                  </w:pPr>
                </w:p>
              </w:tc>
              <w:tc>
                <w:tcPr>
                  <w:tcW w:w="961" w:type="dxa"/>
                  <w:noWrap w:val="0"/>
                  <w:vAlign w:val="center"/>
                </w:tcPr>
                <w:p>
                  <w:pPr>
                    <w:adjustRightInd w:val="0"/>
                    <w:snapToGrid w:val="0"/>
                    <w:jc w:val="center"/>
                    <w:rPr>
                      <w:szCs w:val="21"/>
                    </w:rPr>
                  </w:pPr>
                  <w:r>
                    <w:rPr>
                      <w:rFonts w:hint="eastAsia"/>
                      <w:szCs w:val="21"/>
                    </w:rPr>
                    <w:t>/</w:t>
                  </w:r>
                </w:p>
              </w:tc>
              <w:tc>
                <w:tcPr>
                  <w:tcW w:w="907" w:type="dxa"/>
                  <w:noWrap w:val="0"/>
                  <w:vAlign w:val="center"/>
                </w:tcPr>
                <w:p>
                  <w:pPr>
                    <w:adjustRightInd w:val="0"/>
                    <w:snapToGrid w:val="0"/>
                    <w:jc w:val="center"/>
                    <w:rPr>
                      <w:szCs w:val="21"/>
                    </w:rPr>
                  </w:pPr>
                  <w:r>
                    <w:rPr>
                      <w:rFonts w:hint="eastAsia"/>
                      <w:szCs w:val="21"/>
                    </w:rPr>
                    <w:t>20（无量纲）</w:t>
                  </w:r>
                </w:p>
              </w:tc>
              <w:tc>
                <w:tcPr>
                  <w:tcW w:w="841" w:type="dxa"/>
                  <w:noWrap w:val="0"/>
                  <w:vAlign w:val="center"/>
                </w:tcPr>
                <w:p>
                  <w:pPr>
                    <w:adjustRightInd w:val="0"/>
                    <w:snapToGrid w:val="0"/>
                    <w:jc w:val="center"/>
                    <w:rPr>
                      <w:szCs w:val="21"/>
                    </w:rPr>
                  </w:pPr>
                  <w:r>
                    <w:rPr>
                      <w:rFonts w:hint="eastAsia"/>
                      <w:szCs w:val="21"/>
                    </w:rPr>
                    <w:t>/</w:t>
                  </w:r>
                </w:p>
              </w:tc>
              <w:tc>
                <w:tcPr>
                  <w:tcW w:w="1027" w:type="dxa"/>
                  <w:noWrap w:val="0"/>
                  <w:vAlign w:val="center"/>
                </w:tcPr>
                <w:p>
                  <w:pPr>
                    <w:adjustRightInd w:val="0"/>
                    <w:snapToGrid w:val="0"/>
                    <w:jc w:val="center"/>
                    <w:rPr>
                      <w:rFonts w:hint="eastAsia"/>
                      <w:szCs w:val="21"/>
                    </w:rPr>
                  </w:pPr>
                  <w:r>
                    <w:rPr>
                      <w:rFonts w:hint="eastAsia"/>
                      <w:szCs w:val="21"/>
                    </w:rPr>
                    <w:t>/</w:t>
                  </w:r>
                </w:p>
              </w:tc>
              <w:tc>
                <w:tcPr>
                  <w:tcW w:w="1027" w:type="dxa"/>
                  <w:noWrap w:val="0"/>
                  <w:vAlign w:val="center"/>
                </w:tcPr>
                <w:p>
                  <w:pPr>
                    <w:adjustRightInd w:val="0"/>
                    <w:snapToGrid w:val="0"/>
                    <w:jc w:val="center"/>
                    <w:rPr>
                      <w:rFonts w:hint="eastAsia"/>
                      <w:szCs w:val="21"/>
                    </w:rPr>
                  </w:pPr>
                  <w:r>
                    <w:rPr>
                      <w:rFonts w:hint="eastAsia"/>
                      <w:szCs w:val="21"/>
                    </w:rPr>
                    <w:t>/</w:t>
                  </w:r>
                </w:p>
              </w:tc>
              <w:tc>
                <w:tcPr>
                  <w:tcW w:w="692" w:type="dxa"/>
                  <w:noWrap w:val="0"/>
                  <w:vAlign w:val="center"/>
                </w:tcPr>
                <w:p>
                  <w:pPr>
                    <w:adjustRightInd w:val="0"/>
                    <w:snapToGrid w:val="0"/>
                    <w:jc w:val="center"/>
                    <w:rPr>
                      <w:rFonts w:hint="eastAsia"/>
                      <w:szCs w:val="21"/>
                    </w:rPr>
                  </w:pPr>
                  <w:r>
                    <w:rPr>
                      <w:rFonts w:hint="eastAsia"/>
                      <w:szCs w:val="21"/>
                    </w:rPr>
                    <w:t>/</w:t>
                  </w:r>
                </w:p>
              </w:tc>
              <w:tc>
                <w:tcPr>
                  <w:tcW w:w="675" w:type="dxa"/>
                  <w:vMerge w:val="continue"/>
                  <w:noWrap w:val="0"/>
                  <w:vAlign w:val="center"/>
                </w:tcPr>
                <w:p>
                  <w:pPr>
                    <w:adjustRightInd w:val="0"/>
                    <w:snapToGrid w:val="0"/>
                    <w:jc w:val="center"/>
                    <w:rPr>
                      <w:rFonts w:hint="eastAsia"/>
                      <w:szCs w:val="21"/>
                    </w:rPr>
                  </w:pPr>
                </w:p>
              </w:tc>
              <w:tc>
                <w:tcPr>
                  <w:tcW w:w="912" w:type="dxa"/>
                  <w:noWrap w:val="0"/>
                  <w:vAlign w:val="center"/>
                </w:tcPr>
                <w:p>
                  <w:pPr>
                    <w:adjustRightInd w:val="0"/>
                    <w:snapToGrid w:val="0"/>
                    <w:jc w:val="center"/>
                    <w:rPr>
                      <w:szCs w:val="21"/>
                    </w:rPr>
                  </w:pPr>
                  <w:r>
                    <w:rPr>
                      <w:rFonts w:hint="eastAsia"/>
                      <w:szCs w:val="21"/>
                    </w:rPr>
                    <w:t>/</w:t>
                  </w:r>
                </w:p>
              </w:tc>
              <w:tc>
                <w:tcPr>
                  <w:tcW w:w="1066" w:type="dxa"/>
                  <w:noWrap w:val="0"/>
                  <w:vAlign w:val="center"/>
                </w:tcPr>
                <w:p>
                  <w:pPr>
                    <w:adjustRightInd w:val="0"/>
                    <w:snapToGrid w:val="0"/>
                    <w:jc w:val="center"/>
                    <w:rPr>
                      <w:rFonts w:hint="eastAsia"/>
                      <w:szCs w:val="21"/>
                    </w:rPr>
                  </w:pPr>
                  <w:r>
                    <w:rPr>
                      <w:rFonts w:hint="eastAsia"/>
                      <w:szCs w:val="21"/>
                      <w:lang w:val="en-US" w:eastAsia="zh-CN"/>
                    </w:rPr>
                    <w:t>16</w:t>
                  </w:r>
                  <w:r>
                    <w:rPr>
                      <w:rFonts w:hint="eastAsia"/>
                      <w:szCs w:val="21"/>
                    </w:rPr>
                    <w:t>（无量纲）</w:t>
                  </w:r>
                </w:p>
              </w:tc>
              <w:tc>
                <w:tcPr>
                  <w:tcW w:w="787" w:type="dxa"/>
                  <w:noWrap w:val="0"/>
                  <w:vAlign w:val="center"/>
                </w:tcPr>
                <w:p>
                  <w:pPr>
                    <w:adjustRightInd w:val="0"/>
                    <w:snapToGrid w:val="0"/>
                    <w:jc w:val="center"/>
                    <w:rPr>
                      <w:szCs w:val="21"/>
                    </w:rPr>
                  </w:pPr>
                  <w:r>
                    <w:rPr>
                      <w:rFonts w:hint="eastAsia"/>
                      <w:szCs w:val="21"/>
                    </w:rPr>
                    <w:t>/</w:t>
                  </w:r>
                </w:p>
              </w:tc>
              <w:tc>
                <w:tcPr>
                  <w:tcW w:w="727" w:type="dxa"/>
                  <w:vMerge w:val="continue"/>
                  <w:noWrap w:val="0"/>
                  <w:vAlign w:val="center"/>
                </w:tcPr>
                <w:p>
                  <w:pPr>
                    <w:adjustRightInd w:val="0"/>
                    <w:snapToGri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restart"/>
                  <w:noWrap w:val="0"/>
                  <w:vAlign w:val="center"/>
                </w:tcPr>
                <w:p>
                  <w:pPr>
                    <w:adjustRightInd w:val="0"/>
                    <w:snapToGrid w:val="0"/>
                    <w:jc w:val="center"/>
                    <w:rPr>
                      <w:rFonts w:hint="eastAsia" w:eastAsia="宋体"/>
                      <w:szCs w:val="21"/>
                      <w:lang w:eastAsia="zh-CN"/>
                    </w:rPr>
                  </w:pPr>
                  <w:r>
                    <w:rPr>
                      <w:rFonts w:hint="eastAsia"/>
                      <w:szCs w:val="21"/>
                      <w:lang w:eastAsia="zh-CN"/>
                    </w:rPr>
                    <w:t>上浆、烘干</w:t>
                  </w:r>
                </w:p>
              </w:tc>
              <w:tc>
                <w:tcPr>
                  <w:tcW w:w="873" w:type="dxa"/>
                  <w:vMerge w:val="restart"/>
                  <w:noWrap w:val="0"/>
                  <w:vAlign w:val="center"/>
                </w:tcPr>
                <w:p>
                  <w:pPr>
                    <w:adjustRightInd w:val="0"/>
                    <w:snapToGrid w:val="0"/>
                    <w:jc w:val="center"/>
                    <w:rPr>
                      <w:rFonts w:hint="eastAsia" w:eastAsia="宋体"/>
                      <w:szCs w:val="21"/>
                      <w:lang w:eastAsia="zh-CN"/>
                    </w:rPr>
                  </w:pPr>
                  <w:r>
                    <w:rPr>
                      <w:rFonts w:hint="eastAsia"/>
                      <w:szCs w:val="21"/>
                      <w:lang w:eastAsia="zh-CN"/>
                    </w:rPr>
                    <w:t>有机废气</w:t>
                  </w:r>
                </w:p>
              </w:tc>
              <w:tc>
                <w:tcPr>
                  <w:tcW w:w="807" w:type="dxa"/>
                  <w:vMerge w:val="restart"/>
                  <w:noWrap w:val="0"/>
                  <w:vAlign w:val="center"/>
                </w:tcPr>
                <w:p>
                  <w:pPr>
                    <w:adjustRightInd w:val="0"/>
                    <w:snapToGrid w:val="0"/>
                    <w:jc w:val="center"/>
                    <w:rPr>
                      <w:rFonts w:hint="eastAsia"/>
                      <w:szCs w:val="21"/>
                    </w:rPr>
                  </w:pPr>
                  <w:r>
                    <w:rPr>
                      <w:rFonts w:hint="eastAsia"/>
                      <w:szCs w:val="21"/>
                    </w:rPr>
                    <w:t>有组织</w:t>
                  </w:r>
                </w:p>
              </w:tc>
              <w:tc>
                <w:tcPr>
                  <w:tcW w:w="944" w:type="dxa"/>
                  <w:noWrap w:val="0"/>
                  <w:vAlign w:val="center"/>
                </w:tcPr>
                <w:p>
                  <w:pPr>
                    <w:adjustRightInd w:val="0"/>
                    <w:snapToGrid w:val="0"/>
                    <w:jc w:val="center"/>
                    <w:rPr>
                      <w:rFonts w:hint="eastAsia" w:eastAsia="宋体"/>
                      <w:szCs w:val="21"/>
                      <w:lang w:eastAsia="zh-CN"/>
                    </w:rPr>
                  </w:pPr>
                  <w:r>
                    <w:rPr>
                      <w:rFonts w:hint="eastAsia"/>
                      <w:szCs w:val="21"/>
                      <w:lang w:eastAsia="zh-CN"/>
                    </w:rPr>
                    <w:t>非甲烷总烃</w:t>
                  </w:r>
                </w:p>
              </w:tc>
              <w:tc>
                <w:tcPr>
                  <w:tcW w:w="731" w:type="dxa"/>
                  <w:vMerge w:val="restart"/>
                  <w:noWrap w:val="0"/>
                  <w:vAlign w:val="center"/>
                </w:tcPr>
                <w:p>
                  <w:pPr>
                    <w:adjustRightInd w:val="0"/>
                    <w:snapToGrid w:val="0"/>
                    <w:jc w:val="center"/>
                    <w:rPr>
                      <w:rFonts w:hint="eastAsia"/>
                      <w:szCs w:val="21"/>
                    </w:rPr>
                  </w:pPr>
                  <w:r>
                    <w:rPr>
                      <w:rFonts w:hint="eastAsia"/>
                      <w:szCs w:val="21"/>
                    </w:rPr>
                    <w:t>产排污系数法</w:t>
                  </w:r>
                </w:p>
              </w:tc>
              <w:tc>
                <w:tcPr>
                  <w:tcW w:w="961" w:type="dxa"/>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4000</w:t>
                  </w:r>
                </w:p>
              </w:tc>
              <w:tc>
                <w:tcPr>
                  <w:tcW w:w="907"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15</w:t>
                  </w:r>
                </w:p>
              </w:tc>
              <w:tc>
                <w:tcPr>
                  <w:tcW w:w="841"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0.06</w:t>
                  </w:r>
                </w:p>
              </w:tc>
              <w:tc>
                <w:tcPr>
                  <w:tcW w:w="1027" w:type="dxa"/>
                  <w:noWrap w:val="0"/>
                  <w:vAlign w:val="center"/>
                </w:tcPr>
                <w:p>
                  <w:pPr>
                    <w:adjustRightInd w:val="0"/>
                    <w:snapToGrid w:val="0"/>
                    <w:jc w:val="center"/>
                    <w:rPr>
                      <w:szCs w:val="21"/>
                    </w:rPr>
                  </w:pPr>
                  <w:r>
                    <w:rPr>
                      <w:rFonts w:hint="eastAsia"/>
                      <w:szCs w:val="21"/>
                      <w:lang w:val="en-US" w:eastAsia="zh-CN"/>
                    </w:rPr>
                    <w:t>90</w:t>
                  </w:r>
                  <w:r>
                    <w:rPr>
                      <w:rFonts w:hint="eastAsia"/>
                      <w:szCs w:val="21"/>
                    </w:rPr>
                    <w:t>%</w:t>
                  </w:r>
                </w:p>
              </w:tc>
              <w:tc>
                <w:tcPr>
                  <w:tcW w:w="1027" w:type="dxa"/>
                  <w:vMerge w:val="restart"/>
                  <w:noWrap w:val="0"/>
                  <w:vAlign w:val="center"/>
                </w:tcPr>
                <w:p>
                  <w:pPr>
                    <w:adjustRightInd w:val="0"/>
                    <w:snapToGrid w:val="0"/>
                    <w:jc w:val="center"/>
                    <w:rPr>
                      <w:rFonts w:hint="eastAsia"/>
                      <w:szCs w:val="21"/>
                    </w:rPr>
                  </w:pPr>
                  <w:r>
                    <w:rPr>
                      <w:rFonts w:hint="eastAsia"/>
                      <w:szCs w:val="21"/>
                      <w:lang w:eastAsia="zh-CN"/>
                    </w:rPr>
                    <w:t>冷却</w:t>
                  </w:r>
                  <w:r>
                    <w:rPr>
                      <w:rFonts w:hint="eastAsia"/>
                      <w:szCs w:val="21"/>
                      <w:lang w:val="en-US" w:eastAsia="zh-CN"/>
                    </w:rPr>
                    <w:t>+水喷淋+静电</w:t>
                  </w:r>
                  <w:r>
                    <w:rPr>
                      <w:rFonts w:hint="eastAsia"/>
                      <w:szCs w:val="21"/>
                    </w:rPr>
                    <w:t>油烟净化装置</w:t>
                  </w:r>
                </w:p>
              </w:tc>
              <w:tc>
                <w:tcPr>
                  <w:tcW w:w="692" w:type="dxa"/>
                  <w:noWrap w:val="0"/>
                  <w:vAlign w:val="center"/>
                </w:tcPr>
                <w:p>
                  <w:pPr>
                    <w:adjustRightInd w:val="0"/>
                    <w:snapToGrid w:val="0"/>
                    <w:jc w:val="center"/>
                    <w:rPr>
                      <w:szCs w:val="21"/>
                    </w:rPr>
                  </w:pPr>
                  <w:r>
                    <w:rPr>
                      <w:rFonts w:hint="eastAsia"/>
                      <w:szCs w:val="21"/>
                      <w:lang w:val="en-US" w:eastAsia="zh-CN"/>
                    </w:rPr>
                    <w:t>90</w:t>
                  </w:r>
                  <w:r>
                    <w:rPr>
                      <w:rFonts w:hint="eastAsia"/>
                      <w:szCs w:val="21"/>
                    </w:rPr>
                    <w:t>%</w:t>
                  </w:r>
                </w:p>
              </w:tc>
              <w:tc>
                <w:tcPr>
                  <w:tcW w:w="675" w:type="dxa"/>
                  <w:vMerge w:val="restart"/>
                  <w:noWrap w:val="0"/>
                  <w:vAlign w:val="center"/>
                </w:tcPr>
                <w:p>
                  <w:pPr>
                    <w:adjustRightInd w:val="0"/>
                    <w:snapToGrid w:val="0"/>
                    <w:jc w:val="center"/>
                    <w:rPr>
                      <w:rFonts w:hint="eastAsia"/>
                      <w:szCs w:val="21"/>
                    </w:rPr>
                  </w:pPr>
                  <w:r>
                    <w:rPr>
                      <w:rFonts w:hint="eastAsia"/>
                      <w:szCs w:val="21"/>
                    </w:rPr>
                    <w:t>产排污系数法</w:t>
                  </w:r>
                </w:p>
              </w:tc>
              <w:tc>
                <w:tcPr>
                  <w:tcW w:w="912" w:type="dxa"/>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4000</w:t>
                  </w:r>
                </w:p>
              </w:tc>
              <w:tc>
                <w:tcPr>
                  <w:tcW w:w="1066"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1.5</w:t>
                  </w:r>
                </w:p>
              </w:tc>
              <w:tc>
                <w:tcPr>
                  <w:tcW w:w="787" w:type="dxa"/>
                  <w:noWrap w:val="0"/>
                  <w:vAlign w:val="center"/>
                </w:tcPr>
                <w:p>
                  <w:pPr>
                    <w:adjustRightInd w:val="0"/>
                    <w:snapToGrid w:val="0"/>
                    <w:jc w:val="center"/>
                    <w:rPr>
                      <w:rFonts w:hint="default" w:eastAsia="宋体"/>
                      <w:sz w:val="18"/>
                      <w:szCs w:val="18"/>
                      <w:lang w:val="en-US" w:eastAsia="zh-CN"/>
                    </w:rPr>
                  </w:pPr>
                  <w:r>
                    <w:rPr>
                      <w:rFonts w:hint="eastAsia"/>
                      <w:sz w:val="21"/>
                      <w:szCs w:val="21"/>
                      <w:lang w:val="en-US" w:eastAsia="zh-CN"/>
                    </w:rPr>
                    <w:t>0.006</w:t>
                  </w:r>
                </w:p>
              </w:tc>
              <w:tc>
                <w:tcPr>
                  <w:tcW w:w="727" w:type="dxa"/>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continue"/>
                  <w:noWrap w:val="0"/>
                  <w:vAlign w:val="center"/>
                </w:tcPr>
                <w:p>
                  <w:pPr>
                    <w:adjustRightInd w:val="0"/>
                    <w:snapToGrid w:val="0"/>
                    <w:jc w:val="center"/>
                    <w:rPr>
                      <w:rFonts w:hint="eastAsia"/>
                      <w:szCs w:val="21"/>
                    </w:rPr>
                  </w:pPr>
                </w:p>
              </w:tc>
              <w:tc>
                <w:tcPr>
                  <w:tcW w:w="873" w:type="dxa"/>
                  <w:vMerge w:val="continue"/>
                  <w:noWrap w:val="0"/>
                  <w:vAlign w:val="center"/>
                </w:tcPr>
                <w:p>
                  <w:pPr>
                    <w:adjustRightInd w:val="0"/>
                    <w:snapToGrid w:val="0"/>
                    <w:jc w:val="center"/>
                    <w:rPr>
                      <w:rFonts w:hint="eastAsia"/>
                      <w:szCs w:val="21"/>
                    </w:rPr>
                  </w:pPr>
                </w:p>
              </w:tc>
              <w:tc>
                <w:tcPr>
                  <w:tcW w:w="807" w:type="dxa"/>
                  <w:vMerge w:val="continue"/>
                  <w:noWrap w:val="0"/>
                  <w:vAlign w:val="center"/>
                </w:tcPr>
                <w:p>
                  <w:pPr>
                    <w:adjustRightInd w:val="0"/>
                    <w:snapToGrid w:val="0"/>
                    <w:jc w:val="center"/>
                    <w:rPr>
                      <w:rFonts w:hint="eastAsia"/>
                      <w:szCs w:val="21"/>
                    </w:rPr>
                  </w:pPr>
                </w:p>
              </w:tc>
              <w:tc>
                <w:tcPr>
                  <w:tcW w:w="944" w:type="dxa"/>
                  <w:noWrap w:val="0"/>
                  <w:vAlign w:val="center"/>
                </w:tcPr>
                <w:p>
                  <w:pPr>
                    <w:adjustRightInd w:val="0"/>
                    <w:snapToGrid w:val="0"/>
                    <w:jc w:val="center"/>
                    <w:rPr>
                      <w:rFonts w:hint="eastAsia"/>
                      <w:szCs w:val="21"/>
                    </w:rPr>
                  </w:pPr>
                  <w:r>
                    <w:rPr>
                      <w:rFonts w:hint="eastAsia"/>
                      <w:szCs w:val="21"/>
                    </w:rPr>
                    <w:t>臭气</w:t>
                  </w:r>
                </w:p>
                <w:p>
                  <w:pPr>
                    <w:adjustRightInd w:val="0"/>
                    <w:snapToGrid w:val="0"/>
                    <w:jc w:val="center"/>
                    <w:rPr>
                      <w:rFonts w:hint="eastAsia"/>
                      <w:szCs w:val="21"/>
                    </w:rPr>
                  </w:pPr>
                  <w:r>
                    <w:rPr>
                      <w:rFonts w:hint="eastAsia"/>
                      <w:szCs w:val="21"/>
                    </w:rPr>
                    <w:t>浓度</w:t>
                  </w:r>
                </w:p>
              </w:tc>
              <w:tc>
                <w:tcPr>
                  <w:tcW w:w="731" w:type="dxa"/>
                  <w:vMerge w:val="continue"/>
                  <w:noWrap w:val="0"/>
                  <w:vAlign w:val="center"/>
                </w:tcPr>
                <w:p>
                  <w:pPr>
                    <w:adjustRightInd w:val="0"/>
                    <w:snapToGrid w:val="0"/>
                    <w:jc w:val="center"/>
                    <w:rPr>
                      <w:rFonts w:hint="eastAsia"/>
                      <w:szCs w:val="21"/>
                    </w:rPr>
                  </w:pPr>
                </w:p>
              </w:tc>
              <w:tc>
                <w:tcPr>
                  <w:tcW w:w="961" w:type="dxa"/>
                  <w:vMerge w:val="continue"/>
                  <w:noWrap w:val="0"/>
                  <w:vAlign w:val="center"/>
                </w:tcPr>
                <w:p>
                  <w:pPr>
                    <w:adjustRightInd w:val="0"/>
                    <w:snapToGrid w:val="0"/>
                    <w:jc w:val="center"/>
                    <w:rPr>
                      <w:rFonts w:hint="eastAsia"/>
                      <w:szCs w:val="21"/>
                    </w:rPr>
                  </w:pPr>
                </w:p>
              </w:tc>
              <w:tc>
                <w:tcPr>
                  <w:tcW w:w="907" w:type="dxa"/>
                  <w:noWrap w:val="0"/>
                  <w:vAlign w:val="center"/>
                </w:tcPr>
                <w:p>
                  <w:pPr>
                    <w:adjustRightInd w:val="0"/>
                    <w:snapToGrid w:val="0"/>
                    <w:jc w:val="center"/>
                    <w:rPr>
                      <w:rFonts w:hint="eastAsia"/>
                      <w:szCs w:val="21"/>
                    </w:rPr>
                  </w:pPr>
                  <w:r>
                    <w:rPr>
                      <w:rFonts w:hint="eastAsia"/>
                      <w:szCs w:val="21"/>
                      <w:lang w:val="en-US" w:eastAsia="zh-CN"/>
                    </w:rPr>
                    <w:t>300</w:t>
                  </w:r>
                  <w:r>
                    <w:rPr>
                      <w:rFonts w:hint="eastAsia"/>
                      <w:szCs w:val="21"/>
                    </w:rPr>
                    <w:t>（无量纲）</w:t>
                  </w:r>
                </w:p>
              </w:tc>
              <w:tc>
                <w:tcPr>
                  <w:tcW w:w="841" w:type="dxa"/>
                  <w:noWrap w:val="0"/>
                  <w:vAlign w:val="center"/>
                </w:tcPr>
                <w:p>
                  <w:pPr>
                    <w:adjustRightInd w:val="0"/>
                    <w:snapToGrid w:val="0"/>
                    <w:jc w:val="center"/>
                    <w:rPr>
                      <w:rFonts w:hint="eastAsia"/>
                      <w:szCs w:val="21"/>
                    </w:rPr>
                  </w:pPr>
                  <w:r>
                    <w:rPr>
                      <w:rFonts w:hint="eastAsia"/>
                      <w:szCs w:val="21"/>
                    </w:rPr>
                    <w:t>/</w:t>
                  </w:r>
                </w:p>
              </w:tc>
              <w:tc>
                <w:tcPr>
                  <w:tcW w:w="1027"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90%</w:t>
                  </w:r>
                </w:p>
              </w:tc>
              <w:tc>
                <w:tcPr>
                  <w:tcW w:w="1027" w:type="dxa"/>
                  <w:vMerge w:val="continue"/>
                  <w:noWrap w:val="0"/>
                  <w:vAlign w:val="center"/>
                </w:tcPr>
                <w:p>
                  <w:pPr>
                    <w:adjustRightInd w:val="0"/>
                    <w:snapToGrid w:val="0"/>
                    <w:jc w:val="center"/>
                    <w:rPr>
                      <w:rFonts w:hint="eastAsia"/>
                      <w:szCs w:val="21"/>
                    </w:rPr>
                  </w:pPr>
                </w:p>
              </w:tc>
              <w:tc>
                <w:tcPr>
                  <w:tcW w:w="692"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50%</w:t>
                  </w:r>
                </w:p>
              </w:tc>
              <w:tc>
                <w:tcPr>
                  <w:tcW w:w="675" w:type="dxa"/>
                  <w:vMerge w:val="continue"/>
                  <w:noWrap w:val="0"/>
                  <w:vAlign w:val="center"/>
                </w:tcPr>
                <w:p>
                  <w:pPr>
                    <w:adjustRightInd w:val="0"/>
                    <w:snapToGrid w:val="0"/>
                    <w:jc w:val="center"/>
                    <w:rPr>
                      <w:rFonts w:hint="eastAsia"/>
                      <w:szCs w:val="21"/>
                    </w:rPr>
                  </w:pPr>
                </w:p>
              </w:tc>
              <w:tc>
                <w:tcPr>
                  <w:tcW w:w="912" w:type="dxa"/>
                  <w:vMerge w:val="continue"/>
                  <w:noWrap w:val="0"/>
                  <w:vAlign w:val="center"/>
                </w:tcPr>
                <w:p>
                  <w:pPr>
                    <w:adjustRightInd w:val="0"/>
                    <w:snapToGrid w:val="0"/>
                    <w:jc w:val="center"/>
                    <w:rPr>
                      <w:rFonts w:hint="eastAsia"/>
                      <w:szCs w:val="21"/>
                    </w:rPr>
                  </w:pPr>
                </w:p>
              </w:tc>
              <w:tc>
                <w:tcPr>
                  <w:tcW w:w="1066" w:type="dxa"/>
                  <w:noWrap w:val="0"/>
                  <w:vAlign w:val="center"/>
                </w:tcPr>
                <w:p>
                  <w:pPr>
                    <w:adjustRightInd w:val="0"/>
                    <w:snapToGrid w:val="0"/>
                    <w:jc w:val="center"/>
                    <w:rPr>
                      <w:rFonts w:hint="eastAsia"/>
                      <w:szCs w:val="21"/>
                    </w:rPr>
                  </w:pPr>
                  <w:r>
                    <w:rPr>
                      <w:rFonts w:hint="eastAsia"/>
                      <w:szCs w:val="21"/>
                      <w:lang w:val="en-US" w:eastAsia="zh-CN"/>
                    </w:rPr>
                    <w:t>150</w:t>
                  </w:r>
                  <w:r>
                    <w:rPr>
                      <w:rFonts w:hint="eastAsia"/>
                      <w:szCs w:val="21"/>
                    </w:rPr>
                    <w:t>（无量纲）</w:t>
                  </w:r>
                </w:p>
              </w:tc>
              <w:tc>
                <w:tcPr>
                  <w:tcW w:w="787" w:type="dxa"/>
                  <w:noWrap w:val="0"/>
                  <w:vAlign w:val="center"/>
                </w:tcPr>
                <w:p>
                  <w:pPr>
                    <w:adjustRightInd w:val="0"/>
                    <w:snapToGrid w:val="0"/>
                    <w:jc w:val="center"/>
                    <w:rPr>
                      <w:rFonts w:hint="eastAsia"/>
                      <w:szCs w:val="21"/>
                    </w:rPr>
                  </w:pPr>
                  <w:r>
                    <w:rPr>
                      <w:rFonts w:hint="eastAsia"/>
                      <w:szCs w:val="21"/>
                    </w:rPr>
                    <w:t>/</w:t>
                  </w:r>
                </w:p>
              </w:tc>
              <w:tc>
                <w:tcPr>
                  <w:tcW w:w="727" w:type="dxa"/>
                  <w:vMerge w:val="continue"/>
                  <w:noWrap w:val="0"/>
                  <w:vAlign w:val="center"/>
                </w:tcPr>
                <w:p>
                  <w:pPr>
                    <w:adjustRightInd w:val="0"/>
                    <w:snapToGri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13" w:type="dxa"/>
                  <w:vMerge w:val="continue"/>
                  <w:noWrap w:val="0"/>
                  <w:vAlign w:val="center"/>
                </w:tcPr>
                <w:p>
                  <w:pPr>
                    <w:adjustRightInd w:val="0"/>
                    <w:snapToGrid w:val="0"/>
                    <w:jc w:val="center"/>
                    <w:rPr>
                      <w:rFonts w:hint="eastAsia"/>
                      <w:szCs w:val="21"/>
                    </w:rPr>
                  </w:pPr>
                </w:p>
              </w:tc>
              <w:tc>
                <w:tcPr>
                  <w:tcW w:w="873" w:type="dxa"/>
                  <w:vMerge w:val="continue"/>
                  <w:noWrap w:val="0"/>
                  <w:vAlign w:val="center"/>
                </w:tcPr>
                <w:p>
                  <w:pPr>
                    <w:adjustRightInd w:val="0"/>
                    <w:snapToGrid w:val="0"/>
                    <w:jc w:val="center"/>
                    <w:rPr>
                      <w:rFonts w:hint="eastAsia"/>
                      <w:szCs w:val="21"/>
                    </w:rPr>
                  </w:pPr>
                </w:p>
              </w:tc>
              <w:tc>
                <w:tcPr>
                  <w:tcW w:w="807" w:type="dxa"/>
                  <w:vMerge w:val="restart"/>
                  <w:noWrap w:val="0"/>
                  <w:vAlign w:val="center"/>
                </w:tcPr>
                <w:p>
                  <w:pPr>
                    <w:adjustRightInd w:val="0"/>
                    <w:snapToGrid w:val="0"/>
                    <w:jc w:val="center"/>
                    <w:rPr>
                      <w:rFonts w:hint="eastAsia"/>
                      <w:szCs w:val="21"/>
                    </w:rPr>
                  </w:pPr>
                  <w:r>
                    <w:rPr>
                      <w:rFonts w:hint="eastAsia"/>
                      <w:szCs w:val="21"/>
                    </w:rPr>
                    <w:t>无组织</w:t>
                  </w:r>
                </w:p>
                <w:p>
                  <w:pPr>
                    <w:adjustRightInd w:val="0"/>
                    <w:snapToGrid w:val="0"/>
                    <w:jc w:val="center"/>
                    <w:rPr>
                      <w:rFonts w:hint="eastAsia"/>
                      <w:szCs w:val="21"/>
                    </w:rPr>
                  </w:pPr>
                </w:p>
              </w:tc>
              <w:tc>
                <w:tcPr>
                  <w:tcW w:w="944" w:type="dxa"/>
                  <w:noWrap w:val="0"/>
                  <w:vAlign w:val="center"/>
                </w:tcPr>
                <w:p>
                  <w:pPr>
                    <w:adjustRightInd w:val="0"/>
                    <w:snapToGrid w:val="0"/>
                    <w:jc w:val="center"/>
                    <w:rPr>
                      <w:rFonts w:hint="eastAsia"/>
                      <w:szCs w:val="21"/>
                    </w:rPr>
                  </w:pPr>
                  <w:r>
                    <w:rPr>
                      <w:rFonts w:hint="eastAsia"/>
                      <w:szCs w:val="21"/>
                      <w:lang w:eastAsia="zh-CN"/>
                    </w:rPr>
                    <w:t>非甲烷总烃</w:t>
                  </w:r>
                </w:p>
              </w:tc>
              <w:tc>
                <w:tcPr>
                  <w:tcW w:w="731" w:type="dxa"/>
                  <w:vMerge w:val="continue"/>
                  <w:noWrap w:val="0"/>
                  <w:vAlign w:val="center"/>
                </w:tcPr>
                <w:p>
                  <w:pPr>
                    <w:adjustRightInd w:val="0"/>
                    <w:snapToGrid w:val="0"/>
                    <w:jc w:val="center"/>
                    <w:rPr>
                      <w:rFonts w:hint="eastAsia"/>
                      <w:szCs w:val="21"/>
                    </w:rPr>
                  </w:pPr>
                </w:p>
              </w:tc>
              <w:tc>
                <w:tcPr>
                  <w:tcW w:w="961" w:type="dxa"/>
                  <w:noWrap w:val="0"/>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907" w:type="dxa"/>
                  <w:noWrap w:val="0"/>
                  <w:vAlign w:val="center"/>
                </w:tcPr>
                <w:p>
                  <w:pPr>
                    <w:adjustRightInd w:val="0"/>
                    <w:snapToGrid w:val="0"/>
                    <w:jc w:val="center"/>
                    <w:rPr>
                      <w:rFonts w:hint="eastAsia"/>
                      <w:szCs w:val="21"/>
                    </w:rPr>
                  </w:pPr>
                  <w:r>
                    <w:rPr>
                      <w:rFonts w:hint="eastAsia"/>
                      <w:szCs w:val="21"/>
                    </w:rPr>
                    <w:t>/</w:t>
                  </w:r>
                </w:p>
              </w:tc>
              <w:tc>
                <w:tcPr>
                  <w:tcW w:w="841"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0.007</w:t>
                  </w:r>
                </w:p>
              </w:tc>
              <w:tc>
                <w:tcPr>
                  <w:tcW w:w="1027" w:type="dxa"/>
                  <w:noWrap w:val="0"/>
                  <w:vAlign w:val="center"/>
                </w:tcPr>
                <w:p>
                  <w:pPr>
                    <w:adjustRightInd w:val="0"/>
                    <w:snapToGrid w:val="0"/>
                    <w:jc w:val="center"/>
                    <w:rPr>
                      <w:rFonts w:hint="eastAsia"/>
                      <w:szCs w:val="21"/>
                    </w:rPr>
                  </w:pPr>
                  <w:r>
                    <w:rPr>
                      <w:rFonts w:hint="eastAsia"/>
                      <w:szCs w:val="21"/>
                    </w:rPr>
                    <w:t>/</w:t>
                  </w:r>
                </w:p>
              </w:tc>
              <w:tc>
                <w:tcPr>
                  <w:tcW w:w="1027" w:type="dxa"/>
                  <w:noWrap w:val="0"/>
                  <w:vAlign w:val="center"/>
                </w:tcPr>
                <w:p>
                  <w:pPr>
                    <w:adjustRightInd w:val="0"/>
                    <w:snapToGrid w:val="0"/>
                    <w:jc w:val="center"/>
                    <w:rPr>
                      <w:rFonts w:hint="eastAsia"/>
                      <w:szCs w:val="21"/>
                    </w:rPr>
                  </w:pPr>
                  <w:r>
                    <w:rPr>
                      <w:rFonts w:hint="eastAsia"/>
                      <w:szCs w:val="21"/>
                    </w:rPr>
                    <w:t>/</w:t>
                  </w:r>
                </w:p>
              </w:tc>
              <w:tc>
                <w:tcPr>
                  <w:tcW w:w="692" w:type="dxa"/>
                  <w:noWrap w:val="0"/>
                  <w:vAlign w:val="center"/>
                </w:tcPr>
                <w:p>
                  <w:pPr>
                    <w:adjustRightInd w:val="0"/>
                    <w:snapToGrid w:val="0"/>
                    <w:jc w:val="center"/>
                    <w:rPr>
                      <w:rFonts w:hint="eastAsia"/>
                      <w:szCs w:val="21"/>
                    </w:rPr>
                  </w:pPr>
                  <w:r>
                    <w:rPr>
                      <w:rFonts w:hint="eastAsia"/>
                      <w:szCs w:val="21"/>
                    </w:rPr>
                    <w:t>/</w:t>
                  </w:r>
                </w:p>
              </w:tc>
              <w:tc>
                <w:tcPr>
                  <w:tcW w:w="675" w:type="dxa"/>
                  <w:vMerge w:val="continue"/>
                  <w:noWrap w:val="0"/>
                  <w:vAlign w:val="center"/>
                </w:tcPr>
                <w:p>
                  <w:pPr>
                    <w:adjustRightInd w:val="0"/>
                    <w:snapToGrid w:val="0"/>
                    <w:jc w:val="center"/>
                    <w:rPr>
                      <w:rFonts w:hint="eastAsia"/>
                      <w:szCs w:val="21"/>
                    </w:rPr>
                  </w:pPr>
                </w:p>
              </w:tc>
              <w:tc>
                <w:tcPr>
                  <w:tcW w:w="912" w:type="dxa"/>
                  <w:noWrap w:val="0"/>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1066" w:type="dxa"/>
                  <w:noWrap w:val="0"/>
                  <w:vAlign w:val="center"/>
                </w:tcPr>
                <w:p>
                  <w:pPr>
                    <w:adjustRightInd w:val="0"/>
                    <w:snapToGrid w:val="0"/>
                    <w:jc w:val="center"/>
                    <w:rPr>
                      <w:rFonts w:hint="eastAsia"/>
                      <w:szCs w:val="21"/>
                    </w:rPr>
                  </w:pPr>
                  <w:r>
                    <w:rPr>
                      <w:rFonts w:hint="eastAsia"/>
                      <w:szCs w:val="21"/>
                    </w:rPr>
                    <w:t>/</w:t>
                  </w:r>
                </w:p>
              </w:tc>
              <w:tc>
                <w:tcPr>
                  <w:tcW w:w="787"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0.007</w:t>
                  </w:r>
                </w:p>
              </w:tc>
              <w:tc>
                <w:tcPr>
                  <w:tcW w:w="727" w:type="dxa"/>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continue"/>
                  <w:noWrap w:val="0"/>
                  <w:vAlign w:val="center"/>
                </w:tcPr>
                <w:p>
                  <w:pPr>
                    <w:adjustRightInd w:val="0"/>
                    <w:snapToGrid w:val="0"/>
                    <w:jc w:val="center"/>
                    <w:rPr>
                      <w:rFonts w:hint="eastAsia"/>
                      <w:szCs w:val="21"/>
                    </w:rPr>
                  </w:pPr>
                </w:p>
              </w:tc>
              <w:tc>
                <w:tcPr>
                  <w:tcW w:w="873" w:type="dxa"/>
                  <w:vMerge w:val="continue"/>
                  <w:noWrap w:val="0"/>
                  <w:vAlign w:val="center"/>
                </w:tcPr>
                <w:p>
                  <w:pPr>
                    <w:adjustRightInd w:val="0"/>
                    <w:snapToGrid w:val="0"/>
                    <w:jc w:val="center"/>
                    <w:rPr>
                      <w:rFonts w:hint="eastAsia"/>
                      <w:szCs w:val="21"/>
                    </w:rPr>
                  </w:pPr>
                </w:p>
              </w:tc>
              <w:tc>
                <w:tcPr>
                  <w:tcW w:w="807" w:type="dxa"/>
                  <w:vMerge w:val="continue"/>
                  <w:noWrap w:val="0"/>
                  <w:vAlign w:val="center"/>
                </w:tcPr>
                <w:p>
                  <w:pPr>
                    <w:adjustRightInd w:val="0"/>
                    <w:snapToGrid w:val="0"/>
                    <w:jc w:val="center"/>
                    <w:rPr>
                      <w:rFonts w:hint="eastAsia"/>
                      <w:szCs w:val="21"/>
                    </w:rPr>
                  </w:pPr>
                </w:p>
              </w:tc>
              <w:tc>
                <w:tcPr>
                  <w:tcW w:w="944" w:type="dxa"/>
                  <w:noWrap w:val="0"/>
                  <w:vAlign w:val="center"/>
                </w:tcPr>
                <w:p>
                  <w:pPr>
                    <w:adjustRightInd w:val="0"/>
                    <w:snapToGrid w:val="0"/>
                    <w:jc w:val="center"/>
                    <w:rPr>
                      <w:rFonts w:hint="eastAsia"/>
                      <w:szCs w:val="21"/>
                    </w:rPr>
                  </w:pPr>
                  <w:r>
                    <w:rPr>
                      <w:rFonts w:hint="eastAsia"/>
                      <w:szCs w:val="21"/>
                    </w:rPr>
                    <w:t>臭气浓度</w:t>
                  </w:r>
                </w:p>
              </w:tc>
              <w:tc>
                <w:tcPr>
                  <w:tcW w:w="731" w:type="dxa"/>
                  <w:vMerge w:val="continue"/>
                  <w:noWrap w:val="0"/>
                  <w:vAlign w:val="center"/>
                </w:tcPr>
                <w:p>
                  <w:pPr>
                    <w:adjustRightInd w:val="0"/>
                    <w:snapToGrid w:val="0"/>
                    <w:jc w:val="center"/>
                    <w:rPr>
                      <w:rFonts w:hint="eastAsia"/>
                      <w:szCs w:val="21"/>
                    </w:rPr>
                  </w:pPr>
                </w:p>
              </w:tc>
              <w:tc>
                <w:tcPr>
                  <w:tcW w:w="961" w:type="dxa"/>
                  <w:noWrap w:val="0"/>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907" w:type="dxa"/>
                  <w:noWrap w:val="0"/>
                  <w:vAlign w:val="center"/>
                </w:tcPr>
                <w:p>
                  <w:pPr>
                    <w:adjustRightInd w:val="0"/>
                    <w:snapToGrid w:val="0"/>
                    <w:jc w:val="center"/>
                    <w:rPr>
                      <w:rFonts w:hint="eastAsia"/>
                      <w:szCs w:val="21"/>
                    </w:rPr>
                  </w:pPr>
                  <w:r>
                    <w:rPr>
                      <w:rFonts w:hint="eastAsia"/>
                      <w:szCs w:val="21"/>
                    </w:rPr>
                    <w:t>20（无量纲）</w:t>
                  </w:r>
                </w:p>
              </w:tc>
              <w:tc>
                <w:tcPr>
                  <w:tcW w:w="841" w:type="dxa"/>
                  <w:noWrap w:val="0"/>
                  <w:vAlign w:val="center"/>
                </w:tcPr>
                <w:p>
                  <w:pPr>
                    <w:adjustRightInd w:val="0"/>
                    <w:snapToGrid w:val="0"/>
                    <w:jc w:val="center"/>
                    <w:rPr>
                      <w:rFonts w:hint="eastAsia"/>
                      <w:szCs w:val="21"/>
                    </w:rPr>
                  </w:pPr>
                  <w:r>
                    <w:rPr>
                      <w:rFonts w:hint="eastAsia"/>
                      <w:szCs w:val="21"/>
                    </w:rPr>
                    <w:t>/</w:t>
                  </w:r>
                </w:p>
              </w:tc>
              <w:tc>
                <w:tcPr>
                  <w:tcW w:w="1027" w:type="dxa"/>
                  <w:noWrap w:val="0"/>
                  <w:vAlign w:val="center"/>
                </w:tcPr>
                <w:p>
                  <w:pPr>
                    <w:adjustRightInd w:val="0"/>
                    <w:snapToGrid w:val="0"/>
                    <w:jc w:val="center"/>
                    <w:rPr>
                      <w:rFonts w:hint="eastAsia"/>
                      <w:szCs w:val="21"/>
                    </w:rPr>
                  </w:pPr>
                  <w:r>
                    <w:rPr>
                      <w:rFonts w:hint="eastAsia"/>
                      <w:szCs w:val="21"/>
                    </w:rPr>
                    <w:t>/</w:t>
                  </w:r>
                </w:p>
              </w:tc>
              <w:tc>
                <w:tcPr>
                  <w:tcW w:w="1027" w:type="dxa"/>
                  <w:noWrap w:val="0"/>
                  <w:vAlign w:val="center"/>
                </w:tcPr>
                <w:p>
                  <w:pPr>
                    <w:adjustRightInd w:val="0"/>
                    <w:snapToGrid w:val="0"/>
                    <w:jc w:val="center"/>
                    <w:rPr>
                      <w:rFonts w:hint="eastAsia"/>
                      <w:szCs w:val="21"/>
                    </w:rPr>
                  </w:pPr>
                  <w:r>
                    <w:rPr>
                      <w:rFonts w:hint="eastAsia"/>
                      <w:szCs w:val="21"/>
                    </w:rPr>
                    <w:t>/</w:t>
                  </w:r>
                </w:p>
              </w:tc>
              <w:tc>
                <w:tcPr>
                  <w:tcW w:w="692" w:type="dxa"/>
                  <w:noWrap w:val="0"/>
                  <w:vAlign w:val="center"/>
                </w:tcPr>
                <w:p>
                  <w:pPr>
                    <w:adjustRightInd w:val="0"/>
                    <w:snapToGrid w:val="0"/>
                    <w:jc w:val="center"/>
                    <w:rPr>
                      <w:rFonts w:hint="eastAsia"/>
                      <w:szCs w:val="21"/>
                    </w:rPr>
                  </w:pPr>
                  <w:r>
                    <w:rPr>
                      <w:rFonts w:hint="eastAsia"/>
                      <w:szCs w:val="21"/>
                    </w:rPr>
                    <w:t>/</w:t>
                  </w:r>
                </w:p>
              </w:tc>
              <w:tc>
                <w:tcPr>
                  <w:tcW w:w="675" w:type="dxa"/>
                  <w:vMerge w:val="continue"/>
                  <w:noWrap w:val="0"/>
                  <w:vAlign w:val="center"/>
                </w:tcPr>
                <w:p>
                  <w:pPr>
                    <w:adjustRightInd w:val="0"/>
                    <w:snapToGrid w:val="0"/>
                    <w:jc w:val="center"/>
                    <w:rPr>
                      <w:rFonts w:hint="eastAsia"/>
                      <w:szCs w:val="21"/>
                    </w:rPr>
                  </w:pPr>
                </w:p>
              </w:tc>
              <w:tc>
                <w:tcPr>
                  <w:tcW w:w="912" w:type="dxa"/>
                  <w:noWrap w:val="0"/>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1066" w:type="dxa"/>
                  <w:noWrap w:val="0"/>
                  <w:vAlign w:val="center"/>
                </w:tcPr>
                <w:p>
                  <w:pPr>
                    <w:adjustRightInd w:val="0"/>
                    <w:snapToGrid w:val="0"/>
                    <w:jc w:val="center"/>
                    <w:rPr>
                      <w:rFonts w:hint="eastAsia"/>
                      <w:szCs w:val="21"/>
                    </w:rPr>
                  </w:pPr>
                  <w:r>
                    <w:rPr>
                      <w:rFonts w:hint="eastAsia"/>
                      <w:szCs w:val="21"/>
                      <w:lang w:val="en-US" w:eastAsia="zh-CN"/>
                    </w:rPr>
                    <w:t>16</w:t>
                  </w:r>
                  <w:r>
                    <w:rPr>
                      <w:rFonts w:hint="eastAsia"/>
                      <w:szCs w:val="21"/>
                    </w:rPr>
                    <w:t>（无量纲）</w:t>
                  </w:r>
                </w:p>
              </w:tc>
              <w:tc>
                <w:tcPr>
                  <w:tcW w:w="787" w:type="dxa"/>
                  <w:noWrap w:val="0"/>
                  <w:vAlign w:val="center"/>
                </w:tcPr>
                <w:p>
                  <w:pPr>
                    <w:adjustRightInd w:val="0"/>
                    <w:snapToGrid w:val="0"/>
                    <w:jc w:val="center"/>
                    <w:rPr>
                      <w:rFonts w:hint="eastAsia"/>
                      <w:szCs w:val="21"/>
                    </w:rPr>
                  </w:pPr>
                  <w:r>
                    <w:rPr>
                      <w:rFonts w:hint="eastAsia"/>
                      <w:szCs w:val="21"/>
                    </w:rPr>
                    <w:t>/</w:t>
                  </w:r>
                </w:p>
              </w:tc>
              <w:tc>
                <w:tcPr>
                  <w:tcW w:w="727" w:type="dxa"/>
                  <w:vMerge w:val="continue"/>
                  <w:noWrap w:val="0"/>
                  <w:vAlign w:val="center"/>
                </w:tcPr>
                <w:p>
                  <w:pPr>
                    <w:adjustRightInd w:val="0"/>
                    <w:snapToGrid w:val="0"/>
                    <w:jc w:val="center"/>
                    <w:rPr>
                      <w:rFonts w:hint="eastAsia"/>
                      <w:szCs w:val="21"/>
                    </w:rPr>
                  </w:pPr>
                </w:p>
              </w:tc>
            </w:tr>
          </w:tbl>
          <w:p>
            <w:pPr>
              <w:adjustRightInd w:val="0"/>
              <w:snapToGrid w:val="0"/>
              <w:spacing w:line="460" w:lineRule="exact"/>
              <w:jc w:val="center"/>
              <w:rPr>
                <w:rFonts w:hint="eastAsia"/>
                <w:b/>
                <w:color w:val="000000"/>
                <w:szCs w:val="21"/>
              </w:rPr>
            </w:pPr>
            <w:r>
              <w:rPr>
                <w:b/>
                <w:color w:val="000000"/>
                <w:szCs w:val="21"/>
              </w:rPr>
              <w:t>表</w:t>
            </w:r>
            <w:r>
              <w:rPr>
                <w:rFonts w:hint="eastAsia"/>
                <w:b/>
                <w:color w:val="000000"/>
                <w:szCs w:val="21"/>
              </w:rPr>
              <w:t>4.2-2</w:t>
            </w:r>
            <w:r>
              <w:rPr>
                <w:b/>
                <w:color w:val="000000"/>
                <w:szCs w:val="21"/>
              </w:rPr>
              <w:t xml:space="preserve">  项目</w:t>
            </w:r>
            <w:r>
              <w:rPr>
                <w:rFonts w:hint="eastAsia"/>
                <w:b/>
                <w:color w:val="000000"/>
                <w:szCs w:val="21"/>
              </w:rPr>
              <w:t>废气排放口基本情况表</w:t>
            </w:r>
          </w:p>
          <w:tbl>
            <w:tblPr>
              <w:tblStyle w:val="40"/>
              <w:tblW w:w="13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3"/>
              <w:gridCol w:w="1373"/>
              <w:gridCol w:w="1214"/>
              <w:gridCol w:w="1613"/>
              <w:gridCol w:w="1294"/>
              <w:gridCol w:w="1093"/>
              <w:gridCol w:w="1493"/>
              <w:gridCol w:w="1680"/>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3" w:type="dxa"/>
                  <w:noWrap w:val="0"/>
                  <w:vAlign w:val="center"/>
                </w:tcPr>
                <w:p>
                  <w:pPr>
                    <w:adjustRightInd w:val="0"/>
                    <w:snapToGrid w:val="0"/>
                    <w:jc w:val="center"/>
                    <w:rPr>
                      <w:rFonts w:hint="eastAsia"/>
                      <w:color w:val="000000"/>
                      <w:szCs w:val="21"/>
                    </w:rPr>
                  </w:pPr>
                  <w:r>
                    <w:rPr>
                      <w:rFonts w:hint="eastAsia"/>
                      <w:color w:val="000000"/>
                      <w:szCs w:val="21"/>
                    </w:rPr>
                    <w:t>排放口名称</w:t>
                  </w:r>
                </w:p>
              </w:tc>
              <w:tc>
                <w:tcPr>
                  <w:tcW w:w="1373" w:type="dxa"/>
                  <w:noWrap w:val="0"/>
                  <w:vAlign w:val="center"/>
                </w:tcPr>
                <w:p>
                  <w:pPr>
                    <w:adjustRightInd w:val="0"/>
                    <w:snapToGrid w:val="0"/>
                    <w:jc w:val="center"/>
                    <w:rPr>
                      <w:rFonts w:hint="eastAsia"/>
                      <w:color w:val="000000"/>
                      <w:szCs w:val="21"/>
                    </w:rPr>
                  </w:pPr>
                  <w:r>
                    <w:rPr>
                      <w:rFonts w:hint="eastAsia"/>
                      <w:color w:val="000000"/>
                      <w:szCs w:val="21"/>
                    </w:rPr>
                    <w:t>编号</w:t>
                  </w:r>
                </w:p>
              </w:tc>
              <w:tc>
                <w:tcPr>
                  <w:tcW w:w="1214" w:type="dxa"/>
                  <w:noWrap w:val="0"/>
                  <w:vAlign w:val="center"/>
                </w:tcPr>
                <w:p>
                  <w:pPr>
                    <w:adjustRightInd w:val="0"/>
                    <w:snapToGrid w:val="0"/>
                    <w:jc w:val="center"/>
                    <w:rPr>
                      <w:rFonts w:hint="eastAsia"/>
                      <w:color w:val="000000"/>
                      <w:szCs w:val="21"/>
                    </w:rPr>
                  </w:pPr>
                  <w:r>
                    <w:rPr>
                      <w:rFonts w:hint="eastAsia"/>
                      <w:color w:val="000000"/>
                      <w:szCs w:val="21"/>
                    </w:rPr>
                    <w:t>高度</w:t>
                  </w:r>
                </w:p>
              </w:tc>
              <w:tc>
                <w:tcPr>
                  <w:tcW w:w="1613" w:type="dxa"/>
                  <w:noWrap w:val="0"/>
                  <w:vAlign w:val="center"/>
                </w:tcPr>
                <w:p>
                  <w:pPr>
                    <w:adjustRightInd w:val="0"/>
                    <w:snapToGrid w:val="0"/>
                    <w:jc w:val="center"/>
                    <w:rPr>
                      <w:rFonts w:hint="eastAsia"/>
                      <w:color w:val="000000"/>
                      <w:szCs w:val="21"/>
                    </w:rPr>
                  </w:pPr>
                  <w:r>
                    <w:rPr>
                      <w:rFonts w:hint="eastAsia"/>
                      <w:color w:val="000000"/>
                      <w:szCs w:val="21"/>
                    </w:rPr>
                    <w:t>排气筒内径</w:t>
                  </w:r>
                </w:p>
              </w:tc>
              <w:tc>
                <w:tcPr>
                  <w:tcW w:w="1294" w:type="dxa"/>
                  <w:noWrap w:val="0"/>
                  <w:vAlign w:val="center"/>
                </w:tcPr>
                <w:p>
                  <w:pPr>
                    <w:adjustRightInd w:val="0"/>
                    <w:snapToGrid w:val="0"/>
                    <w:jc w:val="center"/>
                    <w:rPr>
                      <w:color w:val="000000"/>
                      <w:szCs w:val="21"/>
                    </w:rPr>
                  </w:pPr>
                  <w:r>
                    <w:rPr>
                      <w:rFonts w:hint="eastAsia"/>
                      <w:color w:val="000000"/>
                      <w:szCs w:val="21"/>
                    </w:rPr>
                    <w:t>流速</w:t>
                  </w:r>
                </w:p>
              </w:tc>
              <w:tc>
                <w:tcPr>
                  <w:tcW w:w="1093" w:type="dxa"/>
                  <w:noWrap w:val="0"/>
                  <w:vAlign w:val="center"/>
                </w:tcPr>
                <w:p>
                  <w:pPr>
                    <w:adjustRightInd w:val="0"/>
                    <w:snapToGrid w:val="0"/>
                    <w:jc w:val="center"/>
                    <w:rPr>
                      <w:rFonts w:hint="eastAsia"/>
                      <w:color w:val="000000"/>
                      <w:szCs w:val="21"/>
                    </w:rPr>
                  </w:pPr>
                  <w:r>
                    <w:rPr>
                      <w:rFonts w:hint="eastAsia"/>
                      <w:color w:val="000000"/>
                      <w:szCs w:val="21"/>
                    </w:rPr>
                    <w:t>温度</w:t>
                  </w:r>
                </w:p>
              </w:tc>
              <w:tc>
                <w:tcPr>
                  <w:tcW w:w="1493" w:type="dxa"/>
                  <w:noWrap w:val="0"/>
                  <w:vAlign w:val="center"/>
                </w:tcPr>
                <w:p>
                  <w:pPr>
                    <w:adjustRightInd w:val="0"/>
                    <w:snapToGrid w:val="0"/>
                    <w:jc w:val="center"/>
                    <w:rPr>
                      <w:rFonts w:hint="eastAsia"/>
                      <w:color w:val="000000"/>
                      <w:szCs w:val="21"/>
                    </w:rPr>
                  </w:pPr>
                  <w:r>
                    <w:rPr>
                      <w:rFonts w:hint="eastAsia"/>
                      <w:color w:val="000000"/>
                      <w:szCs w:val="21"/>
                    </w:rPr>
                    <w:t>类型</w:t>
                  </w:r>
                </w:p>
              </w:tc>
              <w:tc>
                <w:tcPr>
                  <w:tcW w:w="3387" w:type="dxa"/>
                  <w:gridSpan w:val="2"/>
                  <w:noWrap w:val="0"/>
                  <w:vAlign w:val="center"/>
                </w:tcPr>
                <w:p>
                  <w:pPr>
                    <w:adjustRightInd w:val="0"/>
                    <w:snapToGrid w:val="0"/>
                    <w:jc w:val="center"/>
                    <w:rPr>
                      <w:rFonts w:hint="eastAsia"/>
                      <w:color w:val="000000"/>
                      <w:szCs w:val="21"/>
                    </w:rPr>
                  </w:pPr>
                  <w:r>
                    <w:rPr>
                      <w:rFonts w:hint="eastAsia"/>
                      <w:color w:val="000000"/>
                      <w:szCs w:val="21"/>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3" w:type="dxa"/>
                  <w:noWrap w:val="0"/>
                  <w:vAlign w:val="center"/>
                </w:tcPr>
                <w:p>
                  <w:pPr>
                    <w:adjustRightInd w:val="0"/>
                    <w:snapToGrid w:val="0"/>
                    <w:jc w:val="center"/>
                    <w:rPr>
                      <w:rFonts w:hint="eastAsia" w:eastAsia="宋体"/>
                      <w:color w:val="000000"/>
                      <w:szCs w:val="21"/>
                      <w:lang w:eastAsia="zh-CN"/>
                    </w:rPr>
                  </w:pPr>
                  <w:r>
                    <w:rPr>
                      <w:rFonts w:hint="eastAsia"/>
                      <w:color w:val="000000"/>
                      <w:szCs w:val="21"/>
                      <w:lang w:eastAsia="zh-CN"/>
                    </w:rPr>
                    <w:t>加弹废气排放口</w:t>
                  </w:r>
                </w:p>
              </w:tc>
              <w:tc>
                <w:tcPr>
                  <w:tcW w:w="1373" w:type="dxa"/>
                  <w:noWrap w:val="0"/>
                  <w:vAlign w:val="center"/>
                </w:tcPr>
                <w:p>
                  <w:pPr>
                    <w:adjustRightInd w:val="0"/>
                    <w:snapToGrid w:val="0"/>
                    <w:jc w:val="center"/>
                    <w:rPr>
                      <w:color w:val="000000"/>
                      <w:szCs w:val="21"/>
                    </w:rPr>
                  </w:pPr>
                  <w:r>
                    <w:rPr>
                      <w:rFonts w:hint="eastAsia"/>
                      <w:color w:val="000000"/>
                      <w:szCs w:val="21"/>
                    </w:rPr>
                    <w:t>DA001</w:t>
                  </w:r>
                </w:p>
              </w:tc>
              <w:tc>
                <w:tcPr>
                  <w:tcW w:w="1214" w:type="dxa"/>
                  <w:noWrap w:val="0"/>
                  <w:vAlign w:val="center"/>
                </w:tcPr>
                <w:p>
                  <w:pPr>
                    <w:adjustRightInd w:val="0"/>
                    <w:snapToGrid w:val="0"/>
                    <w:jc w:val="center"/>
                    <w:rPr>
                      <w:color w:val="000000"/>
                      <w:szCs w:val="21"/>
                    </w:rPr>
                  </w:pPr>
                  <w:r>
                    <w:rPr>
                      <w:rFonts w:hint="eastAsia"/>
                      <w:color w:val="000000"/>
                      <w:szCs w:val="21"/>
                    </w:rPr>
                    <w:t>2</w:t>
                  </w:r>
                  <w:r>
                    <w:rPr>
                      <w:rFonts w:hint="eastAsia"/>
                      <w:color w:val="000000"/>
                      <w:szCs w:val="21"/>
                      <w:lang w:val="en-US" w:eastAsia="zh-CN"/>
                    </w:rPr>
                    <w:t>0</w:t>
                  </w:r>
                  <w:r>
                    <w:rPr>
                      <w:rFonts w:hint="eastAsia"/>
                      <w:color w:val="000000"/>
                      <w:szCs w:val="21"/>
                    </w:rPr>
                    <w:t>m</w:t>
                  </w:r>
                </w:p>
              </w:tc>
              <w:tc>
                <w:tcPr>
                  <w:tcW w:w="1613" w:type="dxa"/>
                  <w:noWrap w:val="0"/>
                  <w:vAlign w:val="center"/>
                </w:tcPr>
                <w:p>
                  <w:pPr>
                    <w:adjustRightInd w:val="0"/>
                    <w:snapToGrid w:val="0"/>
                    <w:jc w:val="center"/>
                    <w:rPr>
                      <w:color w:val="000000"/>
                      <w:szCs w:val="21"/>
                    </w:rPr>
                  </w:pPr>
                  <w:r>
                    <w:rPr>
                      <w:rFonts w:hint="eastAsia"/>
                      <w:color w:val="000000"/>
                      <w:szCs w:val="21"/>
                      <w:lang w:val="en-US" w:eastAsia="zh-CN"/>
                    </w:rPr>
                    <w:t>0.4</w:t>
                  </w:r>
                  <w:r>
                    <w:rPr>
                      <w:rFonts w:hint="eastAsia"/>
                      <w:color w:val="000000"/>
                      <w:szCs w:val="21"/>
                    </w:rPr>
                    <w:t>m</w:t>
                  </w:r>
                </w:p>
              </w:tc>
              <w:tc>
                <w:tcPr>
                  <w:tcW w:w="1294" w:type="dxa"/>
                  <w:noWrap w:val="0"/>
                  <w:vAlign w:val="center"/>
                </w:tcPr>
                <w:p>
                  <w:pPr>
                    <w:adjustRightInd w:val="0"/>
                    <w:snapToGrid w:val="0"/>
                    <w:jc w:val="center"/>
                    <w:rPr>
                      <w:color w:val="000000"/>
                      <w:szCs w:val="21"/>
                    </w:rPr>
                  </w:pPr>
                  <w:r>
                    <w:rPr>
                      <w:rFonts w:hint="eastAsia"/>
                      <w:color w:val="000000"/>
                      <w:szCs w:val="21"/>
                      <w:lang w:val="en-US" w:eastAsia="zh-CN"/>
                    </w:rPr>
                    <w:t>11.06</w:t>
                  </w:r>
                  <w:r>
                    <w:rPr>
                      <w:rFonts w:hint="eastAsia"/>
                      <w:color w:val="000000"/>
                      <w:szCs w:val="21"/>
                    </w:rPr>
                    <w:t>m/s</w:t>
                  </w:r>
                </w:p>
              </w:tc>
              <w:tc>
                <w:tcPr>
                  <w:tcW w:w="1093" w:type="dxa"/>
                  <w:noWrap w:val="0"/>
                  <w:vAlign w:val="center"/>
                </w:tcPr>
                <w:p>
                  <w:pPr>
                    <w:adjustRightInd w:val="0"/>
                    <w:snapToGrid w:val="0"/>
                    <w:jc w:val="center"/>
                    <w:rPr>
                      <w:rFonts w:hint="default" w:eastAsia="宋体"/>
                      <w:color w:val="000000"/>
                      <w:szCs w:val="21"/>
                      <w:lang w:val="en-US" w:eastAsia="zh-CN"/>
                    </w:rPr>
                  </w:pPr>
                  <w:r>
                    <w:rPr>
                      <w:rFonts w:hint="eastAsia"/>
                      <w:color w:val="000000"/>
                      <w:szCs w:val="21"/>
                      <w:lang w:val="en-US" w:eastAsia="zh-CN"/>
                    </w:rPr>
                    <w:t>30℃</w:t>
                  </w:r>
                </w:p>
              </w:tc>
              <w:tc>
                <w:tcPr>
                  <w:tcW w:w="1493" w:type="dxa"/>
                  <w:noWrap w:val="0"/>
                  <w:vAlign w:val="center"/>
                </w:tcPr>
                <w:p>
                  <w:pPr>
                    <w:adjustRightInd w:val="0"/>
                    <w:snapToGrid w:val="0"/>
                    <w:jc w:val="center"/>
                    <w:rPr>
                      <w:rFonts w:hint="eastAsia"/>
                      <w:color w:val="000000"/>
                      <w:szCs w:val="21"/>
                    </w:rPr>
                  </w:pPr>
                  <w:r>
                    <w:rPr>
                      <w:rFonts w:hint="eastAsia"/>
                      <w:color w:val="000000"/>
                      <w:szCs w:val="21"/>
                    </w:rPr>
                    <w:t>一般排放口</w:t>
                  </w:r>
                </w:p>
              </w:tc>
              <w:tc>
                <w:tcPr>
                  <w:tcW w:w="1680" w:type="dxa"/>
                  <w:noWrap w:val="0"/>
                  <w:vAlign w:val="center"/>
                </w:tcPr>
                <w:p>
                  <w:pPr>
                    <w:jc w:val="center"/>
                    <w:rPr>
                      <w:rFonts w:hint="eastAsia"/>
                      <w:bCs/>
                      <w:color w:val="000000"/>
                      <w:szCs w:val="21"/>
                    </w:rPr>
                  </w:pPr>
                  <w:r>
                    <w:rPr>
                      <w:rFonts w:hint="eastAsia"/>
                      <w:bCs/>
                      <w:color w:val="000000"/>
                      <w:szCs w:val="21"/>
                    </w:rPr>
                    <w:t>119.524845074</w:t>
                  </w:r>
                </w:p>
              </w:tc>
              <w:tc>
                <w:tcPr>
                  <w:tcW w:w="1707" w:type="dxa"/>
                  <w:noWrap w:val="0"/>
                  <w:vAlign w:val="center"/>
                </w:tcPr>
                <w:p>
                  <w:pPr>
                    <w:jc w:val="center"/>
                    <w:rPr>
                      <w:rFonts w:hint="eastAsia"/>
                      <w:bCs/>
                      <w:color w:val="000000"/>
                      <w:szCs w:val="21"/>
                    </w:rPr>
                  </w:pPr>
                  <w:r>
                    <w:rPr>
                      <w:rFonts w:hint="eastAsia"/>
                      <w:bCs/>
                      <w:color w:val="000000"/>
                      <w:szCs w:val="21"/>
                    </w:rPr>
                    <w:t>30.554790367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23" w:type="dxa"/>
                  <w:noWrap w:val="0"/>
                  <w:vAlign w:val="center"/>
                </w:tcPr>
                <w:p>
                  <w:pPr>
                    <w:adjustRightInd w:val="0"/>
                    <w:snapToGrid w:val="0"/>
                    <w:jc w:val="center"/>
                    <w:rPr>
                      <w:rFonts w:hint="eastAsia" w:eastAsia="宋体"/>
                      <w:color w:val="000000"/>
                      <w:szCs w:val="21"/>
                      <w:lang w:eastAsia="zh-CN"/>
                    </w:rPr>
                  </w:pPr>
                  <w:r>
                    <w:rPr>
                      <w:rFonts w:hint="eastAsia"/>
                      <w:color w:val="000000"/>
                      <w:szCs w:val="21"/>
                      <w:lang w:eastAsia="zh-CN"/>
                    </w:rPr>
                    <w:t>有机废气排放口</w:t>
                  </w:r>
                </w:p>
              </w:tc>
              <w:tc>
                <w:tcPr>
                  <w:tcW w:w="1373" w:type="dxa"/>
                  <w:noWrap w:val="0"/>
                  <w:vAlign w:val="center"/>
                </w:tcPr>
                <w:p>
                  <w:pPr>
                    <w:adjustRightInd w:val="0"/>
                    <w:snapToGrid w:val="0"/>
                    <w:jc w:val="center"/>
                    <w:rPr>
                      <w:color w:val="000000"/>
                      <w:szCs w:val="21"/>
                    </w:rPr>
                  </w:pPr>
                  <w:r>
                    <w:rPr>
                      <w:rFonts w:hint="eastAsia"/>
                      <w:color w:val="000000"/>
                      <w:szCs w:val="21"/>
                    </w:rPr>
                    <w:t>DA002</w:t>
                  </w:r>
                </w:p>
              </w:tc>
              <w:tc>
                <w:tcPr>
                  <w:tcW w:w="1214" w:type="dxa"/>
                  <w:noWrap w:val="0"/>
                  <w:vAlign w:val="center"/>
                </w:tcPr>
                <w:p>
                  <w:pPr>
                    <w:adjustRightInd w:val="0"/>
                    <w:snapToGrid w:val="0"/>
                    <w:jc w:val="center"/>
                    <w:rPr>
                      <w:rFonts w:hint="eastAsia"/>
                      <w:color w:val="000000"/>
                      <w:szCs w:val="21"/>
                    </w:rPr>
                  </w:pPr>
                  <w:r>
                    <w:rPr>
                      <w:rFonts w:hint="eastAsia"/>
                      <w:color w:val="000000"/>
                      <w:szCs w:val="21"/>
                    </w:rPr>
                    <w:t>2</w:t>
                  </w:r>
                  <w:r>
                    <w:rPr>
                      <w:rFonts w:hint="eastAsia"/>
                      <w:color w:val="000000"/>
                      <w:szCs w:val="21"/>
                      <w:lang w:val="en-US" w:eastAsia="zh-CN"/>
                    </w:rPr>
                    <w:t>0</w:t>
                  </w:r>
                  <w:r>
                    <w:rPr>
                      <w:rFonts w:hint="eastAsia"/>
                      <w:color w:val="000000"/>
                      <w:szCs w:val="21"/>
                    </w:rPr>
                    <w:t>m</w:t>
                  </w:r>
                </w:p>
              </w:tc>
              <w:tc>
                <w:tcPr>
                  <w:tcW w:w="1613" w:type="dxa"/>
                  <w:noWrap w:val="0"/>
                  <w:vAlign w:val="center"/>
                </w:tcPr>
                <w:p>
                  <w:pPr>
                    <w:adjustRightInd w:val="0"/>
                    <w:snapToGrid w:val="0"/>
                    <w:jc w:val="center"/>
                    <w:rPr>
                      <w:color w:val="000000"/>
                      <w:szCs w:val="21"/>
                      <w:highlight w:val="none"/>
                    </w:rPr>
                  </w:pPr>
                  <w:r>
                    <w:rPr>
                      <w:rFonts w:hint="eastAsia"/>
                      <w:color w:val="000000"/>
                      <w:szCs w:val="21"/>
                      <w:highlight w:val="none"/>
                      <w:lang w:val="en-US" w:eastAsia="zh-CN"/>
                    </w:rPr>
                    <w:t>0.4</w:t>
                  </w:r>
                  <w:r>
                    <w:rPr>
                      <w:rFonts w:hint="eastAsia"/>
                      <w:color w:val="000000"/>
                      <w:szCs w:val="21"/>
                      <w:highlight w:val="none"/>
                    </w:rPr>
                    <w:t>m</w:t>
                  </w:r>
                </w:p>
              </w:tc>
              <w:tc>
                <w:tcPr>
                  <w:tcW w:w="1294" w:type="dxa"/>
                  <w:noWrap w:val="0"/>
                  <w:vAlign w:val="center"/>
                </w:tcPr>
                <w:p>
                  <w:pPr>
                    <w:adjustRightInd w:val="0"/>
                    <w:snapToGrid w:val="0"/>
                    <w:jc w:val="center"/>
                    <w:rPr>
                      <w:color w:val="000000"/>
                      <w:szCs w:val="21"/>
                      <w:highlight w:val="none"/>
                    </w:rPr>
                  </w:pPr>
                  <w:r>
                    <w:rPr>
                      <w:rFonts w:hint="eastAsia"/>
                      <w:color w:val="000000"/>
                      <w:szCs w:val="21"/>
                      <w:highlight w:val="none"/>
                      <w:lang w:val="en-US" w:eastAsia="zh-CN"/>
                    </w:rPr>
                    <w:t>8.85</w:t>
                  </w:r>
                  <w:r>
                    <w:rPr>
                      <w:rFonts w:hint="eastAsia"/>
                      <w:color w:val="000000"/>
                      <w:szCs w:val="21"/>
                      <w:highlight w:val="none"/>
                    </w:rPr>
                    <w:t>m/s</w:t>
                  </w:r>
                </w:p>
              </w:tc>
              <w:tc>
                <w:tcPr>
                  <w:tcW w:w="1093" w:type="dxa"/>
                  <w:noWrap w:val="0"/>
                  <w:vAlign w:val="center"/>
                </w:tcPr>
                <w:p>
                  <w:pPr>
                    <w:adjustRightInd w:val="0"/>
                    <w:snapToGrid w:val="0"/>
                    <w:jc w:val="center"/>
                    <w:rPr>
                      <w:rFonts w:hint="eastAsia"/>
                      <w:color w:val="000000"/>
                      <w:szCs w:val="21"/>
                    </w:rPr>
                  </w:pPr>
                  <w:r>
                    <w:rPr>
                      <w:rFonts w:hint="eastAsia"/>
                      <w:color w:val="000000"/>
                      <w:szCs w:val="21"/>
                      <w:lang w:val="en-US" w:eastAsia="zh-CN"/>
                    </w:rPr>
                    <w:t>50℃</w:t>
                  </w:r>
                </w:p>
              </w:tc>
              <w:tc>
                <w:tcPr>
                  <w:tcW w:w="1493" w:type="dxa"/>
                  <w:noWrap w:val="0"/>
                  <w:vAlign w:val="center"/>
                </w:tcPr>
                <w:p>
                  <w:pPr>
                    <w:adjustRightInd w:val="0"/>
                    <w:snapToGrid w:val="0"/>
                    <w:jc w:val="center"/>
                    <w:rPr>
                      <w:rFonts w:hint="eastAsia"/>
                      <w:color w:val="000000"/>
                      <w:szCs w:val="21"/>
                    </w:rPr>
                  </w:pPr>
                  <w:r>
                    <w:rPr>
                      <w:rFonts w:hint="eastAsia"/>
                      <w:color w:val="000000"/>
                      <w:szCs w:val="21"/>
                    </w:rPr>
                    <w:t>一般排放口</w:t>
                  </w:r>
                </w:p>
              </w:tc>
              <w:tc>
                <w:tcPr>
                  <w:tcW w:w="1680" w:type="dxa"/>
                  <w:noWrap w:val="0"/>
                  <w:vAlign w:val="center"/>
                </w:tcPr>
                <w:p>
                  <w:pPr>
                    <w:jc w:val="center"/>
                    <w:rPr>
                      <w:rFonts w:hint="eastAsia"/>
                      <w:bCs/>
                      <w:color w:val="000000"/>
                      <w:szCs w:val="21"/>
                    </w:rPr>
                  </w:pPr>
                  <w:r>
                    <w:rPr>
                      <w:rFonts w:hint="eastAsia"/>
                      <w:bCs/>
                      <w:color w:val="000000"/>
                      <w:szCs w:val="21"/>
                    </w:rPr>
                    <w:t>119.524841211</w:t>
                  </w:r>
                </w:p>
              </w:tc>
              <w:tc>
                <w:tcPr>
                  <w:tcW w:w="1707" w:type="dxa"/>
                  <w:noWrap w:val="0"/>
                  <w:vAlign w:val="center"/>
                </w:tcPr>
                <w:p>
                  <w:pPr>
                    <w:jc w:val="center"/>
                    <w:rPr>
                      <w:rFonts w:hint="eastAsia"/>
                      <w:bCs/>
                      <w:color w:val="000000"/>
                      <w:szCs w:val="21"/>
                    </w:rPr>
                  </w:pPr>
                  <w:r>
                    <w:rPr>
                      <w:rFonts w:hint="eastAsia"/>
                      <w:bCs/>
                      <w:color w:val="000000"/>
                      <w:szCs w:val="21"/>
                    </w:rPr>
                    <w:t>30.554799057</w:t>
                  </w:r>
                </w:p>
              </w:tc>
            </w:tr>
          </w:tbl>
          <w:p>
            <w:pPr>
              <w:spacing w:line="500" w:lineRule="exact"/>
              <w:outlineLvl w:val="2"/>
              <w:rPr>
                <w:rFonts w:hint="eastAsia"/>
                <w:b/>
                <w:bCs/>
                <w:snapToGrid w:val="0"/>
                <w:kern w:val="0"/>
                <w:sz w:val="24"/>
                <w:lang w:eastAsia="zh-CN"/>
              </w:rPr>
            </w:pPr>
          </w:p>
          <w:p>
            <w:pPr>
              <w:spacing w:line="500" w:lineRule="exact"/>
              <w:outlineLvl w:val="2"/>
              <w:rPr>
                <w:rFonts w:hint="eastAsia"/>
                <w:b/>
                <w:bCs/>
                <w:snapToGrid w:val="0"/>
                <w:kern w:val="0"/>
                <w:sz w:val="24"/>
                <w:lang w:eastAsia="zh-CN"/>
              </w:rPr>
            </w:pPr>
          </w:p>
          <w:p>
            <w:pPr>
              <w:spacing w:line="500" w:lineRule="exact"/>
              <w:outlineLvl w:val="2"/>
              <w:rPr>
                <w:rFonts w:hint="eastAsia"/>
                <w:b/>
                <w:bCs/>
                <w:snapToGrid w:val="0"/>
                <w:kern w:val="0"/>
                <w:sz w:val="24"/>
                <w:lang w:eastAsia="zh-CN"/>
              </w:rPr>
            </w:pPr>
          </w:p>
          <w:p>
            <w:pPr>
              <w:spacing w:line="500" w:lineRule="exact"/>
              <w:outlineLvl w:val="2"/>
              <w:rPr>
                <w:rFonts w:hint="eastAsia"/>
                <w:b/>
                <w:bCs/>
                <w:snapToGrid w:val="0"/>
                <w:kern w:val="0"/>
                <w:sz w:val="24"/>
                <w:lang w:eastAsia="zh-CN"/>
              </w:rPr>
            </w:pPr>
          </w:p>
          <w:p>
            <w:pPr>
              <w:spacing w:line="500" w:lineRule="exact"/>
              <w:outlineLvl w:val="2"/>
              <w:rPr>
                <w:rFonts w:hint="eastAsia"/>
                <w:b/>
                <w:bCs/>
                <w:snapToGrid w:val="0"/>
                <w:kern w:val="0"/>
                <w:sz w:val="24"/>
                <w:lang w:eastAsia="zh-CN"/>
              </w:rPr>
            </w:pPr>
          </w:p>
          <w:p>
            <w:pPr>
              <w:spacing w:line="500" w:lineRule="exact"/>
              <w:outlineLvl w:val="2"/>
              <w:rPr>
                <w:rFonts w:hint="eastAsia" w:eastAsia="宋体"/>
                <w:b/>
                <w:bCs/>
                <w:snapToGrid w:val="0"/>
                <w:kern w:val="0"/>
                <w:sz w:val="24"/>
                <w:lang w:eastAsia="zh-CN"/>
              </w:rPr>
            </w:pPr>
          </w:p>
        </w:tc>
      </w:tr>
    </w:tbl>
    <w:p>
      <w:pPr>
        <w:sectPr>
          <w:pgSz w:w="16838" w:h="11906" w:orient="landscape"/>
          <w:pgMar w:top="1587" w:right="1588" w:bottom="1587" w:left="1588" w:header="851" w:footer="992" w:gutter="0"/>
          <w:pgBorders>
            <w:top w:val="none" w:sz="0" w:space="0"/>
            <w:left w:val="none" w:sz="0" w:space="0"/>
            <w:bottom w:val="none" w:sz="0" w:space="0"/>
            <w:right w:val="none" w:sz="0" w:space="0"/>
          </w:pgBorders>
          <w:cols w:space="0" w:num="1"/>
          <w:docGrid w:linePitch="312" w:charSpace="0"/>
        </w:sectPr>
      </w:pPr>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7"/>
        <w:gridCol w:w="8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8" w:hRule="atLeast"/>
          <w:jc w:val="center"/>
        </w:trPr>
        <w:tc>
          <w:tcPr>
            <w:tcW w:w="407" w:type="dxa"/>
            <w:noWrap/>
            <w:tcMar>
              <w:top w:w="0" w:type="dxa"/>
              <w:left w:w="108" w:type="dxa"/>
              <w:bottom w:w="0" w:type="dxa"/>
              <w:right w:w="108" w:type="dxa"/>
            </w:tcMar>
            <w:vAlign w:val="center"/>
          </w:tcPr>
          <w:p>
            <w:pPr>
              <w:pStyle w:val="3"/>
              <w:adjustRightInd w:val="0"/>
              <w:snapToGrid w:val="0"/>
              <w:ind w:firstLine="0"/>
              <w:rPr>
                <w:sz w:val="21"/>
                <w:szCs w:val="21"/>
              </w:rPr>
            </w:pPr>
            <w:bookmarkStart w:id="26" w:name="_Toc52104855"/>
            <w:r>
              <w:rPr>
                <w:rFonts w:hAnsi="宋体"/>
                <w:sz w:val="21"/>
                <w:szCs w:val="21"/>
              </w:rPr>
              <w:t>运营</w:t>
            </w:r>
          </w:p>
          <w:p>
            <w:pPr>
              <w:pStyle w:val="3"/>
              <w:adjustRightInd w:val="0"/>
              <w:snapToGrid w:val="0"/>
              <w:ind w:firstLine="0"/>
              <w:rPr>
                <w:sz w:val="21"/>
                <w:szCs w:val="21"/>
              </w:rPr>
            </w:pPr>
            <w:r>
              <w:rPr>
                <w:rFonts w:hAnsi="宋体"/>
                <w:sz w:val="21"/>
                <w:szCs w:val="21"/>
              </w:rPr>
              <w:t>期环</w:t>
            </w:r>
          </w:p>
          <w:p>
            <w:pPr>
              <w:pStyle w:val="3"/>
              <w:adjustRightInd w:val="0"/>
              <w:snapToGrid w:val="0"/>
              <w:ind w:firstLine="0"/>
              <w:rPr>
                <w:sz w:val="21"/>
                <w:szCs w:val="21"/>
              </w:rPr>
            </w:pPr>
            <w:r>
              <w:rPr>
                <w:rFonts w:hAnsi="宋体"/>
                <w:sz w:val="21"/>
                <w:szCs w:val="21"/>
              </w:rPr>
              <w:t>境影</w:t>
            </w:r>
          </w:p>
          <w:p>
            <w:pPr>
              <w:pStyle w:val="3"/>
              <w:adjustRightInd w:val="0"/>
              <w:snapToGrid w:val="0"/>
              <w:ind w:firstLine="0"/>
              <w:rPr>
                <w:sz w:val="21"/>
                <w:szCs w:val="21"/>
              </w:rPr>
            </w:pPr>
            <w:r>
              <w:rPr>
                <w:rFonts w:hAnsi="宋体"/>
                <w:sz w:val="21"/>
                <w:szCs w:val="21"/>
              </w:rPr>
              <w:t>响和</w:t>
            </w:r>
          </w:p>
          <w:p>
            <w:pPr>
              <w:pStyle w:val="3"/>
              <w:adjustRightInd w:val="0"/>
              <w:snapToGrid w:val="0"/>
              <w:ind w:firstLine="0"/>
              <w:rPr>
                <w:sz w:val="21"/>
                <w:szCs w:val="21"/>
              </w:rPr>
            </w:pPr>
            <w:r>
              <w:rPr>
                <w:rFonts w:hAnsi="宋体"/>
                <w:sz w:val="21"/>
                <w:szCs w:val="21"/>
              </w:rPr>
              <w:t>保护</w:t>
            </w:r>
          </w:p>
          <w:p>
            <w:pPr>
              <w:widowControl/>
              <w:wordWrap w:val="0"/>
              <w:jc w:val="center"/>
              <w:rPr>
                <w:b/>
                <w:bCs/>
                <w:kern w:val="0"/>
                <w:sz w:val="21"/>
                <w:szCs w:val="21"/>
              </w:rPr>
            </w:pPr>
            <w:r>
              <w:rPr>
                <w:rFonts w:hAnsi="宋体"/>
                <w:sz w:val="21"/>
                <w:szCs w:val="21"/>
              </w:rPr>
              <w:t>措施</w:t>
            </w:r>
          </w:p>
        </w:tc>
        <w:tc>
          <w:tcPr>
            <w:tcW w:w="8664" w:type="dxa"/>
            <w:noWrap/>
            <w:tcMar>
              <w:top w:w="0" w:type="dxa"/>
              <w:left w:w="108" w:type="dxa"/>
              <w:bottom w:w="0" w:type="dxa"/>
              <w:right w:w="108" w:type="dxa"/>
            </w:tcMar>
            <w:vAlign w:val="center"/>
          </w:tcPr>
          <w:p>
            <w:pPr>
              <w:adjustRightInd w:val="0"/>
              <w:snapToGrid w:val="0"/>
              <w:spacing w:line="500" w:lineRule="exact"/>
              <w:rPr>
                <w:b/>
                <w:bCs/>
                <w:sz w:val="24"/>
              </w:rPr>
            </w:pPr>
            <w:r>
              <w:rPr>
                <w:b/>
                <w:bCs/>
                <w:sz w:val="24"/>
              </w:rPr>
              <w:t>4.2.1.2</w:t>
            </w:r>
            <w:r>
              <w:rPr>
                <w:rFonts w:hAnsi="宋体"/>
                <w:b/>
                <w:bCs/>
                <w:sz w:val="24"/>
              </w:rPr>
              <w:t>废气源强核算说明</w:t>
            </w:r>
          </w:p>
          <w:p>
            <w:pPr>
              <w:spacing w:line="500" w:lineRule="exact"/>
              <w:ind w:firstLine="480" w:firstLineChars="200"/>
              <w:rPr>
                <w:rFonts w:hint="eastAsia" w:eastAsia="宋体"/>
                <w:color w:val="auto"/>
                <w:sz w:val="24"/>
                <w:lang w:eastAsia="zh-CN"/>
              </w:rPr>
            </w:pPr>
            <w:r>
              <w:rPr>
                <w:rFonts w:hAnsi="宋体"/>
                <w:color w:val="auto"/>
                <w:sz w:val="24"/>
              </w:rPr>
              <w:t>（</w:t>
            </w:r>
            <w:r>
              <w:rPr>
                <w:color w:val="auto"/>
                <w:sz w:val="24"/>
              </w:rPr>
              <w:t>1</w:t>
            </w:r>
            <w:r>
              <w:rPr>
                <w:rFonts w:hAnsi="宋体"/>
                <w:color w:val="auto"/>
                <w:sz w:val="24"/>
              </w:rPr>
              <w:t>）</w:t>
            </w:r>
            <w:r>
              <w:rPr>
                <w:rFonts w:hint="eastAsia" w:hAnsi="宋体"/>
                <w:color w:val="auto"/>
                <w:sz w:val="24"/>
                <w:lang w:eastAsia="zh-CN"/>
              </w:rPr>
              <w:t>织造粉尘</w:t>
            </w:r>
          </w:p>
          <w:p>
            <w:pPr>
              <w:spacing w:line="500" w:lineRule="exact"/>
              <w:ind w:firstLine="480" w:firstLineChars="200"/>
              <w:rPr>
                <w:color w:val="auto"/>
                <w:sz w:val="24"/>
              </w:rPr>
            </w:pPr>
            <w:r>
              <w:rPr>
                <w:rFonts w:hAnsi="宋体"/>
                <w:color w:val="auto"/>
                <w:sz w:val="24"/>
              </w:rPr>
              <w:t>本项目生产工艺简单，为织造工艺及前道辅助工艺，在织造过程中会有少量的纤维尘产生，由于</w:t>
            </w:r>
            <w:r>
              <w:rPr>
                <w:rFonts w:hint="eastAsia" w:hAnsi="宋体"/>
                <w:color w:val="auto"/>
                <w:sz w:val="24"/>
              </w:rPr>
              <w:t>本项目属于喷水织造工艺</w:t>
            </w:r>
            <w:r>
              <w:rPr>
                <w:rFonts w:hAnsi="宋体"/>
                <w:color w:val="auto"/>
                <w:sz w:val="24"/>
              </w:rPr>
              <w:t>，在织造过程中纤维尘源强很小，本环评不做定量分析，在加强车间换气通风后，</w:t>
            </w:r>
            <w:r>
              <w:rPr>
                <w:rFonts w:hint="eastAsia" w:hAnsi="宋体"/>
                <w:color w:val="auto"/>
                <w:sz w:val="24"/>
                <w:lang w:eastAsia="zh-CN"/>
              </w:rPr>
              <w:t>预计</w:t>
            </w:r>
            <w:r>
              <w:rPr>
                <w:rFonts w:hAnsi="宋体"/>
                <w:color w:val="auto"/>
                <w:sz w:val="24"/>
              </w:rPr>
              <w:t>厂界颗粒物浓度符合《大气污染物综合排放标准》（</w:t>
            </w:r>
            <w:r>
              <w:rPr>
                <w:color w:val="auto"/>
                <w:sz w:val="24"/>
              </w:rPr>
              <w:t>GB16297-1996</w:t>
            </w:r>
            <w:r>
              <w:rPr>
                <w:rFonts w:hAnsi="宋体"/>
                <w:color w:val="auto"/>
                <w:sz w:val="24"/>
              </w:rPr>
              <w:t>）中的新污染源大气污染物排放限值、无组织排放监控浓度限值。</w:t>
            </w:r>
          </w:p>
          <w:p>
            <w:pPr>
              <w:numPr>
                <w:ilvl w:val="0"/>
                <w:numId w:val="7"/>
              </w:numPr>
              <w:spacing w:line="500" w:lineRule="exact"/>
              <w:ind w:firstLine="480" w:firstLineChars="200"/>
              <w:rPr>
                <w:rFonts w:hint="eastAsia" w:hAnsi="宋体"/>
                <w:color w:val="auto"/>
                <w:sz w:val="24"/>
                <w:lang w:eastAsia="zh-CN"/>
              </w:rPr>
            </w:pPr>
            <w:r>
              <w:rPr>
                <w:rFonts w:hint="eastAsia" w:hAnsi="宋体"/>
                <w:color w:val="auto"/>
                <w:sz w:val="24"/>
                <w:lang w:eastAsia="zh-CN"/>
              </w:rPr>
              <w:t>加弹废气</w:t>
            </w:r>
          </w:p>
          <w:p>
            <w:pPr>
              <w:spacing w:line="500" w:lineRule="exact"/>
              <w:ind w:firstLine="480" w:firstLineChars="200"/>
              <w:jc w:val="left"/>
              <w:textAlignment w:val="center"/>
              <w:rPr>
                <w:rFonts w:ascii="Times New Roman" w:hAnsi="Times New Roman" w:eastAsia="宋体" w:cs="Times New Roman"/>
                <w:sz w:val="24"/>
              </w:rPr>
            </w:pPr>
            <w:r>
              <w:rPr>
                <w:rFonts w:ascii="Times New Roman" w:hAnsi="Times New Roman" w:eastAsia="宋体" w:cs="Times New Roman"/>
                <w:sz w:val="24"/>
              </w:rPr>
              <w:t>POY化纤丝在加弹过程中会产生一定量的油剂废气，其油剂废气来源于化纤丝本身含有的油剂</w:t>
            </w:r>
            <w:r>
              <w:rPr>
                <w:rFonts w:hint="eastAsia" w:ascii="Times New Roman" w:hAnsi="Times New Roman" w:eastAsia="宋体" w:cs="Times New Roman"/>
                <w:sz w:val="24"/>
                <w:lang w:val="en-US" w:eastAsia="zh-CN"/>
              </w:rPr>
              <w:t>和外加的加弹油</w:t>
            </w:r>
            <w:r>
              <w:rPr>
                <w:rFonts w:ascii="Times New Roman" w:hAnsi="Times New Roman" w:eastAsia="宋体" w:cs="Times New Roman"/>
                <w:sz w:val="24"/>
              </w:rPr>
              <w:t>通过加弹加热过程中挥发而成，污染因子以非甲烷总烃计。根据《涤纶丝生产》(第二版)，POY化纤丝本身含有约0.3%的油剂。根据湖州中一检测研究院有限公司编制的同类型企业“浙江鑫涛科技股份有限公司年产各类高档家居面料780万米技改项目先行竣工环境保护验收监测报告表”、绍兴市中测检测技术股份有限公司编制的同类型企业“诸暨梦丽特针纺织品有限公司年产袜子3000万双、加弹丝1万吨建设项目先行竣工环境保护验收（废水、废气、噪声）监测报告表”及湖州协成检测科技有限公司编制的同类型项目“浙江宇成纺织有限公司年产各类纺织面料3100万米建设项目及年加工化纤丝450</w:t>
            </w:r>
            <w:r>
              <w:rPr>
                <w:rFonts w:hint="eastAsia" w:ascii="Times New Roman" w:hAnsi="Times New Roman" w:eastAsia="宋体" w:cs="Times New Roman"/>
                <w:sz w:val="24"/>
                <w:lang w:val="en-US" w:eastAsia="zh-CN"/>
              </w:rPr>
              <w:t>0</w:t>
            </w:r>
            <w:r>
              <w:rPr>
                <w:rFonts w:ascii="Times New Roman" w:hAnsi="Times New Roman" w:eastAsia="宋体" w:cs="Times New Roman"/>
                <w:sz w:val="24"/>
              </w:rPr>
              <w:t>吨技改项目”等其他报告可知，单台加弹机的加弹废气产生量约0.0365~0.045kg/h，本项目取最大值0.045kg/h，</w:t>
            </w:r>
            <w:r>
              <w:rPr>
                <w:rFonts w:hint="eastAsia" w:ascii="Times New Roman" w:hAnsi="Times New Roman" w:eastAsia="宋体" w:cs="Times New Roman"/>
                <w:sz w:val="24"/>
                <w:lang w:eastAsia="zh-CN"/>
              </w:rPr>
              <w:t>具体</w:t>
            </w:r>
            <w:r>
              <w:rPr>
                <w:rFonts w:ascii="Times New Roman" w:hAnsi="Times New Roman" w:eastAsia="宋体" w:cs="Times New Roman"/>
                <w:sz w:val="24"/>
              </w:rPr>
              <w:t>情况</w:t>
            </w:r>
            <w:r>
              <w:rPr>
                <w:rFonts w:hint="eastAsia" w:ascii="Times New Roman" w:hAnsi="Times New Roman" w:eastAsia="宋体" w:cs="Times New Roman"/>
                <w:sz w:val="24"/>
                <w:lang w:eastAsia="zh-CN"/>
              </w:rPr>
              <w:t>见下表</w:t>
            </w:r>
            <w:r>
              <w:rPr>
                <w:rFonts w:hint="eastAsia" w:ascii="Times New Roman" w:hAnsi="Times New Roman" w:eastAsia="宋体" w:cs="Times New Roman"/>
                <w:sz w:val="24"/>
                <w:lang w:val="en-US" w:eastAsia="zh-CN"/>
              </w:rPr>
              <w:t>4.</w:t>
            </w:r>
            <w:r>
              <w:rPr>
                <w:rFonts w:hint="eastAsia" w:cs="Times New Roman"/>
                <w:sz w:val="24"/>
                <w:lang w:val="en-US" w:eastAsia="zh-CN"/>
              </w:rPr>
              <w:t>2</w:t>
            </w:r>
            <w:r>
              <w:rPr>
                <w:rFonts w:hint="eastAsia" w:ascii="Times New Roman" w:hAnsi="Times New Roman" w:eastAsia="宋体" w:cs="Times New Roman"/>
                <w:sz w:val="24"/>
                <w:lang w:val="en-US" w:eastAsia="zh-CN"/>
              </w:rPr>
              <w:t>-3</w:t>
            </w:r>
            <w:r>
              <w:rPr>
                <w:rFonts w:hint="eastAsia" w:cs="Times New Roman"/>
                <w:sz w:val="24"/>
                <w:lang w:val="en-US" w:eastAsia="zh-CN"/>
              </w:rPr>
              <w:t>。</w:t>
            </w:r>
          </w:p>
          <w:p>
            <w:pPr>
              <w:spacing w:line="460" w:lineRule="exact"/>
              <w:jc w:val="center"/>
              <w:rPr>
                <w:rFonts w:ascii="Times New Roman" w:hAnsi="Times New Roman" w:eastAsia="宋体" w:cs="Times New Roman"/>
                <w:b/>
                <w:szCs w:val="20"/>
              </w:rPr>
            </w:pPr>
            <w:r>
              <w:rPr>
                <w:rFonts w:ascii="Times New Roman" w:hAnsi="Times New Roman" w:eastAsia="宋体" w:cs="Times New Roman"/>
                <w:b/>
                <w:szCs w:val="20"/>
              </w:rPr>
              <w:t>表</w:t>
            </w:r>
            <w:r>
              <w:rPr>
                <w:rFonts w:hint="eastAsia" w:ascii="Times New Roman" w:hAnsi="Times New Roman" w:eastAsia="宋体" w:cs="Times New Roman"/>
                <w:b/>
                <w:szCs w:val="20"/>
                <w:lang w:val="en-US" w:eastAsia="zh-CN"/>
              </w:rPr>
              <w:t>4.</w:t>
            </w:r>
            <w:r>
              <w:rPr>
                <w:rFonts w:hint="eastAsia" w:cs="Times New Roman"/>
                <w:b/>
                <w:szCs w:val="20"/>
                <w:lang w:val="en-US" w:eastAsia="zh-CN"/>
              </w:rPr>
              <w:t>2</w:t>
            </w:r>
            <w:r>
              <w:rPr>
                <w:rFonts w:hint="eastAsia" w:ascii="Times New Roman" w:hAnsi="Times New Roman" w:eastAsia="宋体" w:cs="Times New Roman"/>
                <w:b/>
                <w:szCs w:val="20"/>
                <w:lang w:val="en-US" w:eastAsia="zh-CN"/>
              </w:rPr>
              <w:t>-3</w:t>
            </w:r>
            <w:r>
              <w:rPr>
                <w:rFonts w:ascii="Times New Roman" w:hAnsi="Times New Roman" w:eastAsia="宋体" w:cs="Times New Roman"/>
                <w:b/>
                <w:szCs w:val="20"/>
              </w:rPr>
              <w:t xml:space="preserve"> 同类型项目废气源强参数情况</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490"/>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类别</w:t>
                  </w:r>
                </w:p>
              </w:tc>
              <w:tc>
                <w:tcPr>
                  <w:tcW w:w="2575"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参数</w:t>
                  </w:r>
                </w:p>
              </w:tc>
              <w:tc>
                <w:tcPr>
                  <w:tcW w:w="28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加弹机的数量</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2台</w:t>
                  </w:r>
                </w:p>
              </w:tc>
              <w:tc>
                <w:tcPr>
                  <w:tcW w:w="28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类别项目同类设备数量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废气有组织产生量</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0.105kg/h</w:t>
                  </w:r>
                </w:p>
              </w:tc>
              <w:tc>
                <w:tcPr>
                  <w:tcW w:w="28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废气总产生量</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0.09kg/h</w:t>
                  </w:r>
                </w:p>
              </w:tc>
              <w:tc>
                <w:tcPr>
                  <w:tcW w:w="28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收集效率按90%计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单台加弹机废气产生量</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0.045kg/</w:t>
                  </w:r>
                  <w:r>
                    <w:rPr>
                      <w:rFonts w:hint="eastAsia" w:cs="Times New Roman"/>
                      <w:szCs w:val="21"/>
                      <w:lang w:val="en-US" w:eastAsia="zh-CN"/>
                    </w:rPr>
                    <w:t>h</w:t>
                  </w:r>
                </w:p>
              </w:tc>
              <w:tc>
                <w:tcPr>
                  <w:tcW w:w="28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500" w:lineRule="exact"/>
              <w:ind w:firstLine="480" w:firstLineChars="200"/>
              <w:textAlignment w:val="center"/>
              <w:rPr>
                <w:rFonts w:ascii="Times New Roman" w:hAnsi="Times New Roman" w:eastAsia="宋体" w:cs="Times New Roman"/>
                <w:sz w:val="24"/>
              </w:rPr>
            </w:pPr>
            <w:r>
              <w:rPr>
                <w:rFonts w:hint="eastAsia" w:ascii="Times New Roman" w:hAnsi="Times New Roman" w:eastAsia="宋体" w:cs="Times New Roman"/>
                <w:sz w:val="24"/>
                <w:lang w:eastAsia="zh-CN"/>
              </w:rPr>
              <w:t>企业现有</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台加弹机</w:t>
            </w:r>
            <w:r>
              <w:rPr>
                <w:rFonts w:hint="eastAsia" w:ascii="Times New Roman" w:hAnsi="Times New Roman" w:eastAsia="宋体" w:cs="Times New Roman"/>
                <w:sz w:val="24"/>
                <w:lang w:eastAsia="zh-CN"/>
              </w:rPr>
              <w:t>，</w:t>
            </w:r>
            <w:r>
              <w:rPr>
                <w:rFonts w:hint="eastAsia" w:cs="Times New Roman"/>
                <w:sz w:val="24"/>
                <w:lang w:eastAsia="zh-CN"/>
              </w:rPr>
              <w:t>则加弹废气产生量为</w:t>
            </w:r>
            <w:r>
              <w:rPr>
                <w:rFonts w:hint="eastAsia" w:cs="Times New Roman"/>
                <w:sz w:val="24"/>
                <w:lang w:val="en-US" w:eastAsia="zh-CN"/>
              </w:rPr>
              <w:t>0.648t/a，以非甲烷总烃表征。</w:t>
            </w:r>
            <w:r>
              <w:rPr>
                <w:rFonts w:ascii="Times New Roman" w:hAnsi="Times New Roman" w:eastAsia="宋体" w:cs="Times New Roman"/>
                <w:sz w:val="24"/>
              </w:rPr>
              <w:t>在每台加弹机的吸烟装置排放口安装密闭式管道收集</w:t>
            </w:r>
            <w:r>
              <w:rPr>
                <w:rFonts w:hint="eastAsia" w:ascii="Times New Roman" w:hAnsi="Times New Roman" w:eastAsia="宋体" w:cs="Times New Roman"/>
                <w:sz w:val="24"/>
                <w:lang w:eastAsia="zh-CN"/>
              </w:rPr>
              <w:t>废气，新增</w:t>
            </w:r>
            <w:r>
              <w:rPr>
                <w:rFonts w:ascii="Times New Roman" w:hAnsi="Times New Roman" w:eastAsia="宋体" w:cs="Times New Roman"/>
                <w:sz w:val="24"/>
              </w:rPr>
              <w:t>一套</w:t>
            </w:r>
            <w:r>
              <w:rPr>
                <w:rFonts w:hint="eastAsia" w:cs="Times New Roman"/>
                <w:sz w:val="24"/>
                <w:lang w:eastAsia="zh-CN"/>
              </w:rPr>
              <w:t>冷却</w:t>
            </w:r>
            <w:r>
              <w:rPr>
                <w:rFonts w:hint="eastAsia" w:cs="Times New Roman"/>
                <w:sz w:val="24"/>
                <w:lang w:val="en-US" w:eastAsia="zh-CN"/>
              </w:rPr>
              <w:t>+</w:t>
            </w:r>
            <w:r>
              <w:rPr>
                <w:rFonts w:ascii="Times New Roman" w:hAnsi="Times New Roman" w:eastAsia="宋体" w:cs="Times New Roman"/>
                <w:sz w:val="24"/>
              </w:rPr>
              <w:t>水喷淋+静电油烟净化吸附装置</w:t>
            </w:r>
            <w:r>
              <w:rPr>
                <w:rFonts w:hint="eastAsia" w:cs="Times New Roman"/>
                <w:sz w:val="24"/>
                <w:lang w:eastAsia="zh-CN"/>
              </w:rPr>
              <w:t>（</w:t>
            </w:r>
            <w:r>
              <w:rPr>
                <w:rFonts w:hint="eastAsia" w:cs="Times New Roman"/>
                <w:sz w:val="24"/>
                <w:lang w:val="en-US" w:eastAsia="zh-CN"/>
              </w:rPr>
              <w:t>TA001</w:t>
            </w:r>
            <w:r>
              <w:rPr>
                <w:rFonts w:hint="eastAsia" w:cs="Times New Roman"/>
                <w:sz w:val="24"/>
                <w:lang w:eastAsia="zh-CN"/>
              </w:rPr>
              <w:t>）</w:t>
            </w:r>
            <w:r>
              <w:rPr>
                <w:rFonts w:ascii="Times New Roman" w:hAnsi="Times New Roman" w:eastAsia="宋体" w:cs="Times New Roman"/>
                <w:sz w:val="24"/>
              </w:rPr>
              <w:t>处理，尾气通过</w:t>
            </w:r>
            <w:r>
              <w:rPr>
                <w:rFonts w:hint="eastAsia" w:cs="Times New Roman"/>
                <w:sz w:val="24"/>
                <w:lang w:val="en-US" w:eastAsia="zh-CN"/>
              </w:rPr>
              <w:t>20</w:t>
            </w:r>
            <w:r>
              <w:rPr>
                <w:rFonts w:ascii="Times New Roman" w:hAnsi="Times New Roman" w:eastAsia="宋体" w:cs="Times New Roman"/>
                <w:sz w:val="24"/>
              </w:rPr>
              <w:t>m高的排气筒DA001高空排放，根据企业提供的设备安装参数，每台风机的设计风量为2500m</w:t>
            </w:r>
            <w:r>
              <w:rPr>
                <w:rFonts w:ascii="Times New Roman" w:hAnsi="Times New Roman" w:eastAsia="宋体" w:cs="Times New Roman"/>
                <w:sz w:val="24"/>
                <w:vertAlign w:val="superscript"/>
              </w:rPr>
              <w:t>3</w:t>
            </w:r>
            <w:r>
              <w:rPr>
                <w:rFonts w:ascii="Times New Roman" w:hAnsi="Times New Roman" w:eastAsia="宋体" w:cs="Times New Roman"/>
                <w:sz w:val="24"/>
              </w:rPr>
              <w:t>/h（总风机风量为</w:t>
            </w:r>
            <w:r>
              <w:rPr>
                <w:rFonts w:hint="eastAsia" w:ascii="Times New Roman" w:hAnsi="Times New Roman" w:eastAsia="宋体" w:cs="Times New Roman"/>
                <w:sz w:val="24"/>
                <w:lang w:val="en-US" w:eastAsia="zh-CN"/>
              </w:rPr>
              <w:t>5000</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/h），收集效率为</w:t>
            </w:r>
            <w:r>
              <w:rPr>
                <w:rFonts w:hint="eastAsia" w:cs="Times New Roman"/>
                <w:sz w:val="24"/>
                <w:lang w:val="en-US" w:eastAsia="zh-CN"/>
              </w:rPr>
              <w:t>90</w:t>
            </w:r>
            <w:r>
              <w:rPr>
                <w:rFonts w:ascii="Times New Roman" w:hAnsi="Times New Roman" w:eastAsia="宋体" w:cs="Times New Roman"/>
                <w:sz w:val="24"/>
              </w:rPr>
              <w:t>%，处理效率以</w:t>
            </w:r>
            <w:r>
              <w:rPr>
                <w:rFonts w:hint="eastAsia" w:cs="Times New Roman"/>
                <w:sz w:val="24"/>
                <w:lang w:val="en-US" w:eastAsia="zh-CN"/>
              </w:rPr>
              <w:t>90</w:t>
            </w:r>
            <w:r>
              <w:rPr>
                <w:rFonts w:ascii="Times New Roman" w:hAnsi="Times New Roman" w:eastAsia="宋体" w:cs="Times New Roman"/>
                <w:sz w:val="24"/>
              </w:rPr>
              <w:t>%计。本项目实施后加弹废气排放情况见下表4</w:t>
            </w:r>
            <w:r>
              <w:rPr>
                <w:rFonts w:hint="eastAsia" w:cs="Times New Roman"/>
                <w:sz w:val="24"/>
                <w:lang w:val="en-US" w:eastAsia="zh-CN"/>
              </w:rPr>
              <w:t>.2</w:t>
            </w:r>
            <w:r>
              <w:rPr>
                <w:rFonts w:ascii="Times New Roman" w:hAnsi="Times New Roman" w:eastAsia="宋体" w:cs="Times New Roman"/>
                <w:sz w:val="24"/>
              </w:rPr>
              <w:t>-</w:t>
            </w:r>
            <w:r>
              <w:rPr>
                <w:rFonts w:hint="eastAsia" w:cs="Times New Roman"/>
                <w:sz w:val="24"/>
                <w:lang w:val="en-US" w:eastAsia="zh-CN"/>
              </w:rPr>
              <w:t>4</w:t>
            </w:r>
            <w:r>
              <w:rPr>
                <w:rFonts w:ascii="Times New Roman" w:hAnsi="Times New Roman" w:eastAsia="宋体" w:cs="Times New Roman"/>
                <w:sz w:val="24"/>
              </w:rPr>
              <w:t>。</w:t>
            </w:r>
          </w:p>
          <w:p>
            <w:pPr>
              <w:spacing w:line="460" w:lineRule="exact"/>
              <w:jc w:val="center"/>
              <w:rPr>
                <w:rFonts w:ascii="Times New Roman" w:hAnsi="Times New Roman" w:eastAsia="宋体" w:cs="Times New Roman"/>
                <w:b/>
                <w:szCs w:val="20"/>
              </w:rPr>
            </w:pPr>
            <w:r>
              <w:rPr>
                <w:rFonts w:ascii="Times New Roman" w:hAnsi="Times New Roman" w:eastAsia="宋体" w:cs="Times New Roman"/>
                <w:b/>
                <w:szCs w:val="20"/>
              </w:rPr>
              <w:t>表4</w:t>
            </w:r>
            <w:r>
              <w:rPr>
                <w:rFonts w:hint="eastAsia" w:cs="Times New Roman"/>
                <w:b/>
                <w:szCs w:val="20"/>
                <w:lang w:val="en-US" w:eastAsia="zh-CN"/>
              </w:rPr>
              <w:t>.2</w:t>
            </w:r>
            <w:r>
              <w:rPr>
                <w:rFonts w:ascii="Times New Roman" w:hAnsi="Times New Roman" w:eastAsia="宋体" w:cs="Times New Roman"/>
                <w:b/>
                <w:szCs w:val="20"/>
              </w:rPr>
              <w:t>-</w:t>
            </w:r>
            <w:r>
              <w:rPr>
                <w:rFonts w:hint="eastAsia" w:cs="Times New Roman"/>
                <w:b/>
                <w:szCs w:val="20"/>
                <w:lang w:val="en-US" w:eastAsia="zh-CN"/>
              </w:rPr>
              <w:t>4</w:t>
            </w:r>
            <w:r>
              <w:rPr>
                <w:rFonts w:ascii="Times New Roman" w:hAnsi="Times New Roman" w:eastAsia="宋体" w:cs="Times New Roman"/>
                <w:b/>
                <w:szCs w:val="20"/>
              </w:rPr>
              <w:t xml:space="preserve">  加弹废气产生、排放情况表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701"/>
              <w:gridCol w:w="685"/>
              <w:gridCol w:w="714"/>
              <w:gridCol w:w="719"/>
              <w:gridCol w:w="777"/>
              <w:gridCol w:w="838"/>
              <w:gridCol w:w="759"/>
              <w:gridCol w:w="816"/>
              <w:gridCol w:w="759"/>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dxa"/>
                  <w:vMerge w:val="restart"/>
                  <w:noWrap w:val="0"/>
                  <w:vAlign w:val="center"/>
                </w:tcPr>
                <w:p>
                  <w:pPr>
                    <w:jc w:val="center"/>
                    <w:rPr>
                      <w:color w:val="000000"/>
                      <w:szCs w:val="21"/>
                      <w:highlight w:val="none"/>
                    </w:rPr>
                  </w:pPr>
                  <w:r>
                    <w:rPr>
                      <w:color w:val="000000"/>
                      <w:szCs w:val="21"/>
                      <w:highlight w:val="none"/>
                    </w:rPr>
                    <w:t>污染</w:t>
                  </w:r>
                </w:p>
                <w:p>
                  <w:pPr>
                    <w:jc w:val="center"/>
                    <w:rPr>
                      <w:color w:val="000000"/>
                      <w:szCs w:val="21"/>
                      <w:highlight w:val="none"/>
                    </w:rPr>
                  </w:pPr>
                  <w:r>
                    <w:rPr>
                      <w:color w:val="000000"/>
                      <w:szCs w:val="21"/>
                      <w:highlight w:val="none"/>
                    </w:rPr>
                    <w:t>因子</w:t>
                  </w:r>
                </w:p>
              </w:tc>
              <w:tc>
                <w:tcPr>
                  <w:tcW w:w="6534" w:type="dxa"/>
                  <w:gridSpan w:val="6"/>
                  <w:noWrap w:val="0"/>
                  <w:vAlign w:val="center"/>
                </w:tcPr>
                <w:p>
                  <w:pPr>
                    <w:jc w:val="center"/>
                    <w:rPr>
                      <w:color w:val="000000"/>
                      <w:szCs w:val="21"/>
                      <w:highlight w:val="none"/>
                    </w:rPr>
                  </w:pPr>
                  <w:r>
                    <w:rPr>
                      <w:color w:val="000000"/>
                      <w:szCs w:val="21"/>
                      <w:highlight w:val="none"/>
                    </w:rPr>
                    <w:t>有组织产生及排放情况</w:t>
                  </w:r>
                </w:p>
              </w:tc>
              <w:tc>
                <w:tcPr>
                  <w:tcW w:w="3465" w:type="dxa"/>
                  <w:gridSpan w:val="3"/>
                  <w:noWrap w:val="0"/>
                  <w:vAlign w:val="center"/>
                </w:tcPr>
                <w:p>
                  <w:pPr>
                    <w:jc w:val="center"/>
                    <w:rPr>
                      <w:color w:val="000000"/>
                      <w:szCs w:val="21"/>
                      <w:highlight w:val="none"/>
                    </w:rPr>
                  </w:pPr>
                  <w:r>
                    <w:rPr>
                      <w:color w:val="000000"/>
                      <w:szCs w:val="21"/>
                      <w:highlight w:val="none"/>
                    </w:rPr>
                    <w:t>无组织产生及排放情况</w:t>
                  </w:r>
                </w:p>
              </w:tc>
              <w:tc>
                <w:tcPr>
                  <w:tcW w:w="1128" w:type="dxa"/>
                  <w:vMerge w:val="restart"/>
                  <w:noWrap w:val="0"/>
                  <w:vAlign w:val="center"/>
                </w:tcPr>
                <w:p>
                  <w:pPr>
                    <w:jc w:val="center"/>
                    <w:rPr>
                      <w:color w:val="000000"/>
                      <w:szCs w:val="21"/>
                      <w:highlight w:val="none"/>
                    </w:rPr>
                  </w:pPr>
                  <w:r>
                    <w:rPr>
                      <w:color w:val="000000"/>
                      <w:szCs w:val="21"/>
                      <w:highlight w:val="none"/>
                    </w:rPr>
                    <w:t>风量m</w:t>
                  </w:r>
                  <w:r>
                    <w:rPr>
                      <w:color w:val="000000"/>
                      <w:szCs w:val="21"/>
                      <w:highlight w:val="none"/>
                      <w:vertAlign w:val="superscript"/>
                    </w:rPr>
                    <w:t>3</w:t>
                  </w:r>
                  <w:r>
                    <w:rPr>
                      <w:color w:val="000000"/>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dxa"/>
                  <w:vMerge w:val="continue"/>
                  <w:noWrap w:val="0"/>
                  <w:vAlign w:val="center"/>
                </w:tcPr>
                <w:p>
                  <w:pPr>
                    <w:jc w:val="center"/>
                    <w:rPr>
                      <w:b/>
                      <w:color w:val="000000"/>
                      <w:szCs w:val="21"/>
                      <w:highlight w:val="none"/>
                    </w:rPr>
                  </w:pPr>
                </w:p>
              </w:tc>
              <w:tc>
                <w:tcPr>
                  <w:tcW w:w="1025" w:type="dxa"/>
                  <w:noWrap w:val="0"/>
                  <w:vAlign w:val="center"/>
                </w:tcPr>
                <w:p>
                  <w:pPr>
                    <w:jc w:val="center"/>
                    <w:rPr>
                      <w:color w:val="000000"/>
                      <w:szCs w:val="21"/>
                      <w:highlight w:val="none"/>
                    </w:rPr>
                  </w:pPr>
                  <w:r>
                    <w:rPr>
                      <w:color w:val="000000"/>
                      <w:szCs w:val="21"/>
                      <w:highlight w:val="none"/>
                    </w:rPr>
                    <w:t>产生量t/a</w:t>
                  </w:r>
                </w:p>
              </w:tc>
              <w:tc>
                <w:tcPr>
                  <w:tcW w:w="998" w:type="dxa"/>
                  <w:noWrap w:val="0"/>
                  <w:vAlign w:val="center"/>
                </w:tcPr>
                <w:p>
                  <w:pPr>
                    <w:jc w:val="center"/>
                    <w:rPr>
                      <w:color w:val="000000"/>
                      <w:szCs w:val="21"/>
                      <w:highlight w:val="none"/>
                    </w:rPr>
                  </w:pPr>
                  <w:r>
                    <w:rPr>
                      <w:color w:val="000000"/>
                      <w:szCs w:val="21"/>
                      <w:highlight w:val="none"/>
                    </w:rPr>
                    <w:t>收集效率</w:t>
                  </w:r>
                </w:p>
              </w:tc>
              <w:tc>
                <w:tcPr>
                  <w:tcW w:w="1047" w:type="dxa"/>
                  <w:noWrap w:val="0"/>
                  <w:vAlign w:val="center"/>
                </w:tcPr>
                <w:p>
                  <w:pPr>
                    <w:jc w:val="center"/>
                    <w:rPr>
                      <w:color w:val="000000"/>
                      <w:szCs w:val="21"/>
                      <w:highlight w:val="none"/>
                    </w:rPr>
                  </w:pPr>
                  <w:r>
                    <w:rPr>
                      <w:rFonts w:hint="eastAsia"/>
                      <w:color w:val="000000"/>
                      <w:szCs w:val="21"/>
                      <w:highlight w:val="none"/>
                      <w:lang w:eastAsia="zh-CN"/>
                    </w:rPr>
                    <w:t>处理</w:t>
                  </w:r>
                  <w:r>
                    <w:rPr>
                      <w:color w:val="000000"/>
                      <w:szCs w:val="21"/>
                      <w:highlight w:val="none"/>
                    </w:rPr>
                    <w:t>效率</w:t>
                  </w:r>
                </w:p>
              </w:tc>
              <w:tc>
                <w:tcPr>
                  <w:tcW w:w="1055" w:type="dxa"/>
                  <w:noWrap w:val="0"/>
                  <w:vAlign w:val="center"/>
                </w:tcPr>
                <w:p>
                  <w:pPr>
                    <w:jc w:val="center"/>
                    <w:rPr>
                      <w:color w:val="000000"/>
                      <w:szCs w:val="21"/>
                      <w:highlight w:val="none"/>
                    </w:rPr>
                  </w:pPr>
                  <w:r>
                    <w:rPr>
                      <w:color w:val="000000"/>
                      <w:szCs w:val="21"/>
                      <w:highlight w:val="none"/>
                    </w:rPr>
                    <w:t>排放量t/a</w:t>
                  </w:r>
                </w:p>
              </w:tc>
              <w:tc>
                <w:tcPr>
                  <w:tcW w:w="1153" w:type="dxa"/>
                  <w:noWrap w:val="0"/>
                  <w:vAlign w:val="center"/>
                </w:tcPr>
                <w:p>
                  <w:pPr>
                    <w:jc w:val="center"/>
                    <w:rPr>
                      <w:color w:val="000000"/>
                      <w:szCs w:val="21"/>
                      <w:highlight w:val="none"/>
                    </w:rPr>
                  </w:pPr>
                  <w:r>
                    <w:rPr>
                      <w:color w:val="000000"/>
                      <w:szCs w:val="21"/>
                      <w:highlight w:val="none"/>
                    </w:rPr>
                    <w:t>排放速率kg/h</w:t>
                  </w:r>
                </w:p>
              </w:tc>
              <w:tc>
                <w:tcPr>
                  <w:tcW w:w="1256" w:type="dxa"/>
                  <w:noWrap w:val="0"/>
                  <w:vAlign w:val="center"/>
                </w:tcPr>
                <w:p>
                  <w:pPr>
                    <w:jc w:val="center"/>
                    <w:rPr>
                      <w:color w:val="000000"/>
                      <w:szCs w:val="21"/>
                      <w:highlight w:val="none"/>
                    </w:rPr>
                  </w:pPr>
                  <w:r>
                    <w:rPr>
                      <w:color w:val="000000"/>
                      <w:szCs w:val="21"/>
                      <w:highlight w:val="none"/>
                    </w:rPr>
                    <w:t>排放</w:t>
                  </w:r>
                </w:p>
                <w:p>
                  <w:pPr>
                    <w:jc w:val="center"/>
                    <w:rPr>
                      <w:color w:val="000000"/>
                      <w:szCs w:val="21"/>
                      <w:highlight w:val="none"/>
                    </w:rPr>
                  </w:pPr>
                  <w:r>
                    <w:rPr>
                      <w:color w:val="000000"/>
                      <w:szCs w:val="21"/>
                      <w:highlight w:val="none"/>
                    </w:rPr>
                    <w:t>浓度mg/m</w:t>
                  </w:r>
                  <w:r>
                    <w:rPr>
                      <w:color w:val="000000"/>
                      <w:szCs w:val="21"/>
                      <w:highlight w:val="none"/>
                      <w:vertAlign w:val="superscript"/>
                    </w:rPr>
                    <w:t>3</w:t>
                  </w:r>
                </w:p>
              </w:tc>
              <w:tc>
                <w:tcPr>
                  <w:tcW w:w="1123" w:type="dxa"/>
                  <w:noWrap w:val="0"/>
                  <w:vAlign w:val="center"/>
                </w:tcPr>
                <w:p>
                  <w:pPr>
                    <w:jc w:val="center"/>
                    <w:rPr>
                      <w:color w:val="000000"/>
                      <w:szCs w:val="21"/>
                      <w:highlight w:val="none"/>
                    </w:rPr>
                  </w:pPr>
                  <w:r>
                    <w:rPr>
                      <w:rFonts w:hint="eastAsia"/>
                      <w:color w:val="000000"/>
                      <w:szCs w:val="21"/>
                      <w:highlight w:val="none"/>
                      <w:lang w:eastAsia="zh-CN"/>
                    </w:rPr>
                    <w:t>产生</w:t>
                  </w:r>
                  <w:r>
                    <w:rPr>
                      <w:rFonts w:hint="eastAsia"/>
                      <w:color w:val="000000"/>
                      <w:szCs w:val="21"/>
                      <w:highlight w:val="none"/>
                    </w:rPr>
                    <w:t>量t/a</w:t>
                  </w:r>
                </w:p>
              </w:tc>
              <w:tc>
                <w:tcPr>
                  <w:tcW w:w="1219" w:type="dxa"/>
                  <w:noWrap w:val="0"/>
                  <w:vAlign w:val="center"/>
                </w:tcPr>
                <w:p>
                  <w:pPr>
                    <w:jc w:val="center"/>
                    <w:rPr>
                      <w:color w:val="000000"/>
                      <w:szCs w:val="21"/>
                      <w:highlight w:val="none"/>
                    </w:rPr>
                  </w:pPr>
                  <w:r>
                    <w:rPr>
                      <w:rFonts w:hint="eastAsia"/>
                      <w:color w:val="000000"/>
                      <w:szCs w:val="21"/>
                      <w:highlight w:val="none"/>
                      <w:lang w:eastAsia="zh-CN"/>
                    </w:rPr>
                    <w:t>排放</w:t>
                  </w:r>
                  <w:r>
                    <w:rPr>
                      <w:color w:val="000000"/>
                      <w:szCs w:val="21"/>
                      <w:highlight w:val="none"/>
                    </w:rPr>
                    <w:t>量t/a</w:t>
                  </w:r>
                </w:p>
              </w:tc>
              <w:tc>
                <w:tcPr>
                  <w:tcW w:w="1123" w:type="dxa"/>
                  <w:noWrap w:val="0"/>
                  <w:vAlign w:val="center"/>
                </w:tcPr>
                <w:p>
                  <w:pPr>
                    <w:jc w:val="center"/>
                    <w:rPr>
                      <w:color w:val="000000"/>
                      <w:szCs w:val="21"/>
                      <w:highlight w:val="none"/>
                    </w:rPr>
                  </w:pPr>
                  <w:r>
                    <w:rPr>
                      <w:rFonts w:hint="eastAsia"/>
                      <w:color w:val="000000"/>
                      <w:szCs w:val="21"/>
                      <w:highlight w:val="none"/>
                    </w:rPr>
                    <w:t>排放速率kg/h</w:t>
                  </w:r>
                </w:p>
              </w:tc>
              <w:tc>
                <w:tcPr>
                  <w:tcW w:w="1128" w:type="dxa"/>
                  <w:vMerge w:val="continue"/>
                  <w:noWrap w:val="0"/>
                  <w:vAlign w:val="center"/>
                </w:tcPr>
                <w:p>
                  <w:pPr>
                    <w:jc w:val="center"/>
                    <w:rPr>
                      <w:b/>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dxa"/>
                  <w:noWrap w:val="0"/>
                  <w:vAlign w:val="center"/>
                </w:tcPr>
                <w:p>
                  <w:pPr>
                    <w:jc w:val="center"/>
                    <w:rPr>
                      <w:rFonts w:hint="eastAsia" w:eastAsia="宋体"/>
                      <w:color w:val="000000"/>
                      <w:spacing w:val="2"/>
                      <w:szCs w:val="21"/>
                      <w:highlight w:val="none"/>
                      <w:lang w:eastAsia="zh-CN"/>
                    </w:rPr>
                  </w:pPr>
                  <w:r>
                    <w:rPr>
                      <w:rFonts w:hint="eastAsia"/>
                      <w:color w:val="000000"/>
                      <w:spacing w:val="2"/>
                      <w:szCs w:val="21"/>
                      <w:highlight w:val="none"/>
                      <w:lang w:eastAsia="zh-CN"/>
                    </w:rPr>
                    <w:t>非甲烷总烃</w:t>
                  </w:r>
                </w:p>
              </w:tc>
              <w:tc>
                <w:tcPr>
                  <w:tcW w:w="1025"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0.583</w:t>
                  </w:r>
                </w:p>
              </w:tc>
              <w:tc>
                <w:tcPr>
                  <w:tcW w:w="998"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90%</w:t>
                  </w:r>
                </w:p>
              </w:tc>
              <w:tc>
                <w:tcPr>
                  <w:tcW w:w="1047"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90%</w:t>
                  </w:r>
                </w:p>
              </w:tc>
              <w:tc>
                <w:tcPr>
                  <w:tcW w:w="1055"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0.058</w:t>
                  </w:r>
                </w:p>
              </w:tc>
              <w:tc>
                <w:tcPr>
                  <w:tcW w:w="1153"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0.008</w:t>
                  </w:r>
                </w:p>
              </w:tc>
              <w:tc>
                <w:tcPr>
                  <w:tcW w:w="1256"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1.6</w:t>
                  </w:r>
                </w:p>
              </w:tc>
              <w:tc>
                <w:tcPr>
                  <w:tcW w:w="1123"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0.065</w:t>
                  </w:r>
                </w:p>
              </w:tc>
              <w:tc>
                <w:tcPr>
                  <w:tcW w:w="1219"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0.065</w:t>
                  </w:r>
                </w:p>
              </w:tc>
              <w:tc>
                <w:tcPr>
                  <w:tcW w:w="1123"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0.009</w:t>
                  </w:r>
                </w:p>
              </w:tc>
              <w:tc>
                <w:tcPr>
                  <w:tcW w:w="1128" w:type="dxa"/>
                  <w:noWrap w:val="0"/>
                  <w:vAlign w:val="center"/>
                </w:tcPr>
                <w:p>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5000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hAnsi="宋体"/>
                <w:color w:val="auto"/>
                <w:sz w:val="21"/>
                <w:szCs w:val="21"/>
                <w:lang w:val="en-US" w:eastAsia="zh-CN"/>
              </w:rPr>
            </w:pPr>
            <w:r>
              <w:rPr>
                <w:rFonts w:hint="eastAsia" w:hAnsi="宋体"/>
                <w:color w:val="auto"/>
                <w:sz w:val="21"/>
                <w:szCs w:val="21"/>
                <w:lang w:eastAsia="zh-CN"/>
              </w:rPr>
              <w:t>注：加弹工序年工作时间为</w:t>
            </w:r>
            <w:r>
              <w:rPr>
                <w:rFonts w:hint="eastAsia" w:hAnsi="宋体"/>
                <w:color w:val="auto"/>
                <w:sz w:val="21"/>
                <w:szCs w:val="21"/>
                <w:lang w:val="en-US" w:eastAsia="zh-CN"/>
              </w:rPr>
              <w:t>7200h。</w:t>
            </w:r>
          </w:p>
          <w:p>
            <w:pPr>
              <w:numPr>
                <w:ilvl w:val="0"/>
                <w:numId w:val="7"/>
              </w:numPr>
              <w:spacing w:line="500" w:lineRule="exact"/>
              <w:ind w:firstLine="480" w:firstLineChars="200"/>
              <w:rPr>
                <w:rFonts w:hint="eastAsia" w:hAnsi="宋体"/>
                <w:color w:val="auto"/>
                <w:sz w:val="24"/>
                <w:lang w:eastAsia="zh-CN"/>
              </w:rPr>
            </w:pPr>
            <w:r>
              <w:rPr>
                <w:rFonts w:hint="eastAsia" w:hAnsi="宋体"/>
                <w:color w:val="auto"/>
                <w:sz w:val="24"/>
                <w:lang w:eastAsia="zh-CN"/>
              </w:rPr>
              <w:t>有机废气</w:t>
            </w:r>
          </w:p>
          <w:p>
            <w:pPr>
              <w:spacing w:line="500" w:lineRule="exact"/>
              <w:ind w:firstLine="480" w:firstLineChars="200"/>
              <w:rPr>
                <w:rFonts w:hint="eastAsia"/>
                <w:sz w:val="24"/>
                <w:lang w:val="en-US" w:eastAsia="zh-CN"/>
              </w:rPr>
            </w:pPr>
            <w:r>
              <w:rPr>
                <w:rFonts w:hint="eastAsia"/>
                <w:b w:val="0"/>
                <w:bCs w:val="0"/>
                <w:sz w:val="24"/>
                <w:lang w:eastAsia="zh-CN"/>
              </w:rPr>
              <w:t>本项目设有两条整浆并生产线，对化纤丝进行整经上浆加工，以水溶性聚对苯二甲酸乙二酯树脂B型为浆料，该浆料由吨桶运输至企业内，进厂时已由供应公司调配好，无需再进行调配，可直接用于生产线上浆，上浆过程常温操作，浆料中有树脂类机物几乎无挥发。化纤丝上浆后进入全密闭烘箱内烘干，加热烘干后，浆料中有机物会挥发少量的有机废气和油烟，由于化纤丝过浆后被浆料包覆，因此油烟的产生量极少，本环评不做定量分析，上浆产生的废气主要为有机废气，以非甲烷总烃表征。根据企业提供的水性浆料</w:t>
            </w:r>
            <w:r>
              <w:rPr>
                <w:rFonts w:hint="eastAsia"/>
                <w:b w:val="0"/>
                <w:bCs w:val="0"/>
                <w:sz w:val="24"/>
                <w:lang w:val="en-US" w:eastAsia="zh-CN"/>
              </w:rPr>
              <w:t>MSDS，聚对苯二甲酸乙二酯树脂B型含量约为16~30%，取最大值30%。参考</w:t>
            </w:r>
            <w:r>
              <w:rPr>
                <w:sz w:val="24"/>
              </w:rPr>
              <w:t>《浙江省工业涂装工序挥发性有机物排放量计算暂行方法》（浙环发（2017）30号）中</w:t>
            </w:r>
            <w:r>
              <w:rPr>
                <w:rFonts w:hint="eastAsia"/>
                <w:sz w:val="24"/>
              </w:rPr>
              <w:t>“</w:t>
            </w:r>
            <w:r>
              <w:rPr>
                <w:sz w:val="24"/>
              </w:rPr>
              <w:t>注：已获取产品质检报告（MS/DS文件），①涂装过程使用丙烯酸、苯乙烯等易聚合单体时，聚合单体按实测挥发比例计入VOCs，无实测数据时，按单体质量的15%计；</w:t>
            </w:r>
            <w:r>
              <w:rPr>
                <w:b/>
                <w:bCs/>
                <w:sz w:val="24"/>
              </w:rPr>
              <w:t>②水性涂料含水性丙烯酸乳液（树脂）或其他水性乳液（树脂）时，游离单体按实测挥发比例计入VOCs，无实测数据时按水性乳液（树脂）质量的2%计</w:t>
            </w:r>
            <w:r>
              <w:rPr>
                <w:sz w:val="24"/>
              </w:rPr>
              <w:t>”</w:t>
            </w:r>
            <w:r>
              <w:rPr>
                <w:rFonts w:hint="eastAsia"/>
                <w:sz w:val="24"/>
                <w:lang w:eastAsia="zh-CN"/>
              </w:rPr>
              <w:t>，本项目浆料年用量为</w:t>
            </w:r>
            <w:r>
              <w:rPr>
                <w:rFonts w:hint="eastAsia"/>
                <w:sz w:val="24"/>
                <w:lang w:val="en-US" w:eastAsia="zh-CN"/>
              </w:rPr>
              <w:t>80t/a，则</w:t>
            </w:r>
            <w:r>
              <w:rPr>
                <w:rFonts w:hint="eastAsia"/>
                <w:sz w:val="24"/>
                <w:lang w:eastAsia="zh-CN"/>
              </w:rPr>
              <w:t>非甲烷总烃产生量为</w:t>
            </w:r>
            <w:r>
              <w:rPr>
                <w:rFonts w:hint="eastAsia"/>
                <w:sz w:val="24"/>
                <w:lang w:val="en-US" w:eastAsia="zh-CN"/>
              </w:rPr>
              <w:t>0.48t/a。</w:t>
            </w:r>
          </w:p>
          <w:p>
            <w:pPr>
              <w:spacing w:line="500" w:lineRule="exact"/>
              <w:ind w:firstLine="480" w:firstLineChars="200"/>
              <w:rPr>
                <w:rFonts w:hint="eastAsia"/>
                <w:sz w:val="24"/>
                <w:vertAlign w:val="baseline"/>
                <w:lang w:val="en-US" w:eastAsia="zh-CN"/>
              </w:rPr>
            </w:pPr>
            <w:r>
              <w:rPr>
                <w:rFonts w:hint="eastAsia"/>
                <w:sz w:val="24"/>
                <w:lang w:val="en-US" w:eastAsia="zh-CN"/>
              </w:rPr>
              <w:t>企业拟对两条整浆并生产线有机废气产生点进行收集，烘箱自带排风机，在排风机排放口安装密闭式管道收集，有机废气经密闭式管道收集后合并进入一套冷却+水喷淋+静电油烟净化装置处后通过高20m 的排气筒（DA002）高空排放放， 控制单条生产线的风量为2000m</w:t>
            </w:r>
            <w:r>
              <w:rPr>
                <w:rFonts w:hint="eastAsia"/>
                <w:sz w:val="24"/>
                <w:vertAlign w:val="superscript"/>
                <w:lang w:val="en-US" w:eastAsia="zh-CN"/>
              </w:rPr>
              <w:t>3</w:t>
            </w:r>
            <w:r>
              <w:rPr>
                <w:rFonts w:hint="eastAsia"/>
                <w:sz w:val="24"/>
                <w:vertAlign w:val="baseline"/>
                <w:lang w:val="en-US" w:eastAsia="zh-CN"/>
              </w:rPr>
              <w:t>，收集效率取90%，处理效率取90%，则有机废气产生及排放情况见表4.2-5。</w:t>
            </w:r>
          </w:p>
          <w:p>
            <w:pPr>
              <w:spacing w:line="460" w:lineRule="exact"/>
              <w:jc w:val="center"/>
              <w:rPr>
                <w:rFonts w:ascii="Times New Roman" w:hAnsi="Times New Roman" w:eastAsia="宋体" w:cs="Times New Roman"/>
                <w:b/>
                <w:szCs w:val="20"/>
              </w:rPr>
            </w:pPr>
            <w:r>
              <w:rPr>
                <w:rFonts w:ascii="Times New Roman" w:hAnsi="Times New Roman" w:eastAsia="宋体" w:cs="Times New Roman"/>
                <w:b/>
                <w:szCs w:val="20"/>
              </w:rPr>
              <w:t>表</w:t>
            </w:r>
            <w:r>
              <w:rPr>
                <w:rFonts w:hint="eastAsia" w:cs="Times New Roman"/>
                <w:b/>
                <w:szCs w:val="20"/>
                <w:lang w:val="en-US" w:eastAsia="zh-CN"/>
              </w:rPr>
              <w:t>4.2-5</w:t>
            </w:r>
            <w:r>
              <w:rPr>
                <w:rFonts w:ascii="Times New Roman" w:hAnsi="Times New Roman" w:eastAsia="宋体" w:cs="Times New Roman"/>
                <w:b/>
                <w:szCs w:val="20"/>
              </w:rPr>
              <w:t xml:space="preserve">  </w:t>
            </w:r>
            <w:r>
              <w:rPr>
                <w:rFonts w:hint="eastAsia" w:ascii="Times New Roman" w:hAnsi="Times New Roman" w:eastAsia="宋体" w:cs="Times New Roman"/>
                <w:b/>
                <w:szCs w:val="20"/>
                <w:lang w:eastAsia="zh-CN"/>
              </w:rPr>
              <w:t>有机</w:t>
            </w:r>
            <w:r>
              <w:rPr>
                <w:rFonts w:ascii="Times New Roman" w:hAnsi="Times New Roman" w:eastAsia="宋体" w:cs="Times New Roman"/>
                <w:b/>
                <w:szCs w:val="20"/>
              </w:rPr>
              <w:t>废气产生、排放情况表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701"/>
              <w:gridCol w:w="685"/>
              <w:gridCol w:w="714"/>
              <w:gridCol w:w="719"/>
              <w:gridCol w:w="777"/>
              <w:gridCol w:w="838"/>
              <w:gridCol w:w="759"/>
              <w:gridCol w:w="816"/>
              <w:gridCol w:w="759"/>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dxa"/>
                  <w:vMerge w:val="restart"/>
                  <w:noWrap w:val="0"/>
                  <w:vAlign w:val="center"/>
                </w:tcPr>
                <w:p>
                  <w:pPr>
                    <w:jc w:val="center"/>
                    <w:rPr>
                      <w:color w:val="000000"/>
                      <w:szCs w:val="21"/>
                      <w:highlight w:val="none"/>
                    </w:rPr>
                  </w:pPr>
                  <w:r>
                    <w:rPr>
                      <w:color w:val="000000"/>
                      <w:szCs w:val="21"/>
                      <w:highlight w:val="none"/>
                    </w:rPr>
                    <w:t>污染</w:t>
                  </w:r>
                </w:p>
                <w:p>
                  <w:pPr>
                    <w:jc w:val="center"/>
                    <w:rPr>
                      <w:color w:val="000000"/>
                      <w:szCs w:val="21"/>
                      <w:highlight w:val="none"/>
                    </w:rPr>
                  </w:pPr>
                  <w:r>
                    <w:rPr>
                      <w:color w:val="000000"/>
                      <w:szCs w:val="21"/>
                      <w:highlight w:val="none"/>
                    </w:rPr>
                    <w:t>因子</w:t>
                  </w:r>
                </w:p>
              </w:tc>
              <w:tc>
                <w:tcPr>
                  <w:tcW w:w="6534" w:type="dxa"/>
                  <w:gridSpan w:val="6"/>
                  <w:noWrap w:val="0"/>
                  <w:vAlign w:val="center"/>
                </w:tcPr>
                <w:p>
                  <w:pPr>
                    <w:jc w:val="center"/>
                    <w:rPr>
                      <w:color w:val="000000"/>
                      <w:szCs w:val="21"/>
                      <w:highlight w:val="none"/>
                    </w:rPr>
                  </w:pPr>
                  <w:r>
                    <w:rPr>
                      <w:color w:val="000000"/>
                      <w:szCs w:val="21"/>
                      <w:highlight w:val="none"/>
                    </w:rPr>
                    <w:t>有组织产生及排放情况</w:t>
                  </w:r>
                </w:p>
              </w:tc>
              <w:tc>
                <w:tcPr>
                  <w:tcW w:w="3465" w:type="dxa"/>
                  <w:gridSpan w:val="3"/>
                  <w:noWrap w:val="0"/>
                  <w:vAlign w:val="center"/>
                </w:tcPr>
                <w:p>
                  <w:pPr>
                    <w:jc w:val="center"/>
                    <w:rPr>
                      <w:color w:val="000000"/>
                      <w:szCs w:val="21"/>
                      <w:highlight w:val="none"/>
                    </w:rPr>
                  </w:pPr>
                  <w:r>
                    <w:rPr>
                      <w:color w:val="000000"/>
                      <w:szCs w:val="21"/>
                      <w:highlight w:val="none"/>
                    </w:rPr>
                    <w:t>无组织产生及排放情况</w:t>
                  </w:r>
                </w:p>
              </w:tc>
              <w:tc>
                <w:tcPr>
                  <w:tcW w:w="1128" w:type="dxa"/>
                  <w:vMerge w:val="restart"/>
                  <w:noWrap w:val="0"/>
                  <w:vAlign w:val="center"/>
                </w:tcPr>
                <w:p>
                  <w:pPr>
                    <w:jc w:val="center"/>
                    <w:rPr>
                      <w:color w:val="000000"/>
                      <w:szCs w:val="21"/>
                      <w:highlight w:val="none"/>
                    </w:rPr>
                  </w:pPr>
                  <w:r>
                    <w:rPr>
                      <w:color w:val="000000"/>
                      <w:szCs w:val="21"/>
                      <w:highlight w:val="none"/>
                    </w:rPr>
                    <w:t>风量m</w:t>
                  </w:r>
                  <w:r>
                    <w:rPr>
                      <w:color w:val="000000"/>
                      <w:szCs w:val="21"/>
                      <w:highlight w:val="none"/>
                      <w:vertAlign w:val="superscript"/>
                    </w:rPr>
                    <w:t>3</w:t>
                  </w:r>
                  <w:r>
                    <w:rPr>
                      <w:color w:val="000000"/>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dxa"/>
                  <w:vMerge w:val="continue"/>
                  <w:noWrap w:val="0"/>
                  <w:vAlign w:val="center"/>
                </w:tcPr>
                <w:p>
                  <w:pPr>
                    <w:jc w:val="center"/>
                    <w:rPr>
                      <w:b/>
                      <w:color w:val="000000"/>
                      <w:szCs w:val="21"/>
                      <w:highlight w:val="none"/>
                    </w:rPr>
                  </w:pPr>
                </w:p>
              </w:tc>
              <w:tc>
                <w:tcPr>
                  <w:tcW w:w="1025" w:type="dxa"/>
                  <w:noWrap w:val="0"/>
                  <w:vAlign w:val="center"/>
                </w:tcPr>
                <w:p>
                  <w:pPr>
                    <w:jc w:val="center"/>
                    <w:rPr>
                      <w:color w:val="000000"/>
                      <w:szCs w:val="21"/>
                      <w:highlight w:val="none"/>
                    </w:rPr>
                  </w:pPr>
                  <w:r>
                    <w:rPr>
                      <w:color w:val="000000"/>
                      <w:szCs w:val="21"/>
                      <w:highlight w:val="none"/>
                    </w:rPr>
                    <w:t>产生量t/a</w:t>
                  </w:r>
                </w:p>
              </w:tc>
              <w:tc>
                <w:tcPr>
                  <w:tcW w:w="998" w:type="dxa"/>
                  <w:noWrap w:val="0"/>
                  <w:vAlign w:val="center"/>
                </w:tcPr>
                <w:p>
                  <w:pPr>
                    <w:jc w:val="center"/>
                    <w:rPr>
                      <w:color w:val="000000"/>
                      <w:szCs w:val="21"/>
                      <w:highlight w:val="none"/>
                    </w:rPr>
                  </w:pPr>
                  <w:r>
                    <w:rPr>
                      <w:color w:val="000000"/>
                      <w:szCs w:val="21"/>
                      <w:highlight w:val="none"/>
                    </w:rPr>
                    <w:t>收集效率</w:t>
                  </w:r>
                </w:p>
              </w:tc>
              <w:tc>
                <w:tcPr>
                  <w:tcW w:w="1047" w:type="dxa"/>
                  <w:noWrap w:val="0"/>
                  <w:vAlign w:val="center"/>
                </w:tcPr>
                <w:p>
                  <w:pPr>
                    <w:jc w:val="center"/>
                    <w:rPr>
                      <w:color w:val="000000"/>
                      <w:szCs w:val="21"/>
                      <w:highlight w:val="none"/>
                    </w:rPr>
                  </w:pPr>
                  <w:r>
                    <w:rPr>
                      <w:rFonts w:hint="eastAsia"/>
                      <w:color w:val="000000"/>
                      <w:szCs w:val="21"/>
                      <w:highlight w:val="none"/>
                      <w:lang w:eastAsia="zh-CN"/>
                    </w:rPr>
                    <w:t>处理</w:t>
                  </w:r>
                  <w:r>
                    <w:rPr>
                      <w:color w:val="000000"/>
                      <w:szCs w:val="21"/>
                      <w:highlight w:val="none"/>
                    </w:rPr>
                    <w:t>效率</w:t>
                  </w:r>
                </w:p>
              </w:tc>
              <w:tc>
                <w:tcPr>
                  <w:tcW w:w="1055" w:type="dxa"/>
                  <w:noWrap w:val="0"/>
                  <w:vAlign w:val="center"/>
                </w:tcPr>
                <w:p>
                  <w:pPr>
                    <w:jc w:val="center"/>
                    <w:rPr>
                      <w:color w:val="000000"/>
                      <w:szCs w:val="21"/>
                      <w:highlight w:val="none"/>
                    </w:rPr>
                  </w:pPr>
                  <w:r>
                    <w:rPr>
                      <w:color w:val="000000"/>
                      <w:szCs w:val="21"/>
                      <w:highlight w:val="none"/>
                    </w:rPr>
                    <w:t>排放量t/a</w:t>
                  </w:r>
                </w:p>
              </w:tc>
              <w:tc>
                <w:tcPr>
                  <w:tcW w:w="1153" w:type="dxa"/>
                  <w:noWrap w:val="0"/>
                  <w:vAlign w:val="center"/>
                </w:tcPr>
                <w:p>
                  <w:pPr>
                    <w:jc w:val="center"/>
                    <w:rPr>
                      <w:color w:val="000000"/>
                      <w:szCs w:val="21"/>
                      <w:highlight w:val="none"/>
                    </w:rPr>
                  </w:pPr>
                  <w:r>
                    <w:rPr>
                      <w:color w:val="000000"/>
                      <w:szCs w:val="21"/>
                      <w:highlight w:val="none"/>
                    </w:rPr>
                    <w:t>排放速率kg/h</w:t>
                  </w:r>
                </w:p>
              </w:tc>
              <w:tc>
                <w:tcPr>
                  <w:tcW w:w="1256" w:type="dxa"/>
                  <w:noWrap w:val="0"/>
                  <w:vAlign w:val="center"/>
                </w:tcPr>
                <w:p>
                  <w:pPr>
                    <w:jc w:val="center"/>
                    <w:rPr>
                      <w:color w:val="000000"/>
                      <w:szCs w:val="21"/>
                      <w:highlight w:val="none"/>
                    </w:rPr>
                  </w:pPr>
                  <w:r>
                    <w:rPr>
                      <w:color w:val="000000"/>
                      <w:szCs w:val="21"/>
                      <w:highlight w:val="none"/>
                    </w:rPr>
                    <w:t>排放</w:t>
                  </w:r>
                </w:p>
                <w:p>
                  <w:pPr>
                    <w:jc w:val="center"/>
                    <w:rPr>
                      <w:color w:val="000000"/>
                      <w:szCs w:val="21"/>
                      <w:highlight w:val="none"/>
                    </w:rPr>
                  </w:pPr>
                  <w:r>
                    <w:rPr>
                      <w:color w:val="000000"/>
                      <w:szCs w:val="21"/>
                      <w:highlight w:val="none"/>
                    </w:rPr>
                    <w:t>浓度mg/m</w:t>
                  </w:r>
                  <w:r>
                    <w:rPr>
                      <w:color w:val="000000"/>
                      <w:szCs w:val="21"/>
                      <w:highlight w:val="none"/>
                      <w:vertAlign w:val="superscript"/>
                    </w:rPr>
                    <w:t>3</w:t>
                  </w:r>
                </w:p>
              </w:tc>
              <w:tc>
                <w:tcPr>
                  <w:tcW w:w="1123" w:type="dxa"/>
                  <w:noWrap w:val="0"/>
                  <w:vAlign w:val="center"/>
                </w:tcPr>
                <w:p>
                  <w:pPr>
                    <w:jc w:val="center"/>
                    <w:rPr>
                      <w:color w:val="000000"/>
                      <w:szCs w:val="21"/>
                      <w:highlight w:val="none"/>
                    </w:rPr>
                  </w:pPr>
                  <w:r>
                    <w:rPr>
                      <w:rFonts w:hint="eastAsia"/>
                      <w:color w:val="000000"/>
                      <w:szCs w:val="21"/>
                      <w:highlight w:val="none"/>
                      <w:lang w:eastAsia="zh-CN"/>
                    </w:rPr>
                    <w:t>产生</w:t>
                  </w:r>
                  <w:r>
                    <w:rPr>
                      <w:rFonts w:hint="eastAsia"/>
                      <w:color w:val="000000"/>
                      <w:szCs w:val="21"/>
                      <w:highlight w:val="none"/>
                    </w:rPr>
                    <w:t>量t/a</w:t>
                  </w:r>
                </w:p>
              </w:tc>
              <w:tc>
                <w:tcPr>
                  <w:tcW w:w="1219" w:type="dxa"/>
                  <w:noWrap w:val="0"/>
                  <w:vAlign w:val="center"/>
                </w:tcPr>
                <w:p>
                  <w:pPr>
                    <w:jc w:val="center"/>
                    <w:rPr>
                      <w:color w:val="000000"/>
                      <w:szCs w:val="21"/>
                      <w:highlight w:val="none"/>
                    </w:rPr>
                  </w:pPr>
                  <w:r>
                    <w:rPr>
                      <w:rFonts w:hint="eastAsia"/>
                      <w:color w:val="000000"/>
                      <w:szCs w:val="21"/>
                      <w:highlight w:val="none"/>
                      <w:lang w:eastAsia="zh-CN"/>
                    </w:rPr>
                    <w:t>排放</w:t>
                  </w:r>
                  <w:r>
                    <w:rPr>
                      <w:color w:val="000000"/>
                      <w:szCs w:val="21"/>
                      <w:highlight w:val="none"/>
                    </w:rPr>
                    <w:t>量t/a</w:t>
                  </w:r>
                </w:p>
              </w:tc>
              <w:tc>
                <w:tcPr>
                  <w:tcW w:w="1123" w:type="dxa"/>
                  <w:noWrap w:val="0"/>
                  <w:vAlign w:val="center"/>
                </w:tcPr>
                <w:p>
                  <w:pPr>
                    <w:jc w:val="center"/>
                    <w:rPr>
                      <w:color w:val="000000"/>
                      <w:szCs w:val="21"/>
                      <w:highlight w:val="none"/>
                    </w:rPr>
                  </w:pPr>
                  <w:r>
                    <w:rPr>
                      <w:rFonts w:hint="eastAsia"/>
                      <w:color w:val="000000"/>
                      <w:szCs w:val="21"/>
                      <w:highlight w:val="none"/>
                    </w:rPr>
                    <w:t>排放速率kg/h</w:t>
                  </w:r>
                </w:p>
              </w:tc>
              <w:tc>
                <w:tcPr>
                  <w:tcW w:w="1128" w:type="dxa"/>
                  <w:vMerge w:val="continue"/>
                  <w:noWrap w:val="0"/>
                  <w:vAlign w:val="center"/>
                </w:tcPr>
                <w:p>
                  <w:pPr>
                    <w:jc w:val="center"/>
                    <w:rPr>
                      <w:b/>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dxa"/>
                  <w:noWrap w:val="0"/>
                  <w:vAlign w:val="center"/>
                </w:tcPr>
                <w:p>
                  <w:pPr>
                    <w:jc w:val="center"/>
                    <w:rPr>
                      <w:rFonts w:hint="eastAsia" w:eastAsia="宋体"/>
                      <w:color w:val="000000"/>
                      <w:spacing w:val="2"/>
                      <w:szCs w:val="21"/>
                      <w:highlight w:val="none"/>
                      <w:lang w:eastAsia="zh-CN"/>
                    </w:rPr>
                  </w:pPr>
                  <w:r>
                    <w:rPr>
                      <w:rFonts w:hint="eastAsia"/>
                      <w:color w:val="000000"/>
                      <w:spacing w:val="2"/>
                      <w:szCs w:val="21"/>
                      <w:highlight w:val="none"/>
                      <w:lang w:eastAsia="zh-CN"/>
                    </w:rPr>
                    <w:t>非甲烷总烃</w:t>
                  </w:r>
                </w:p>
              </w:tc>
              <w:tc>
                <w:tcPr>
                  <w:tcW w:w="1025" w:type="dxa"/>
                  <w:noWrap w:val="0"/>
                  <w:vAlign w:val="center"/>
                </w:tcPr>
                <w:p>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0.432</w:t>
                  </w:r>
                </w:p>
              </w:tc>
              <w:tc>
                <w:tcPr>
                  <w:tcW w:w="998"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90%</w:t>
                  </w:r>
                </w:p>
              </w:tc>
              <w:tc>
                <w:tcPr>
                  <w:tcW w:w="1047"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90%</w:t>
                  </w:r>
                </w:p>
              </w:tc>
              <w:tc>
                <w:tcPr>
                  <w:tcW w:w="1055"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0.043</w:t>
                  </w:r>
                </w:p>
              </w:tc>
              <w:tc>
                <w:tcPr>
                  <w:tcW w:w="1153"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0.006</w:t>
                  </w:r>
                </w:p>
              </w:tc>
              <w:tc>
                <w:tcPr>
                  <w:tcW w:w="1256" w:type="dxa"/>
                  <w:noWrap w:val="0"/>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1.5</w:t>
                  </w:r>
                </w:p>
              </w:tc>
              <w:tc>
                <w:tcPr>
                  <w:tcW w:w="1123" w:type="dxa"/>
                  <w:noWrap w:val="0"/>
                  <w:vAlign w:val="center"/>
                </w:tcPr>
                <w:p>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0.048</w:t>
                  </w:r>
                </w:p>
              </w:tc>
              <w:tc>
                <w:tcPr>
                  <w:tcW w:w="1219" w:type="dxa"/>
                  <w:noWrap w:val="0"/>
                  <w:vAlign w:val="center"/>
                </w:tcPr>
                <w:p>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0.048</w:t>
                  </w:r>
                </w:p>
              </w:tc>
              <w:tc>
                <w:tcPr>
                  <w:tcW w:w="1123" w:type="dxa"/>
                  <w:noWrap w:val="0"/>
                  <w:vAlign w:val="center"/>
                </w:tcPr>
                <w:p>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0.007</w:t>
                  </w:r>
                </w:p>
              </w:tc>
              <w:tc>
                <w:tcPr>
                  <w:tcW w:w="1128" w:type="dxa"/>
                  <w:noWrap w:val="0"/>
                  <w:vAlign w:val="center"/>
                </w:tcPr>
                <w:p>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4000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hAnsi="宋体"/>
                <w:color w:val="auto"/>
                <w:sz w:val="21"/>
                <w:szCs w:val="21"/>
                <w:lang w:val="en-US" w:eastAsia="zh-CN"/>
              </w:rPr>
            </w:pPr>
            <w:r>
              <w:rPr>
                <w:rFonts w:hint="eastAsia" w:hAnsi="宋体"/>
                <w:color w:val="auto"/>
                <w:sz w:val="21"/>
                <w:szCs w:val="21"/>
                <w:lang w:eastAsia="zh-CN"/>
              </w:rPr>
              <w:t>注：整浆并工序年工作时间为</w:t>
            </w:r>
            <w:r>
              <w:rPr>
                <w:rFonts w:hint="eastAsia" w:hAnsi="宋体"/>
                <w:color w:val="auto"/>
                <w:sz w:val="21"/>
                <w:szCs w:val="21"/>
                <w:lang w:val="en-US" w:eastAsia="zh-CN"/>
              </w:rPr>
              <w:t>7200h。</w:t>
            </w:r>
          </w:p>
          <w:p>
            <w:pPr>
              <w:numPr>
                <w:ilvl w:val="0"/>
                <w:numId w:val="7"/>
              </w:numPr>
              <w:spacing w:line="500" w:lineRule="exact"/>
              <w:ind w:firstLine="480" w:firstLineChars="200"/>
              <w:rPr>
                <w:rFonts w:hint="eastAsia" w:hAnsi="宋体"/>
                <w:color w:val="auto"/>
                <w:sz w:val="24"/>
                <w:lang w:eastAsia="zh-CN"/>
              </w:rPr>
            </w:pPr>
            <w:r>
              <w:rPr>
                <w:rFonts w:hint="eastAsia" w:hAnsi="宋体"/>
                <w:color w:val="auto"/>
                <w:sz w:val="24"/>
                <w:lang w:eastAsia="zh-CN"/>
              </w:rPr>
              <w:t>恶臭</w:t>
            </w:r>
          </w:p>
          <w:p>
            <w:pPr>
              <w:spacing w:line="500" w:lineRule="exact"/>
              <w:ind w:firstLine="504" w:firstLineChars="200"/>
              <w:rPr>
                <w:color w:val="000000"/>
                <w:spacing w:val="6"/>
                <w:sz w:val="24"/>
                <w:szCs w:val="22"/>
              </w:rPr>
            </w:pPr>
            <w:r>
              <w:rPr>
                <w:color w:val="000000"/>
                <w:spacing w:val="6"/>
                <w:sz w:val="24"/>
                <w:szCs w:val="22"/>
              </w:rPr>
              <w:t>企业使用的</w:t>
            </w:r>
            <w:r>
              <w:rPr>
                <w:rFonts w:hint="eastAsia"/>
                <w:color w:val="auto"/>
                <w:spacing w:val="6"/>
                <w:sz w:val="24"/>
                <w:szCs w:val="22"/>
                <w:lang w:eastAsia="zh-CN"/>
              </w:rPr>
              <w:t>水性浆料</w:t>
            </w:r>
            <w:r>
              <w:rPr>
                <w:rFonts w:hint="eastAsia"/>
                <w:color w:val="auto"/>
                <w:spacing w:val="6"/>
                <w:sz w:val="24"/>
                <w:szCs w:val="22"/>
                <w:lang w:val="en-US" w:eastAsia="zh-CN"/>
              </w:rPr>
              <w:t>在加热</w:t>
            </w:r>
            <w:r>
              <w:rPr>
                <w:rFonts w:hint="eastAsia"/>
                <w:color w:val="auto"/>
                <w:spacing w:val="6"/>
                <w:sz w:val="24"/>
                <w:szCs w:val="22"/>
                <w:lang w:eastAsia="zh-CN"/>
              </w:rPr>
              <w:t>烘干</w:t>
            </w:r>
            <w:r>
              <w:rPr>
                <w:rFonts w:hint="eastAsia"/>
                <w:color w:val="auto"/>
                <w:spacing w:val="6"/>
                <w:sz w:val="24"/>
                <w:szCs w:val="22"/>
                <w:lang w:val="en-US" w:eastAsia="zh-CN"/>
              </w:rPr>
              <w:t>时、加弹油在使用中</w:t>
            </w:r>
            <w:r>
              <w:rPr>
                <w:color w:val="auto"/>
                <w:spacing w:val="6"/>
                <w:sz w:val="24"/>
                <w:szCs w:val="22"/>
              </w:rPr>
              <w:t>有</w:t>
            </w:r>
            <w:r>
              <w:rPr>
                <w:rFonts w:hint="eastAsia"/>
                <w:color w:val="auto"/>
                <w:spacing w:val="6"/>
                <w:sz w:val="24"/>
                <w:szCs w:val="22"/>
              </w:rPr>
              <w:t>轻微</w:t>
            </w:r>
            <w:r>
              <w:rPr>
                <w:color w:val="auto"/>
                <w:spacing w:val="6"/>
                <w:sz w:val="24"/>
                <w:szCs w:val="22"/>
              </w:rPr>
              <w:t>的刺激</w:t>
            </w:r>
            <w:r>
              <w:rPr>
                <w:color w:val="000000"/>
                <w:spacing w:val="6"/>
                <w:sz w:val="24"/>
                <w:szCs w:val="22"/>
              </w:rPr>
              <w:t>性气味，表现为恶臭。</w:t>
            </w:r>
          </w:p>
          <w:p>
            <w:pPr>
              <w:pStyle w:val="3"/>
              <w:spacing w:line="500" w:lineRule="exact"/>
              <w:ind w:firstLine="480" w:firstLineChars="200"/>
              <w:rPr>
                <w:rFonts w:hint="eastAsia"/>
                <w:color w:val="000000"/>
                <w:spacing w:val="6"/>
                <w:sz w:val="24"/>
                <w:szCs w:val="22"/>
              </w:rPr>
            </w:pPr>
            <w:r>
              <w:rPr>
                <w:rFonts w:hint="eastAsia"/>
                <w:bCs/>
                <w:color w:val="000000"/>
                <w:sz w:val="24"/>
                <w:szCs w:val="22"/>
                <w:lang w:eastAsia="zh-CN"/>
              </w:rPr>
              <w:t>烘干</w:t>
            </w:r>
            <w:r>
              <w:rPr>
                <w:bCs/>
                <w:color w:val="000000"/>
                <w:sz w:val="24"/>
                <w:szCs w:val="22"/>
              </w:rPr>
              <w:t>在</w:t>
            </w:r>
            <w:r>
              <w:rPr>
                <w:rFonts w:hint="eastAsia"/>
                <w:bCs/>
                <w:color w:val="000000"/>
                <w:sz w:val="24"/>
                <w:szCs w:val="22"/>
              </w:rPr>
              <w:t>相对密闭的</w:t>
            </w:r>
            <w:r>
              <w:rPr>
                <w:rFonts w:hint="eastAsia"/>
                <w:bCs/>
                <w:color w:val="000000"/>
                <w:sz w:val="24"/>
                <w:szCs w:val="22"/>
                <w:lang w:eastAsia="zh-CN"/>
              </w:rPr>
              <w:t>烘箱内</w:t>
            </w:r>
            <w:r>
              <w:rPr>
                <w:bCs/>
                <w:color w:val="000000"/>
                <w:sz w:val="24"/>
                <w:szCs w:val="22"/>
              </w:rPr>
              <w:t>完成，挥发的有机废气经废气处理装置处理后达标排放。</w:t>
            </w:r>
            <w:r>
              <w:rPr>
                <w:rFonts w:hint="eastAsia"/>
                <w:bCs/>
                <w:color w:val="000000"/>
                <w:sz w:val="24"/>
                <w:szCs w:val="22"/>
                <w:lang w:eastAsia="zh-CN"/>
              </w:rPr>
              <w:t>水浆和加弹油有机物挥发量较小，的</w:t>
            </w:r>
            <w:r>
              <w:rPr>
                <w:bCs/>
                <w:color w:val="000000"/>
                <w:sz w:val="24"/>
                <w:szCs w:val="22"/>
              </w:rPr>
              <w:t>臭气浓度相对较低，</w:t>
            </w:r>
            <w:r>
              <w:rPr>
                <w:bCs/>
                <w:color w:val="000000"/>
                <w:sz w:val="24"/>
              </w:rPr>
              <w:t>臭气浓度约为</w:t>
            </w:r>
            <w:r>
              <w:rPr>
                <w:rFonts w:hint="eastAsia"/>
                <w:bCs/>
                <w:color w:val="000000"/>
                <w:sz w:val="24"/>
              </w:rPr>
              <w:t>300</w:t>
            </w:r>
            <w:r>
              <w:rPr>
                <w:bCs/>
                <w:color w:val="000000"/>
                <w:sz w:val="24"/>
              </w:rPr>
              <w:t>（无量纲），经收集后通过</w:t>
            </w:r>
            <w:r>
              <w:rPr>
                <w:rFonts w:hint="eastAsia"/>
                <w:bCs/>
                <w:color w:val="000000"/>
                <w:sz w:val="24"/>
                <w:lang w:eastAsia="zh-CN"/>
              </w:rPr>
              <w:t>冷却</w:t>
            </w:r>
            <w:r>
              <w:rPr>
                <w:rFonts w:hint="eastAsia"/>
                <w:bCs/>
                <w:color w:val="000000"/>
                <w:sz w:val="24"/>
                <w:lang w:val="en-US" w:eastAsia="zh-CN"/>
              </w:rPr>
              <w:t>+</w:t>
            </w:r>
            <w:r>
              <w:rPr>
                <w:rFonts w:hint="eastAsia"/>
                <w:bCs/>
                <w:color w:val="000000"/>
                <w:sz w:val="24"/>
                <w:lang w:eastAsia="zh-CN"/>
              </w:rPr>
              <w:t>水喷淋</w:t>
            </w:r>
            <w:r>
              <w:rPr>
                <w:rFonts w:hint="eastAsia"/>
                <w:bCs/>
                <w:color w:val="000000"/>
                <w:sz w:val="24"/>
              </w:rPr>
              <w:t>+</w:t>
            </w:r>
            <w:r>
              <w:rPr>
                <w:rFonts w:hint="eastAsia"/>
                <w:bCs/>
                <w:color w:val="000000"/>
                <w:sz w:val="24"/>
                <w:lang w:eastAsia="zh-CN"/>
              </w:rPr>
              <w:t>静电油烟净化吸附装置</w:t>
            </w:r>
            <w:r>
              <w:rPr>
                <w:bCs/>
                <w:color w:val="000000"/>
                <w:sz w:val="24"/>
              </w:rPr>
              <w:t>处理，</w:t>
            </w:r>
            <w:r>
              <w:rPr>
                <w:rFonts w:hint="eastAsia"/>
                <w:bCs/>
                <w:color w:val="000000"/>
                <w:sz w:val="24"/>
              </w:rPr>
              <w:t>除臭效率可达到50%，</w:t>
            </w:r>
            <w:r>
              <w:rPr>
                <w:bCs/>
                <w:color w:val="000000"/>
                <w:sz w:val="24"/>
              </w:rPr>
              <w:t>尾气通过</w:t>
            </w:r>
            <w:r>
              <w:rPr>
                <w:rFonts w:hint="eastAsia"/>
                <w:bCs/>
                <w:color w:val="000000"/>
                <w:sz w:val="24"/>
                <w:lang w:val="en-US" w:eastAsia="zh-CN"/>
              </w:rPr>
              <w:t>20</w:t>
            </w:r>
            <w:r>
              <w:rPr>
                <w:bCs/>
                <w:color w:val="000000"/>
                <w:sz w:val="24"/>
              </w:rPr>
              <w:t>m高排气筒排放，</w:t>
            </w:r>
            <w:r>
              <w:rPr>
                <w:rFonts w:hint="eastAsia"/>
                <w:bCs/>
                <w:color w:val="000000"/>
                <w:sz w:val="24"/>
              </w:rPr>
              <w:t>臭气浓度</w:t>
            </w:r>
            <w:r>
              <w:rPr>
                <w:rFonts w:hint="eastAsia"/>
                <w:bCs/>
                <w:color w:val="000000"/>
                <w:sz w:val="24"/>
                <w:highlight w:val="none"/>
              </w:rPr>
              <w:t>约为150（无量纲）。</w:t>
            </w:r>
            <w:r>
              <w:rPr>
                <w:rFonts w:hint="eastAsia"/>
                <w:bCs/>
                <w:color w:val="000000"/>
                <w:sz w:val="24"/>
              </w:rPr>
              <w:t>项目方应</w:t>
            </w:r>
            <w:r>
              <w:rPr>
                <w:bCs/>
                <w:color w:val="000000"/>
                <w:sz w:val="24"/>
              </w:rPr>
              <w:t>加强车间局部通风及场界四周绿化等措施减少无组织排放恶臭气体，预计臭气无组织排放浓度小于16（无量纲）</w:t>
            </w:r>
            <w:r>
              <w:rPr>
                <w:rFonts w:hint="eastAsia"/>
                <w:color w:val="000000"/>
                <w:spacing w:val="6"/>
                <w:sz w:val="24"/>
                <w:szCs w:val="22"/>
              </w:rPr>
              <w:t>。</w:t>
            </w:r>
          </w:p>
          <w:p>
            <w:pPr>
              <w:spacing w:line="500" w:lineRule="exact"/>
              <w:ind w:left="420" w:leftChars="200"/>
              <w:rPr>
                <w:color w:val="000000"/>
                <w:sz w:val="24"/>
              </w:rPr>
            </w:pPr>
            <w:r>
              <w:rPr>
                <w:rFonts w:hint="eastAsia"/>
                <w:color w:val="000000"/>
                <w:sz w:val="24"/>
              </w:rPr>
              <w:t>本项目</w:t>
            </w:r>
            <w:r>
              <w:rPr>
                <w:rFonts w:hint="eastAsia"/>
                <w:color w:val="000000"/>
                <w:sz w:val="24"/>
                <w:lang w:eastAsia="zh-CN"/>
              </w:rPr>
              <w:t>加弹</w:t>
            </w:r>
            <w:r>
              <w:rPr>
                <w:rFonts w:hint="eastAsia"/>
                <w:color w:val="000000"/>
                <w:sz w:val="24"/>
              </w:rPr>
              <w:t>废气、</w:t>
            </w:r>
            <w:r>
              <w:rPr>
                <w:rFonts w:hint="eastAsia"/>
                <w:color w:val="000000"/>
                <w:sz w:val="24"/>
                <w:lang w:eastAsia="zh-CN"/>
              </w:rPr>
              <w:t>有机废气</w:t>
            </w:r>
            <w:r>
              <w:rPr>
                <w:rFonts w:hint="eastAsia"/>
                <w:color w:val="000000"/>
                <w:sz w:val="24"/>
              </w:rPr>
              <w:t>废气处理流程见图4.2-</w:t>
            </w:r>
            <w:r>
              <w:rPr>
                <w:rFonts w:hint="eastAsia"/>
                <w:color w:val="000000"/>
                <w:sz w:val="24"/>
                <w:lang w:val="en-US" w:eastAsia="zh-CN"/>
              </w:rPr>
              <w:t>1~4.2-2</w:t>
            </w:r>
            <w:r>
              <w:rPr>
                <w:rFonts w:hint="eastAsia"/>
                <w:color w:val="000000"/>
                <w:sz w:val="24"/>
              </w:rPr>
              <w:t>。</w:t>
            </w:r>
          </w:p>
          <w:p>
            <w:pPr>
              <w:pStyle w:val="2"/>
              <w:jc w:val="center"/>
              <w:rPr>
                <w:color w:val="000000"/>
              </w:rPr>
            </w:pPr>
            <w:r>
              <w:rPr>
                <w:color w:val="000000"/>
              </w:rPr>
              <w:object>
                <v:shape id="_x0000_i1029" o:spt="75" type="#_x0000_t75" style="height:205.15pt;width:102.4pt;" o:ole="t" filled="f" o:preferrelative="t" stroked="f" coordsize="21600,21600">
                  <v:path/>
                  <v:fill on="f" focussize="0,0"/>
                  <v:stroke on="f"/>
                  <v:imagedata r:id="rId37" o:title=""/>
                  <o:lock v:ext="edit" aspectratio="t"/>
                  <w10:wrap type="none"/>
                  <w10:anchorlock/>
                </v:shape>
                <o:OLEObject Type="Embed" ProgID="Visio.Drawing.11" ShapeID="_x0000_i1029" DrawAspect="Content" ObjectID="_1468075729" r:id="rId36">
                  <o:LockedField>false</o:LockedField>
                </o:OLEObject>
              </w:object>
            </w:r>
          </w:p>
          <w:p>
            <w:pPr>
              <w:jc w:val="center"/>
              <w:rPr>
                <w:b/>
                <w:color w:val="000000"/>
                <w:szCs w:val="21"/>
              </w:rPr>
            </w:pPr>
            <w:r>
              <w:rPr>
                <w:b/>
                <w:color w:val="000000"/>
                <w:szCs w:val="21"/>
              </w:rPr>
              <w:t>图</w:t>
            </w:r>
            <w:r>
              <w:rPr>
                <w:rFonts w:hint="eastAsia"/>
                <w:b/>
                <w:color w:val="000000"/>
                <w:szCs w:val="21"/>
              </w:rPr>
              <w:t>4.2-</w:t>
            </w:r>
            <w:r>
              <w:rPr>
                <w:rFonts w:hint="eastAsia"/>
                <w:b/>
                <w:color w:val="000000"/>
                <w:szCs w:val="21"/>
                <w:lang w:val="en-US" w:eastAsia="zh-CN"/>
              </w:rPr>
              <w:t>1</w:t>
            </w:r>
            <w:r>
              <w:rPr>
                <w:b/>
                <w:color w:val="000000"/>
                <w:szCs w:val="21"/>
              </w:rPr>
              <w:t xml:space="preserve">  </w:t>
            </w:r>
            <w:r>
              <w:rPr>
                <w:rFonts w:hint="eastAsia"/>
                <w:b/>
                <w:color w:val="000000"/>
                <w:szCs w:val="21"/>
                <w:lang w:eastAsia="zh-CN"/>
              </w:rPr>
              <w:t>加弹</w:t>
            </w:r>
            <w:r>
              <w:rPr>
                <w:rFonts w:hint="eastAsia"/>
                <w:b/>
                <w:color w:val="000000"/>
                <w:szCs w:val="21"/>
              </w:rPr>
              <w:t>废气</w:t>
            </w:r>
            <w:r>
              <w:rPr>
                <w:b/>
                <w:color w:val="000000"/>
                <w:szCs w:val="21"/>
              </w:rPr>
              <w:t>处理工艺流程图</w:t>
            </w:r>
          </w:p>
          <w:p>
            <w:pPr>
              <w:jc w:val="center"/>
              <w:rPr>
                <w:color w:val="000000"/>
              </w:rPr>
            </w:pPr>
            <w:r>
              <w:rPr>
                <w:color w:val="000000"/>
              </w:rPr>
              <w:object>
                <v:shape id="_x0000_i1030" o:spt="75" type="#_x0000_t75" style="height:205.15pt;width:102.4pt;" o:ole="t" filled="f" o:preferrelative="t" stroked="f" coordsize="21600,21600">
                  <v:path/>
                  <v:fill on="f" focussize="0,0"/>
                  <v:stroke on="f"/>
                  <v:imagedata r:id="rId39" o:title=""/>
                  <o:lock v:ext="edit" aspectratio="t"/>
                  <w10:wrap type="none"/>
                  <w10:anchorlock/>
                </v:shape>
                <o:OLEObject Type="Embed" ProgID="Visio.Drawing.11" ShapeID="_x0000_i1030" DrawAspect="Content" ObjectID="_1468075730" r:id="rId38">
                  <o:LockedField>false</o:LockedField>
                </o:OLEObject>
              </w:object>
            </w:r>
          </w:p>
          <w:p>
            <w:pPr>
              <w:jc w:val="center"/>
              <w:rPr>
                <w:b/>
                <w:color w:val="000000"/>
                <w:szCs w:val="21"/>
              </w:rPr>
            </w:pPr>
            <w:r>
              <w:rPr>
                <w:b/>
                <w:color w:val="000000"/>
                <w:szCs w:val="21"/>
              </w:rPr>
              <w:t>图</w:t>
            </w:r>
            <w:r>
              <w:rPr>
                <w:rFonts w:hint="eastAsia"/>
                <w:b/>
                <w:color w:val="000000"/>
                <w:szCs w:val="21"/>
              </w:rPr>
              <w:t>4.2-</w:t>
            </w:r>
            <w:r>
              <w:rPr>
                <w:rFonts w:hint="eastAsia"/>
                <w:b/>
                <w:color w:val="000000"/>
                <w:szCs w:val="21"/>
                <w:lang w:val="en-US" w:eastAsia="zh-CN"/>
              </w:rPr>
              <w:t>2</w:t>
            </w:r>
            <w:r>
              <w:rPr>
                <w:b/>
                <w:color w:val="000000"/>
                <w:szCs w:val="21"/>
              </w:rPr>
              <w:t xml:space="preserve">  </w:t>
            </w:r>
            <w:r>
              <w:rPr>
                <w:rFonts w:hint="eastAsia"/>
                <w:b/>
                <w:color w:val="000000"/>
                <w:szCs w:val="21"/>
                <w:lang w:eastAsia="zh-CN"/>
              </w:rPr>
              <w:t>有机</w:t>
            </w:r>
            <w:r>
              <w:rPr>
                <w:rFonts w:hint="eastAsia"/>
                <w:b/>
                <w:color w:val="000000"/>
                <w:szCs w:val="21"/>
              </w:rPr>
              <w:t>废气</w:t>
            </w:r>
            <w:r>
              <w:rPr>
                <w:b/>
                <w:color w:val="000000"/>
                <w:szCs w:val="21"/>
              </w:rPr>
              <w:t>处理工艺流程图</w:t>
            </w:r>
          </w:p>
          <w:p>
            <w:pPr>
              <w:pStyle w:val="39"/>
              <w:rPr>
                <w:rFonts w:hint="eastAsia" w:eastAsia="宋体"/>
                <w:b/>
                <w:bCs/>
                <w:lang w:eastAsia="zh-CN"/>
              </w:rPr>
            </w:pPr>
            <w:r>
              <w:rPr>
                <w:rFonts w:hint="eastAsia"/>
                <w:b/>
                <w:bCs/>
                <w:lang w:eastAsia="zh-CN"/>
              </w:rPr>
              <w:t>废气治理设施原理：</w:t>
            </w:r>
          </w:p>
          <w:p>
            <w:pPr>
              <w:pStyle w:val="39"/>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b w:val="0"/>
                <w:bCs w:val="0"/>
                <w:lang w:eastAsia="zh-CN"/>
              </w:rPr>
            </w:pPr>
            <w:r>
              <w:rPr>
                <w:rFonts w:hint="eastAsia"/>
                <w:b w:val="0"/>
                <w:bCs w:val="0"/>
                <w:lang w:eastAsia="zh-CN"/>
              </w:rPr>
              <w:t>①冷却：废气收集后汇入排风主管，进入密闭冷却水循环箱内，与低温冷却水间接接触交换热量，达到降低废气温度的效果。</w:t>
            </w:r>
          </w:p>
          <w:p>
            <w:pPr>
              <w:pStyle w:val="39"/>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b w:val="0"/>
                <w:bCs w:val="0"/>
              </w:rPr>
            </w:pPr>
            <w:r>
              <w:rPr>
                <w:rFonts w:hint="eastAsia"/>
                <w:b w:val="0"/>
                <w:bCs w:val="0"/>
                <w:lang w:eastAsia="zh-CN"/>
              </w:rPr>
              <w:t>②</w:t>
            </w:r>
            <w:r>
              <w:rPr>
                <w:rFonts w:hint="eastAsia"/>
                <w:b w:val="0"/>
                <w:bCs w:val="0"/>
              </w:rPr>
              <w:t>水喷淋净化器的原理是通过特制的喷嘴在罩内的空间形成水雾、水膜，油烟通过引风机负压吸到罩内后，油雾粒子与水雾、水膜充分接触，经过惯性作用、截留作用、扩散作用而粘附在水滴上，水滴依靠本身的重力下降到水喷淋式油烟净化器的底部，回流到循环水箱。</w:t>
            </w:r>
          </w:p>
          <w:p>
            <w:pPr>
              <w:pStyle w:val="39"/>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eastAsia="宋体"/>
                <w:b w:val="0"/>
                <w:bCs w:val="0"/>
                <w:lang w:eastAsia="zh-CN"/>
              </w:rPr>
            </w:pPr>
            <w:r>
              <w:rPr>
                <w:rFonts w:hint="eastAsia"/>
                <w:b w:val="0"/>
                <w:bCs w:val="0"/>
                <w:lang w:eastAsia="zh-CN"/>
              </w:rPr>
              <w:t>③</w:t>
            </w:r>
            <w:r>
              <w:rPr>
                <w:rFonts w:hint="eastAsia"/>
                <w:b w:val="0"/>
                <w:bCs w:val="0"/>
              </w:rPr>
              <w:t>工业型静电油烟净化是含油烟或其他颗粒物的废气，在电场力的作用下，油烟和颗粒物经过静电场后得以带电荷，这些荷电悬浮颗粒向集污极移动从而被收集集中，这样完成了废气中污染物的净化处理</w:t>
            </w:r>
            <w:r>
              <w:rPr>
                <w:rFonts w:hint="eastAsia"/>
                <w:b w:val="0"/>
                <w:bCs w:val="0"/>
                <w:lang w:eastAsia="zh-CN"/>
              </w:rPr>
              <w:t>。</w:t>
            </w:r>
          </w:p>
          <w:p>
            <w:pPr>
              <w:spacing w:line="500" w:lineRule="exact"/>
              <w:rPr>
                <w:b/>
                <w:bCs/>
                <w:sz w:val="24"/>
              </w:rPr>
            </w:pPr>
            <w:r>
              <w:rPr>
                <w:b/>
                <w:bCs/>
                <w:sz w:val="24"/>
              </w:rPr>
              <w:t>4.2.</w:t>
            </w:r>
            <w:r>
              <w:rPr>
                <w:rFonts w:hint="eastAsia"/>
                <w:b/>
                <w:bCs/>
                <w:sz w:val="24"/>
              </w:rPr>
              <w:t>2</w:t>
            </w:r>
            <w:r>
              <w:rPr>
                <w:rFonts w:hAnsi="宋体"/>
                <w:b/>
                <w:bCs/>
                <w:sz w:val="24"/>
              </w:rPr>
              <w:t>废气达标排放分析</w:t>
            </w:r>
          </w:p>
          <w:p>
            <w:pPr>
              <w:spacing w:line="500" w:lineRule="exact"/>
              <w:ind w:firstLine="480" w:firstLineChars="200"/>
              <w:rPr>
                <w:sz w:val="24"/>
              </w:rPr>
            </w:pPr>
            <w:r>
              <w:rPr>
                <w:rFonts w:hAnsi="宋体"/>
                <w:sz w:val="24"/>
              </w:rPr>
              <w:t>本项目废气达标排放分析见表</w:t>
            </w:r>
            <w:r>
              <w:rPr>
                <w:sz w:val="24"/>
              </w:rPr>
              <w:t>4.2-6</w:t>
            </w:r>
            <w:r>
              <w:rPr>
                <w:rFonts w:hAnsi="宋体"/>
                <w:sz w:val="24"/>
              </w:rPr>
              <w:t>。</w:t>
            </w:r>
          </w:p>
          <w:p>
            <w:pPr>
              <w:adjustRightInd w:val="0"/>
              <w:snapToGrid w:val="0"/>
              <w:spacing w:line="460" w:lineRule="exact"/>
              <w:jc w:val="center"/>
              <w:rPr>
                <w:b/>
                <w:szCs w:val="21"/>
              </w:rPr>
            </w:pPr>
            <w:r>
              <w:rPr>
                <w:rFonts w:hAnsi="宋体"/>
                <w:b/>
                <w:szCs w:val="21"/>
              </w:rPr>
              <w:t>表</w:t>
            </w:r>
            <w:r>
              <w:rPr>
                <w:b/>
                <w:szCs w:val="21"/>
              </w:rPr>
              <w:t xml:space="preserve">4.2-6  </w:t>
            </w:r>
            <w:r>
              <w:rPr>
                <w:rFonts w:hAnsi="宋体"/>
                <w:b/>
                <w:szCs w:val="21"/>
              </w:rPr>
              <w:t>项目废气达标排放分析表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930"/>
              <w:gridCol w:w="1045"/>
              <w:gridCol w:w="862"/>
              <w:gridCol w:w="775"/>
              <w:gridCol w:w="1058"/>
              <w:gridCol w:w="982"/>
              <w:gridCol w:w="796"/>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Merge w:val="restart"/>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污染源</w:t>
                  </w:r>
                </w:p>
              </w:tc>
              <w:tc>
                <w:tcPr>
                  <w:tcW w:w="930" w:type="dxa"/>
                  <w:vMerge w:val="restart"/>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污染物</w:t>
                  </w:r>
                </w:p>
              </w:tc>
              <w:tc>
                <w:tcPr>
                  <w:tcW w:w="2682" w:type="dxa"/>
                  <w:gridSpan w:val="3"/>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本项目有组织排放</w:t>
                  </w:r>
                </w:p>
              </w:tc>
              <w:tc>
                <w:tcPr>
                  <w:tcW w:w="2836" w:type="dxa"/>
                  <w:gridSpan w:val="3"/>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有组织排放执行标准</w:t>
                  </w:r>
                </w:p>
              </w:tc>
              <w:tc>
                <w:tcPr>
                  <w:tcW w:w="1135" w:type="dxa"/>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无组织排放执行标准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Merge w:val="continue"/>
                  <w:noWrap w:val="0"/>
                  <w:vAlign w:val="center"/>
                </w:tcPr>
                <w:p>
                  <w:pPr>
                    <w:jc w:val="center"/>
                    <w:rPr>
                      <w:rFonts w:hint="eastAsia" w:ascii="Times New Roman" w:hAnsi="Times New Roman" w:eastAsia="宋体" w:cs="Times New Roman"/>
                      <w:color w:val="auto"/>
                      <w:sz w:val="18"/>
                      <w:szCs w:val="18"/>
                      <w:highlight w:val="none"/>
                    </w:rPr>
                  </w:pPr>
                </w:p>
              </w:tc>
              <w:tc>
                <w:tcPr>
                  <w:tcW w:w="930" w:type="dxa"/>
                  <w:vMerge w:val="continue"/>
                  <w:noWrap w:val="0"/>
                  <w:vAlign w:val="center"/>
                </w:tcPr>
                <w:p>
                  <w:pPr>
                    <w:jc w:val="center"/>
                    <w:rPr>
                      <w:rFonts w:hint="eastAsia" w:ascii="Times New Roman" w:hAnsi="Times New Roman" w:eastAsia="宋体" w:cs="Times New Roman"/>
                      <w:color w:val="auto"/>
                      <w:sz w:val="18"/>
                      <w:szCs w:val="18"/>
                      <w:highlight w:val="none"/>
                    </w:rPr>
                  </w:pPr>
                </w:p>
              </w:tc>
              <w:tc>
                <w:tcPr>
                  <w:tcW w:w="1045" w:type="dxa"/>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排放浓度（mg/m</w:t>
                  </w:r>
                  <w:r>
                    <w:rPr>
                      <w:rFonts w:hint="eastAsia" w:ascii="Times New Roman" w:hAnsi="Times New Roman" w:eastAsia="宋体" w:cs="Times New Roman"/>
                      <w:color w:val="auto"/>
                      <w:sz w:val="18"/>
                      <w:szCs w:val="18"/>
                      <w:highlight w:val="none"/>
                      <w:vertAlign w:val="superscript"/>
                    </w:rPr>
                    <w:t>3</w:t>
                  </w:r>
                  <w:r>
                    <w:rPr>
                      <w:rFonts w:hint="eastAsia" w:ascii="Times New Roman" w:hAnsi="Times New Roman" w:eastAsia="宋体" w:cs="Times New Roman"/>
                      <w:color w:val="auto"/>
                      <w:sz w:val="18"/>
                      <w:szCs w:val="18"/>
                      <w:highlight w:val="none"/>
                    </w:rPr>
                    <w:t>）</w:t>
                  </w:r>
                </w:p>
              </w:tc>
              <w:tc>
                <w:tcPr>
                  <w:tcW w:w="862" w:type="dxa"/>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排放</w:t>
                  </w:r>
                </w:p>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速率（kg/h）</w:t>
                  </w:r>
                </w:p>
              </w:tc>
              <w:tc>
                <w:tcPr>
                  <w:tcW w:w="775" w:type="dxa"/>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排气筒高度（m）</w:t>
                  </w:r>
                </w:p>
              </w:tc>
              <w:tc>
                <w:tcPr>
                  <w:tcW w:w="1058" w:type="dxa"/>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最高允许排放浓度（mg/m</w:t>
                  </w:r>
                  <w:r>
                    <w:rPr>
                      <w:rFonts w:hint="eastAsia" w:ascii="Times New Roman" w:hAnsi="Times New Roman" w:eastAsia="宋体" w:cs="Times New Roman"/>
                      <w:color w:val="auto"/>
                      <w:sz w:val="18"/>
                      <w:szCs w:val="18"/>
                      <w:highlight w:val="none"/>
                      <w:vertAlign w:val="superscript"/>
                    </w:rPr>
                    <w:t>3</w:t>
                  </w:r>
                  <w:r>
                    <w:rPr>
                      <w:rFonts w:hint="eastAsia" w:ascii="Times New Roman" w:hAnsi="Times New Roman" w:eastAsia="宋体" w:cs="Times New Roman"/>
                      <w:color w:val="auto"/>
                      <w:sz w:val="18"/>
                      <w:szCs w:val="18"/>
                      <w:highlight w:val="none"/>
                    </w:rPr>
                    <w:t>）</w:t>
                  </w:r>
                </w:p>
              </w:tc>
              <w:tc>
                <w:tcPr>
                  <w:tcW w:w="982" w:type="dxa"/>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最高允许排放速率（kg/h）</w:t>
                  </w:r>
                </w:p>
              </w:tc>
              <w:tc>
                <w:tcPr>
                  <w:tcW w:w="796" w:type="dxa"/>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排气筒高度（m）</w:t>
                  </w:r>
                </w:p>
              </w:tc>
              <w:tc>
                <w:tcPr>
                  <w:tcW w:w="1135" w:type="dxa"/>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企业边界无组织排放浓度限值（mg/m</w:t>
                  </w:r>
                  <w:r>
                    <w:rPr>
                      <w:rFonts w:hint="eastAsia" w:ascii="Times New Roman" w:hAnsi="Times New Roman" w:eastAsia="宋体" w:cs="Times New Roman"/>
                      <w:color w:val="auto"/>
                      <w:sz w:val="18"/>
                      <w:szCs w:val="18"/>
                      <w:highlight w:val="none"/>
                      <w:vertAlign w:val="superscript"/>
                    </w:rPr>
                    <w:t>3</w:t>
                  </w:r>
                  <w:r>
                    <w:rPr>
                      <w:rFonts w:hint="eastAsia" w:ascii="Times New Roman" w:hAnsi="Times New Roman" w:eastAsia="宋体"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Merge w:val="restart"/>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DA</w:t>
                  </w:r>
                </w:p>
                <w:p>
                  <w:pPr>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00</w:t>
                  </w:r>
                  <w:r>
                    <w:rPr>
                      <w:rFonts w:hint="eastAsia" w:ascii="Times New Roman" w:hAnsi="Times New Roman" w:eastAsia="宋体" w:cs="Times New Roman"/>
                      <w:color w:val="auto"/>
                      <w:sz w:val="18"/>
                      <w:szCs w:val="18"/>
                      <w:highlight w:val="none"/>
                      <w:lang w:val="en-US" w:eastAsia="zh-CN"/>
                    </w:rPr>
                    <w:t>1</w:t>
                  </w:r>
                </w:p>
              </w:tc>
              <w:tc>
                <w:tcPr>
                  <w:tcW w:w="930" w:type="dxa"/>
                  <w:noWrap w:val="0"/>
                  <w:vAlign w:val="center"/>
                </w:tcPr>
                <w:p>
                  <w:pPr>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非甲烷总烃</w:t>
                  </w:r>
                </w:p>
              </w:tc>
              <w:tc>
                <w:tcPr>
                  <w:tcW w:w="104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2.4</w:t>
                  </w:r>
                </w:p>
              </w:tc>
              <w:tc>
                <w:tcPr>
                  <w:tcW w:w="862"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0.012</w:t>
                  </w:r>
                </w:p>
              </w:tc>
              <w:tc>
                <w:tcPr>
                  <w:tcW w:w="77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c>
                <w:tcPr>
                  <w:tcW w:w="10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120</w:t>
                  </w:r>
                </w:p>
              </w:tc>
              <w:tc>
                <w:tcPr>
                  <w:tcW w:w="982"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17</w:t>
                  </w:r>
                </w:p>
              </w:tc>
              <w:tc>
                <w:tcPr>
                  <w:tcW w:w="79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c>
                <w:tcPr>
                  <w:tcW w:w="113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Merge w:val="continue"/>
                  <w:noWrap w:val="0"/>
                  <w:vAlign w:val="center"/>
                </w:tcPr>
                <w:p>
                  <w:pPr>
                    <w:jc w:val="center"/>
                    <w:rPr>
                      <w:rFonts w:hint="eastAsia" w:ascii="Times New Roman" w:hAnsi="Times New Roman" w:eastAsia="宋体" w:cs="Times New Roman"/>
                      <w:color w:val="auto"/>
                      <w:sz w:val="18"/>
                      <w:szCs w:val="18"/>
                      <w:highlight w:val="none"/>
                    </w:rPr>
                  </w:pPr>
                </w:p>
              </w:tc>
              <w:tc>
                <w:tcPr>
                  <w:tcW w:w="930" w:type="dxa"/>
                  <w:noWrap w:val="0"/>
                  <w:vAlign w:val="center"/>
                </w:tcPr>
                <w:p>
                  <w:pPr>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臭气</w:t>
                  </w:r>
                </w:p>
                <w:p>
                  <w:pPr>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浓度（无量纲）</w:t>
                  </w:r>
                </w:p>
              </w:tc>
              <w:tc>
                <w:tcPr>
                  <w:tcW w:w="104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150</w:t>
                  </w:r>
                </w:p>
              </w:tc>
              <w:tc>
                <w:tcPr>
                  <w:tcW w:w="862"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77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c>
                <w:tcPr>
                  <w:tcW w:w="10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4000</w:t>
                  </w:r>
                </w:p>
              </w:tc>
              <w:tc>
                <w:tcPr>
                  <w:tcW w:w="982"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79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3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Merge w:val="restart"/>
                  <w:noWrap w:val="0"/>
                  <w:vAlign w:val="center"/>
                </w:tcPr>
                <w:p>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DA</w:t>
                  </w:r>
                </w:p>
                <w:p>
                  <w:pPr>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00</w:t>
                  </w:r>
                  <w:r>
                    <w:rPr>
                      <w:rFonts w:hint="eastAsia" w:ascii="Times New Roman" w:hAnsi="Times New Roman" w:eastAsia="宋体" w:cs="Times New Roman"/>
                      <w:color w:val="auto"/>
                      <w:sz w:val="18"/>
                      <w:szCs w:val="18"/>
                      <w:highlight w:val="none"/>
                      <w:lang w:val="en-US" w:eastAsia="zh-CN"/>
                    </w:rPr>
                    <w:t>2</w:t>
                  </w:r>
                </w:p>
              </w:tc>
              <w:tc>
                <w:tcPr>
                  <w:tcW w:w="930" w:type="dxa"/>
                  <w:noWrap w:val="0"/>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eastAsia="zh-CN"/>
                    </w:rPr>
                    <w:t>非甲烷总烃</w:t>
                  </w:r>
                </w:p>
              </w:tc>
              <w:tc>
                <w:tcPr>
                  <w:tcW w:w="104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2.25</w:t>
                  </w:r>
                </w:p>
              </w:tc>
              <w:tc>
                <w:tcPr>
                  <w:tcW w:w="862"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0.009</w:t>
                  </w:r>
                </w:p>
              </w:tc>
              <w:tc>
                <w:tcPr>
                  <w:tcW w:w="77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c>
                <w:tcPr>
                  <w:tcW w:w="10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120</w:t>
                  </w:r>
                </w:p>
              </w:tc>
              <w:tc>
                <w:tcPr>
                  <w:tcW w:w="982"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17</w:t>
                  </w:r>
                </w:p>
              </w:tc>
              <w:tc>
                <w:tcPr>
                  <w:tcW w:w="79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c>
                <w:tcPr>
                  <w:tcW w:w="113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Merge w:val="continue"/>
                  <w:noWrap w:val="0"/>
                  <w:vAlign w:val="center"/>
                </w:tcPr>
                <w:p>
                  <w:pPr>
                    <w:jc w:val="center"/>
                    <w:rPr>
                      <w:rFonts w:hint="eastAsia" w:ascii="Times New Roman" w:hAnsi="Times New Roman" w:eastAsia="宋体" w:cs="Times New Roman"/>
                      <w:color w:val="auto"/>
                      <w:sz w:val="18"/>
                      <w:szCs w:val="18"/>
                      <w:highlight w:val="none"/>
                    </w:rPr>
                  </w:pPr>
                </w:p>
              </w:tc>
              <w:tc>
                <w:tcPr>
                  <w:tcW w:w="930" w:type="dxa"/>
                  <w:noWrap w:val="0"/>
                  <w:vAlign w:val="center"/>
                </w:tcPr>
                <w:p>
                  <w:pPr>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臭气</w:t>
                  </w:r>
                </w:p>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eastAsia="zh-CN"/>
                    </w:rPr>
                    <w:t>浓度（无量纲）</w:t>
                  </w:r>
                </w:p>
              </w:tc>
              <w:tc>
                <w:tcPr>
                  <w:tcW w:w="104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150</w:t>
                  </w:r>
                </w:p>
              </w:tc>
              <w:tc>
                <w:tcPr>
                  <w:tcW w:w="862"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77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c>
                <w:tcPr>
                  <w:tcW w:w="1058"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300</w:t>
                  </w:r>
                </w:p>
              </w:tc>
              <w:tc>
                <w:tcPr>
                  <w:tcW w:w="982"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796"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c>
                <w:tcPr>
                  <w:tcW w:w="1135" w:type="dxa"/>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sz w:val="24"/>
                <w:szCs w:val="24"/>
              </w:rPr>
            </w:pPr>
            <w:r>
              <w:rPr>
                <w:rFonts w:hint="eastAsia" w:ascii="Times New Roman" w:hAnsi="Times New Roman" w:eastAsia="宋体" w:cs="Times New Roman"/>
                <w:color w:val="auto"/>
                <w:sz w:val="24"/>
                <w:szCs w:val="24"/>
                <w:highlight w:val="none"/>
              </w:rPr>
              <w:t>根据表4.2-6，污染物有组织排放能满足相应排放标准。</w:t>
            </w:r>
          </w:p>
          <w:p>
            <w:pPr>
              <w:adjustRightInd w:val="0"/>
              <w:snapToGrid w:val="0"/>
              <w:spacing w:line="500" w:lineRule="exact"/>
              <w:rPr>
                <w:rFonts w:hint="eastAsia" w:ascii="Times New Roman" w:hAnsi="宋体" w:eastAsia="宋体" w:cs="Times New Roman"/>
                <w:b/>
                <w:bCs/>
                <w:sz w:val="24"/>
              </w:rPr>
            </w:pPr>
            <w:r>
              <w:rPr>
                <w:rFonts w:ascii="Times New Roman" w:hAnsi="宋体" w:eastAsia="宋体" w:cs="Times New Roman"/>
                <w:b/>
                <w:bCs/>
                <w:sz w:val="24"/>
              </w:rPr>
              <w:t>4.2.</w:t>
            </w:r>
            <w:r>
              <w:rPr>
                <w:rFonts w:hint="eastAsia" w:ascii="Times New Roman" w:hAnsi="宋体" w:eastAsia="宋体" w:cs="Times New Roman"/>
                <w:b/>
                <w:bCs/>
                <w:sz w:val="24"/>
              </w:rPr>
              <w:t>3</w:t>
            </w:r>
            <w:r>
              <w:rPr>
                <w:rFonts w:ascii="Times New Roman" w:hAnsi="宋体" w:eastAsia="宋体" w:cs="Times New Roman"/>
                <w:b/>
                <w:bCs/>
                <w:sz w:val="24"/>
              </w:rPr>
              <w:t xml:space="preserve"> </w:t>
            </w:r>
            <w:r>
              <w:rPr>
                <w:rFonts w:hint="eastAsia" w:ascii="Times New Roman" w:hAnsi="宋体" w:eastAsia="宋体" w:cs="Times New Roman"/>
                <w:b/>
                <w:bCs/>
                <w:sz w:val="24"/>
              </w:rPr>
              <w:t>废气防治工艺可行性及自行监测相关要求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b/>
                <w:bCs/>
                <w:sz w:val="24"/>
              </w:rPr>
            </w:pPr>
            <w:r>
              <w:rPr>
                <w:rFonts w:hAnsi="宋体"/>
                <w:sz w:val="24"/>
              </w:rPr>
              <w:t>根据《排污许可证申请与核发技术规范</w:t>
            </w:r>
            <w:r>
              <w:rPr>
                <w:sz w:val="24"/>
              </w:rPr>
              <w:t xml:space="preserve"> </w:t>
            </w:r>
            <w:r>
              <w:rPr>
                <w:rFonts w:hAnsi="宋体"/>
                <w:sz w:val="24"/>
              </w:rPr>
              <w:t>总则》（</w:t>
            </w:r>
            <w:r>
              <w:rPr>
                <w:sz w:val="24"/>
              </w:rPr>
              <w:t>HJ942-2018</w:t>
            </w:r>
            <w:r>
              <w:rPr>
                <w:rFonts w:hAnsi="宋体"/>
                <w:sz w:val="24"/>
              </w:rPr>
              <w:t>）、《排污许可证申请与核发技术规范</w:t>
            </w:r>
            <w:r>
              <w:rPr>
                <w:sz w:val="24"/>
              </w:rPr>
              <w:t xml:space="preserve"> </w:t>
            </w:r>
            <w:r>
              <w:rPr>
                <w:rFonts w:hAnsi="宋体"/>
                <w:sz w:val="24"/>
              </w:rPr>
              <w:t>纺织印染工业》（</w:t>
            </w:r>
            <w:r>
              <w:rPr>
                <w:sz w:val="24"/>
                <w:lang w:val="zh-CN"/>
              </w:rPr>
              <w:t xml:space="preserve">HJ </w:t>
            </w:r>
            <w:r>
              <w:rPr>
                <w:sz w:val="24"/>
              </w:rPr>
              <w:t>861</w:t>
            </w:r>
            <w:r>
              <w:rPr>
                <w:sz w:val="24"/>
                <w:lang w:val="zh-CN"/>
              </w:rPr>
              <w:t>-20</w:t>
            </w:r>
            <w:r>
              <w:rPr>
                <w:sz w:val="24"/>
              </w:rPr>
              <w:t>17</w:t>
            </w:r>
            <w:r>
              <w:rPr>
                <w:rFonts w:hAnsi="宋体"/>
                <w:sz w:val="24"/>
              </w:rPr>
              <w:t>）、《排污单位自行监测技术指南</w:t>
            </w:r>
            <w:r>
              <w:rPr>
                <w:sz w:val="24"/>
              </w:rPr>
              <w:t xml:space="preserve"> </w:t>
            </w:r>
            <w:r>
              <w:rPr>
                <w:rFonts w:hAnsi="宋体"/>
                <w:sz w:val="24"/>
              </w:rPr>
              <w:t>纺织印染工业》（</w:t>
            </w:r>
            <w:r>
              <w:rPr>
                <w:sz w:val="24"/>
              </w:rPr>
              <w:t>HJ 879-2017</w:t>
            </w:r>
            <w:r>
              <w:rPr>
                <w:rFonts w:hAnsi="宋体"/>
                <w:sz w:val="24"/>
              </w:rPr>
              <w:t>）</w:t>
            </w:r>
            <w:r>
              <w:rPr>
                <w:rFonts w:hint="eastAsia"/>
                <w:sz w:val="24"/>
              </w:rPr>
              <w:t>，本项目废气防治工艺可行性及自行监测相关要求具体详见表4.2-</w:t>
            </w:r>
            <w:r>
              <w:rPr>
                <w:rFonts w:hint="eastAsia"/>
                <w:sz w:val="24"/>
                <w:lang w:val="en-US" w:eastAsia="zh-CN"/>
              </w:rPr>
              <w:t>7</w:t>
            </w:r>
            <w:r>
              <w:rPr>
                <w:rFonts w:hint="eastAsia"/>
                <w:sz w:val="24"/>
              </w:rPr>
              <w:t>、表 4.2-</w:t>
            </w:r>
            <w:r>
              <w:rPr>
                <w:rFonts w:hint="eastAsia"/>
                <w:sz w:val="24"/>
                <w:lang w:val="en-US" w:eastAsia="zh-CN"/>
              </w:rPr>
              <w:t>8</w:t>
            </w:r>
            <w:r>
              <w:rPr>
                <w:rFonts w:hint="eastAsia"/>
                <w:sz w:val="24"/>
              </w:rPr>
              <w:t>。</w:t>
            </w:r>
          </w:p>
          <w:p>
            <w:pPr>
              <w:adjustRightInd w:val="0"/>
              <w:snapToGrid w:val="0"/>
              <w:spacing w:line="500" w:lineRule="exact"/>
              <w:ind w:firstLine="480" w:firstLineChars="200"/>
              <w:rPr>
                <w:sz w:val="24"/>
              </w:rPr>
            </w:pPr>
          </w:p>
        </w:tc>
      </w:tr>
    </w:tbl>
    <w:p>
      <w:pPr>
        <w:tabs>
          <w:tab w:val="left" w:pos="750"/>
        </w:tabs>
        <w:sectPr>
          <w:headerReference r:id="rId20" w:type="default"/>
          <w:pgSz w:w="11906" w:h="16838"/>
          <w:pgMar w:top="1588" w:right="1588" w:bottom="1588" w:left="1588" w:header="851" w:footer="992" w:gutter="0"/>
          <w:pgBorders>
            <w:top w:val="none" w:sz="0" w:space="0"/>
            <w:left w:val="none" w:sz="0" w:space="0"/>
            <w:bottom w:val="none" w:sz="0" w:space="0"/>
            <w:right w:val="none" w:sz="0" w:space="0"/>
          </w:pgBorders>
          <w:cols w:space="720" w:num="1"/>
          <w:docGrid w:linePitch="312" w:charSpace="0"/>
        </w:sectPr>
      </w:pPr>
    </w:p>
    <w:tbl>
      <w:tblPr>
        <w:tblStyle w:val="40"/>
        <w:tblW w:w="13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
        <w:gridCol w:w="1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9" w:hRule="atLeast"/>
          <w:jc w:val="center"/>
        </w:trPr>
        <w:tc>
          <w:tcPr>
            <w:tcW w:w="385" w:type="dxa"/>
            <w:noWrap/>
            <w:vAlign w:val="center"/>
          </w:tcPr>
          <w:p>
            <w:pPr>
              <w:pStyle w:val="3"/>
              <w:adjustRightInd w:val="0"/>
              <w:snapToGrid w:val="0"/>
              <w:ind w:firstLine="0"/>
              <w:rPr>
                <w:sz w:val="21"/>
                <w:szCs w:val="21"/>
              </w:rPr>
            </w:pPr>
            <w:r>
              <w:rPr>
                <w:rFonts w:hAnsi="宋体"/>
                <w:sz w:val="21"/>
                <w:szCs w:val="21"/>
              </w:rPr>
              <w:t>运营</w:t>
            </w:r>
          </w:p>
          <w:p>
            <w:pPr>
              <w:pStyle w:val="3"/>
              <w:adjustRightInd w:val="0"/>
              <w:snapToGrid w:val="0"/>
              <w:ind w:firstLine="0"/>
              <w:rPr>
                <w:sz w:val="21"/>
                <w:szCs w:val="21"/>
              </w:rPr>
            </w:pPr>
            <w:r>
              <w:rPr>
                <w:rFonts w:hAnsi="宋体"/>
                <w:sz w:val="21"/>
                <w:szCs w:val="21"/>
              </w:rPr>
              <w:t>期环</w:t>
            </w:r>
          </w:p>
          <w:p>
            <w:pPr>
              <w:pStyle w:val="3"/>
              <w:adjustRightInd w:val="0"/>
              <w:snapToGrid w:val="0"/>
              <w:ind w:firstLine="0"/>
              <w:rPr>
                <w:sz w:val="21"/>
                <w:szCs w:val="21"/>
              </w:rPr>
            </w:pPr>
            <w:r>
              <w:rPr>
                <w:rFonts w:hAnsi="宋体"/>
                <w:sz w:val="21"/>
                <w:szCs w:val="21"/>
              </w:rPr>
              <w:t>境影</w:t>
            </w:r>
          </w:p>
          <w:p>
            <w:pPr>
              <w:pStyle w:val="3"/>
              <w:adjustRightInd w:val="0"/>
              <w:snapToGrid w:val="0"/>
              <w:ind w:firstLine="0"/>
              <w:rPr>
                <w:sz w:val="21"/>
                <w:szCs w:val="21"/>
              </w:rPr>
            </w:pPr>
            <w:r>
              <w:rPr>
                <w:rFonts w:hAnsi="宋体"/>
                <w:sz w:val="21"/>
                <w:szCs w:val="21"/>
              </w:rPr>
              <w:t>响和</w:t>
            </w:r>
          </w:p>
          <w:p>
            <w:pPr>
              <w:pStyle w:val="3"/>
              <w:adjustRightInd w:val="0"/>
              <w:snapToGrid w:val="0"/>
              <w:ind w:firstLine="0"/>
              <w:rPr>
                <w:sz w:val="21"/>
                <w:szCs w:val="21"/>
              </w:rPr>
            </w:pPr>
            <w:r>
              <w:rPr>
                <w:rFonts w:hAnsi="宋体"/>
                <w:sz w:val="21"/>
                <w:szCs w:val="21"/>
              </w:rPr>
              <w:t>保护</w:t>
            </w:r>
          </w:p>
          <w:p>
            <w:pPr>
              <w:pStyle w:val="3"/>
              <w:adjustRightInd w:val="0"/>
              <w:snapToGrid w:val="0"/>
              <w:ind w:firstLine="0"/>
              <w:rPr>
                <w:sz w:val="18"/>
                <w:szCs w:val="18"/>
              </w:rPr>
            </w:pPr>
            <w:r>
              <w:rPr>
                <w:rFonts w:hAnsi="宋体"/>
                <w:sz w:val="21"/>
                <w:szCs w:val="21"/>
              </w:rPr>
              <w:t>措施</w:t>
            </w:r>
          </w:p>
        </w:tc>
        <w:tc>
          <w:tcPr>
            <w:tcW w:w="13493" w:type="dxa"/>
            <w:noWrap/>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b/>
                <w:szCs w:val="21"/>
              </w:rPr>
            </w:pPr>
            <w:r>
              <w:rPr>
                <w:rFonts w:hint="eastAsia"/>
                <w:b/>
                <w:szCs w:val="21"/>
              </w:rPr>
              <w:t>表4.2-</w:t>
            </w:r>
            <w:r>
              <w:rPr>
                <w:rFonts w:hint="eastAsia"/>
                <w:b/>
                <w:szCs w:val="21"/>
                <w:lang w:val="en-US" w:eastAsia="zh-CN"/>
              </w:rPr>
              <w:t>7</w:t>
            </w:r>
            <w:r>
              <w:rPr>
                <w:rFonts w:hint="eastAsia"/>
                <w:b/>
                <w:szCs w:val="21"/>
              </w:rPr>
              <w:t xml:space="preserve">  废气产污环节、污染物项目、排放形式、污染防治措施及对应排放口类型一览表</w:t>
            </w:r>
          </w:p>
          <w:tbl>
            <w:tblPr>
              <w:tblStyle w:val="40"/>
              <w:tblW w:w="13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606"/>
              <w:gridCol w:w="1129"/>
              <w:gridCol w:w="1582"/>
              <w:gridCol w:w="1812"/>
              <w:gridCol w:w="936"/>
              <w:gridCol w:w="1967"/>
              <w:gridCol w:w="1364"/>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2" w:type="dxa"/>
                  <w:vMerge w:val="restart"/>
                  <w:noWrap w:val="0"/>
                  <w:vAlign w:val="center"/>
                </w:tcPr>
                <w:p>
                  <w:pPr>
                    <w:jc w:val="center"/>
                    <w:rPr>
                      <w:szCs w:val="21"/>
                    </w:rPr>
                  </w:pPr>
                  <w:r>
                    <w:rPr>
                      <w:szCs w:val="21"/>
                    </w:rPr>
                    <w:t>生产单元</w:t>
                  </w:r>
                </w:p>
              </w:tc>
              <w:tc>
                <w:tcPr>
                  <w:tcW w:w="1606" w:type="dxa"/>
                  <w:vMerge w:val="restart"/>
                  <w:noWrap w:val="0"/>
                  <w:vAlign w:val="center"/>
                </w:tcPr>
                <w:p>
                  <w:pPr>
                    <w:jc w:val="center"/>
                    <w:rPr>
                      <w:szCs w:val="21"/>
                    </w:rPr>
                  </w:pPr>
                  <w:r>
                    <w:rPr>
                      <w:szCs w:val="21"/>
                    </w:rPr>
                    <w:t>产污环节</w:t>
                  </w:r>
                </w:p>
              </w:tc>
              <w:tc>
                <w:tcPr>
                  <w:tcW w:w="1129" w:type="dxa"/>
                  <w:vMerge w:val="restart"/>
                  <w:noWrap w:val="0"/>
                  <w:vAlign w:val="center"/>
                </w:tcPr>
                <w:p>
                  <w:pPr>
                    <w:jc w:val="center"/>
                    <w:rPr>
                      <w:szCs w:val="21"/>
                    </w:rPr>
                  </w:pPr>
                  <w:r>
                    <w:rPr>
                      <w:szCs w:val="21"/>
                    </w:rPr>
                    <w:t>生产设施</w:t>
                  </w:r>
                </w:p>
              </w:tc>
              <w:tc>
                <w:tcPr>
                  <w:tcW w:w="1582" w:type="dxa"/>
                  <w:vMerge w:val="restart"/>
                  <w:noWrap w:val="0"/>
                  <w:vAlign w:val="center"/>
                </w:tcPr>
                <w:p>
                  <w:pPr>
                    <w:jc w:val="center"/>
                    <w:rPr>
                      <w:szCs w:val="21"/>
                    </w:rPr>
                  </w:pPr>
                  <w:r>
                    <w:rPr>
                      <w:szCs w:val="21"/>
                    </w:rPr>
                    <w:t>污染物项目</w:t>
                  </w:r>
                </w:p>
              </w:tc>
              <w:tc>
                <w:tcPr>
                  <w:tcW w:w="1812" w:type="dxa"/>
                  <w:vMerge w:val="restart"/>
                  <w:noWrap w:val="0"/>
                  <w:vAlign w:val="center"/>
                </w:tcPr>
                <w:p>
                  <w:pPr>
                    <w:jc w:val="center"/>
                    <w:rPr>
                      <w:szCs w:val="21"/>
                    </w:rPr>
                  </w:pPr>
                  <w:r>
                    <w:rPr>
                      <w:szCs w:val="21"/>
                    </w:rPr>
                    <w:t>执行标准</w:t>
                  </w:r>
                </w:p>
              </w:tc>
              <w:tc>
                <w:tcPr>
                  <w:tcW w:w="936" w:type="dxa"/>
                  <w:vMerge w:val="restart"/>
                  <w:noWrap w:val="0"/>
                  <w:vAlign w:val="center"/>
                </w:tcPr>
                <w:p>
                  <w:pPr>
                    <w:jc w:val="center"/>
                    <w:rPr>
                      <w:szCs w:val="21"/>
                    </w:rPr>
                  </w:pPr>
                  <w:r>
                    <w:rPr>
                      <w:szCs w:val="21"/>
                    </w:rPr>
                    <w:t>排放</w:t>
                  </w:r>
                </w:p>
                <w:p>
                  <w:pPr>
                    <w:jc w:val="center"/>
                    <w:rPr>
                      <w:szCs w:val="21"/>
                    </w:rPr>
                  </w:pPr>
                  <w:r>
                    <w:rPr>
                      <w:szCs w:val="21"/>
                    </w:rPr>
                    <w:t>形式</w:t>
                  </w:r>
                </w:p>
              </w:tc>
              <w:tc>
                <w:tcPr>
                  <w:tcW w:w="3331" w:type="dxa"/>
                  <w:gridSpan w:val="2"/>
                  <w:noWrap w:val="0"/>
                  <w:vAlign w:val="center"/>
                </w:tcPr>
                <w:p>
                  <w:pPr>
                    <w:jc w:val="center"/>
                    <w:rPr>
                      <w:szCs w:val="21"/>
                    </w:rPr>
                  </w:pPr>
                  <w:r>
                    <w:rPr>
                      <w:szCs w:val="21"/>
                    </w:rPr>
                    <w:t>污染防治技术</w:t>
                  </w:r>
                </w:p>
              </w:tc>
              <w:tc>
                <w:tcPr>
                  <w:tcW w:w="1451" w:type="dxa"/>
                  <w:vMerge w:val="restart"/>
                  <w:noWrap w:val="0"/>
                  <w:vAlign w:val="center"/>
                </w:tcPr>
                <w:p>
                  <w:pPr>
                    <w:jc w:val="center"/>
                    <w:rPr>
                      <w:szCs w:val="21"/>
                    </w:rPr>
                  </w:pPr>
                  <w:r>
                    <w:rPr>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2" w:type="dxa"/>
                  <w:vMerge w:val="continue"/>
                  <w:noWrap w:val="0"/>
                  <w:vAlign w:val="center"/>
                </w:tcPr>
                <w:p>
                  <w:pPr>
                    <w:jc w:val="center"/>
                    <w:rPr>
                      <w:szCs w:val="21"/>
                    </w:rPr>
                  </w:pPr>
                </w:p>
              </w:tc>
              <w:tc>
                <w:tcPr>
                  <w:tcW w:w="1606" w:type="dxa"/>
                  <w:vMerge w:val="continue"/>
                  <w:noWrap w:val="0"/>
                  <w:vAlign w:val="center"/>
                </w:tcPr>
                <w:p>
                  <w:pPr>
                    <w:jc w:val="center"/>
                    <w:rPr>
                      <w:szCs w:val="21"/>
                    </w:rPr>
                  </w:pPr>
                </w:p>
              </w:tc>
              <w:tc>
                <w:tcPr>
                  <w:tcW w:w="1129" w:type="dxa"/>
                  <w:vMerge w:val="continue"/>
                  <w:noWrap w:val="0"/>
                  <w:vAlign w:val="center"/>
                </w:tcPr>
                <w:p>
                  <w:pPr>
                    <w:jc w:val="center"/>
                    <w:rPr>
                      <w:szCs w:val="21"/>
                    </w:rPr>
                  </w:pPr>
                </w:p>
              </w:tc>
              <w:tc>
                <w:tcPr>
                  <w:tcW w:w="1582" w:type="dxa"/>
                  <w:vMerge w:val="continue"/>
                  <w:noWrap w:val="0"/>
                  <w:vAlign w:val="center"/>
                </w:tcPr>
                <w:p>
                  <w:pPr>
                    <w:jc w:val="center"/>
                    <w:rPr>
                      <w:szCs w:val="21"/>
                    </w:rPr>
                  </w:pPr>
                </w:p>
              </w:tc>
              <w:tc>
                <w:tcPr>
                  <w:tcW w:w="1812" w:type="dxa"/>
                  <w:vMerge w:val="continue"/>
                  <w:noWrap w:val="0"/>
                  <w:vAlign w:val="center"/>
                </w:tcPr>
                <w:p>
                  <w:pPr>
                    <w:jc w:val="center"/>
                    <w:rPr>
                      <w:szCs w:val="21"/>
                    </w:rPr>
                  </w:pPr>
                </w:p>
              </w:tc>
              <w:tc>
                <w:tcPr>
                  <w:tcW w:w="936" w:type="dxa"/>
                  <w:vMerge w:val="continue"/>
                  <w:noWrap w:val="0"/>
                  <w:vAlign w:val="center"/>
                </w:tcPr>
                <w:p>
                  <w:pPr>
                    <w:jc w:val="center"/>
                    <w:rPr>
                      <w:szCs w:val="21"/>
                    </w:rPr>
                  </w:pPr>
                </w:p>
              </w:tc>
              <w:tc>
                <w:tcPr>
                  <w:tcW w:w="1967" w:type="dxa"/>
                  <w:noWrap w:val="0"/>
                  <w:vAlign w:val="center"/>
                </w:tcPr>
                <w:p>
                  <w:pPr>
                    <w:jc w:val="center"/>
                    <w:rPr>
                      <w:szCs w:val="21"/>
                    </w:rPr>
                  </w:pPr>
                  <w:r>
                    <w:rPr>
                      <w:szCs w:val="21"/>
                    </w:rPr>
                    <w:t>污染防治设施名称及工艺</w:t>
                  </w:r>
                </w:p>
              </w:tc>
              <w:tc>
                <w:tcPr>
                  <w:tcW w:w="1364" w:type="dxa"/>
                  <w:noWrap w:val="0"/>
                  <w:vAlign w:val="center"/>
                </w:tcPr>
                <w:p>
                  <w:pPr>
                    <w:jc w:val="center"/>
                    <w:rPr>
                      <w:szCs w:val="21"/>
                    </w:rPr>
                  </w:pPr>
                  <w:r>
                    <w:rPr>
                      <w:szCs w:val="21"/>
                    </w:rPr>
                    <w:t>是否为可行技术</w:t>
                  </w:r>
                </w:p>
              </w:tc>
              <w:tc>
                <w:tcPr>
                  <w:tcW w:w="1451"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2" w:type="dxa"/>
                  <w:noWrap w:val="0"/>
                  <w:vAlign w:val="center"/>
                </w:tcPr>
                <w:p>
                  <w:pPr>
                    <w:jc w:val="center"/>
                    <w:rPr>
                      <w:rFonts w:hint="eastAsia" w:eastAsia="宋体"/>
                      <w:szCs w:val="21"/>
                      <w:lang w:eastAsia="zh-CN"/>
                    </w:rPr>
                  </w:pPr>
                  <w:r>
                    <w:rPr>
                      <w:rFonts w:hint="eastAsia"/>
                      <w:szCs w:val="21"/>
                      <w:lang w:eastAsia="zh-CN"/>
                    </w:rPr>
                    <w:t>加弹</w:t>
                  </w:r>
                </w:p>
              </w:tc>
              <w:tc>
                <w:tcPr>
                  <w:tcW w:w="1606" w:type="dxa"/>
                  <w:noWrap w:val="0"/>
                  <w:vAlign w:val="center"/>
                </w:tcPr>
                <w:p>
                  <w:pPr>
                    <w:jc w:val="center"/>
                    <w:rPr>
                      <w:rFonts w:hint="eastAsia" w:eastAsia="宋体"/>
                      <w:szCs w:val="21"/>
                      <w:lang w:eastAsia="zh-CN"/>
                    </w:rPr>
                  </w:pPr>
                  <w:r>
                    <w:rPr>
                      <w:rFonts w:hint="eastAsia"/>
                      <w:szCs w:val="21"/>
                      <w:lang w:eastAsia="zh-CN"/>
                    </w:rPr>
                    <w:t>加弹废气</w:t>
                  </w:r>
                </w:p>
              </w:tc>
              <w:tc>
                <w:tcPr>
                  <w:tcW w:w="1129" w:type="dxa"/>
                  <w:noWrap w:val="0"/>
                  <w:vAlign w:val="center"/>
                </w:tcPr>
                <w:p>
                  <w:pPr>
                    <w:jc w:val="center"/>
                    <w:rPr>
                      <w:rFonts w:hint="eastAsia" w:eastAsia="宋体"/>
                      <w:szCs w:val="21"/>
                      <w:lang w:eastAsia="zh-CN"/>
                    </w:rPr>
                  </w:pPr>
                  <w:r>
                    <w:rPr>
                      <w:rFonts w:hint="eastAsia" w:eastAsia="宋体"/>
                      <w:szCs w:val="21"/>
                      <w:lang w:eastAsia="zh-CN"/>
                    </w:rPr>
                    <w:t>加弹机</w:t>
                  </w:r>
                </w:p>
              </w:tc>
              <w:tc>
                <w:tcPr>
                  <w:tcW w:w="1582" w:type="dxa"/>
                  <w:noWrap w:val="0"/>
                  <w:vAlign w:val="center"/>
                </w:tcPr>
                <w:p>
                  <w:pPr>
                    <w:jc w:val="center"/>
                    <w:rPr>
                      <w:rFonts w:hint="eastAsia" w:eastAsia="宋体"/>
                      <w:szCs w:val="21"/>
                      <w:lang w:eastAsia="zh-CN"/>
                    </w:rPr>
                  </w:pPr>
                  <w:r>
                    <w:rPr>
                      <w:rFonts w:hint="eastAsia"/>
                      <w:szCs w:val="21"/>
                      <w:lang w:eastAsia="zh-CN"/>
                    </w:rPr>
                    <w:t>非甲烷总烃、臭气浓度</w:t>
                  </w:r>
                </w:p>
              </w:tc>
              <w:tc>
                <w:tcPr>
                  <w:tcW w:w="1812" w:type="dxa"/>
                  <w:noWrap w:val="0"/>
                  <w:vAlign w:val="center"/>
                </w:tcPr>
                <w:p>
                  <w:pPr>
                    <w:jc w:val="center"/>
                    <w:rPr>
                      <w:rFonts w:hint="eastAsia" w:eastAsia="宋体"/>
                      <w:szCs w:val="21"/>
                      <w:lang w:eastAsia="zh-CN"/>
                    </w:rPr>
                  </w:pPr>
                  <w:r>
                    <w:rPr>
                      <w:rFonts w:hint="eastAsia" w:eastAsia="宋体"/>
                      <w:szCs w:val="21"/>
                      <w:lang w:eastAsia="zh-CN"/>
                    </w:rPr>
                    <w:t>GB16297-1996</w:t>
                  </w:r>
                </w:p>
              </w:tc>
              <w:tc>
                <w:tcPr>
                  <w:tcW w:w="936" w:type="dxa"/>
                  <w:noWrap w:val="0"/>
                  <w:vAlign w:val="center"/>
                </w:tcPr>
                <w:p>
                  <w:pPr>
                    <w:jc w:val="center"/>
                    <w:rPr>
                      <w:rFonts w:hint="eastAsia" w:eastAsia="宋体"/>
                      <w:szCs w:val="21"/>
                      <w:lang w:eastAsia="zh-CN"/>
                    </w:rPr>
                  </w:pPr>
                  <w:r>
                    <w:rPr>
                      <w:rFonts w:hint="eastAsia"/>
                      <w:szCs w:val="21"/>
                      <w:lang w:eastAsia="zh-CN"/>
                    </w:rPr>
                    <w:t>有组织</w:t>
                  </w:r>
                </w:p>
              </w:tc>
              <w:tc>
                <w:tcPr>
                  <w:tcW w:w="1967" w:type="dxa"/>
                  <w:noWrap w:val="0"/>
                  <w:vAlign w:val="center"/>
                </w:tcPr>
                <w:p>
                  <w:pPr>
                    <w:jc w:val="center"/>
                    <w:rPr>
                      <w:rFonts w:hint="default" w:eastAsia="宋体"/>
                      <w:szCs w:val="21"/>
                      <w:lang w:val="en-US" w:eastAsia="zh-CN"/>
                    </w:rPr>
                  </w:pPr>
                  <w:r>
                    <w:rPr>
                      <w:rFonts w:hint="eastAsia"/>
                      <w:szCs w:val="21"/>
                      <w:lang w:val="en-US" w:eastAsia="zh-CN"/>
                    </w:rPr>
                    <w:t>冷却+水</w:t>
                  </w:r>
                  <w:r>
                    <w:rPr>
                      <w:rFonts w:hint="eastAsia"/>
                      <w:szCs w:val="21"/>
                      <w:lang w:eastAsia="zh-CN"/>
                    </w:rPr>
                    <w:t>喷淋</w:t>
                  </w:r>
                  <w:r>
                    <w:rPr>
                      <w:rFonts w:hint="eastAsia"/>
                      <w:szCs w:val="21"/>
                      <w:lang w:val="en-US" w:eastAsia="zh-CN"/>
                    </w:rPr>
                    <w:t>+静电油烟净化器</w:t>
                  </w:r>
                </w:p>
              </w:tc>
              <w:tc>
                <w:tcPr>
                  <w:tcW w:w="1364" w:type="dxa"/>
                  <w:noWrap w:val="0"/>
                  <w:vAlign w:val="center"/>
                </w:tcPr>
                <w:p>
                  <w:pPr>
                    <w:jc w:val="center"/>
                    <w:rPr>
                      <w:rFonts w:hint="eastAsia" w:eastAsia="宋体"/>
                      <w:szCs w:val="21"/>
                      <w:lang w:eastAsia="zh-CN"/>
                    </w:rPr>
                  </w:pPr>
                  <w:r>
                    <w:rPr>
                      <w:rFonts w:hint="eastAsia"/>
                      <w:szCs w:val="21"/>
                      <w:lang w:eastAsia="zh-CN"/>
                    </w:rPr>
                    <w:t>是</w:t>
                  </w:r>
                </w:p>
              </w:tc>
              <w:tc>
                <w:tcPr>
                  <w:tcW w:w="1451" w:type="dxa"/>
                  <w:noWrap w:val="0"/>
                  <w:vAlign w:val="center"/>
                </w:tcPr>
                <w:p>
                  <w:pPr>
                    <w:jc w:val="center"/>
                    <w:rPr>
                      <w:rFonts w:hint="eastAsia" w:eastAsia="宋体"/>
                      <w:szCs w:val="21"/>
                      <w:lang w:eastAsia="zh-CN"/>
                    </w:rPr>
                  </w:pPr>
                  <w:r>
                    <w:rPr>
                      <w:rFonts w:hint="eastAsia"/>
                      <w:szCs w:val="21"/>
                      <w:lang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2" w:type="dxa"/>
                  <w:noWrap w:val="0"/>
                  <w:vAlign w:val="center"/>
                </w:tcPr>
                <w:p>
                  <w:pPr>
                    <w:jc w:val="center"/>
                    <w:rPr>
                      <w:rFonts w:hint="eastAsia" w:eastAsia="宋体"/>
                      <w:szCs w:val="21"/>
                      <w:lang w:eastAsia="zh-CN"/>
                    </w:rPr>
                  </w:pPr>
                  <w:r>
                    <w:rPr>
                      <w:rFonts w:hint="eastAsia"/>
                      <w:szCs w:val="21"/>
                      <w:lang w:eastAsia="zh-CN"/>
                    </w:rPr>
                    <w:t>上浆、烘干</w:t>
                  </w:r>
                </w:p>
              </w:tc>
              <w:tc>
                <w:tcPr>
                  <w:tcW w:w="1606" w:type="dxa"/>
                  <w:noWrap w:val="0"/>
                  <w:vAlign w:val="center"/>
                </w:tcPr>
                <w:p>
                  <w:pPr>
                    <w:jc w:val="center"/>
                    <w:rPr>
                      <w:rFonts w:hint="eastAsia" w:eastAsia="宋体"/>
                      <w:szCs w:val="21"/>
                      <w:lang w:eastAsia="zh-CN"/>
                    </w:rPr>
                  </w:pPr>
                  <w:r>
                    <w:rPr>
                      <w:rFonts w:hint="eastAsia"/>
                      <w:szCs w:val="21"/>
                      <w:lang w:eastAsia="zh-CN"/>
                    </w:rPr>
                    <w:t>有机废气</w:t>
                  </w:r>
                </w:p>
              </w:tc>
              <w:tc>
                <w:tcPr>
                  <w:tcW w:w="1129" w:type="dxa"/>
                  <w:noWrap w:val="0"/>
                  <w:vAlign w:val="center"/>
                </w:tcPr>
                <w:p>
                  <w:pPr>
                    <w:jc w:val="center"/>
                    <w:rPr>
                      <w:rFonts w:hint="eastAsia" w:eastAsia="宋体"/>
                      <w:szCs w:val="21"/>
                      <w:lang w:eastAsia="zh-CN"/>
                    </w:rPr>
                  </w:pPr>
                  <w:r>
                    <w:rPr>
                      <w:rFonts w:hint="eastAsia"/>
                      <w:szCs w:val="21"/>
                      <w:lang w:eastAsia="zh-CN"/>
                    </w:rPr>
                    <w:t>整浆并生产线</w:t>
                  </w:r>
                </w:p>
              </w:tc>
              <w:tc>
                <w:tcPr>
                  <w:tcW w:w="1582"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eastAsia="zh-CN"/>
                    </w:rPr>
                    <w:t>非甲烷总烃、臭气浓度</w:t>
                  </w:r>
                </w:p>
              </w:tc>
              <w:tc>
                <w:tcPr>
                  <w:tcW w:w="1812"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Cs w:val="21"/>
                      <w:lang w:eastAsia="zh-CN"/>
                    </w:rPr>
                    <w:t>GB16297-1996</w:t>
                  </w:r>
                </w:p>
              </w:tc>
              <w:tc>
                <w:tcPr>
                  <w:tcW w:w="936"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eastAsia="zh-CN"/>
                    </w:rPr>
                    <w:t>有组织</w:t>
                  </w:r>
                </w:p>
              </w:tc>
              <w:tc>
                <w:tcPr>
                  <w:tcW w:w="1967" w:type="dxa"/>
                  <w:noWrap w:val="0"/>
                  <w:vAlign w:val="center"/>
                </w:tcPr>
                <w:p>
                  <w:pPr>
                    <w:jc w:val="center"/>
                    <w:rPr>
                      <w:szCs w:val="21"/>
                    </w:rPr>
                  </w:pPr>
                  <w:r>
                    <w:rPr>
                      <w:rFonts w:hint="eastAsia"/>
                      <w:szCs w:val="21"/>
                      <w:lang w:val="en-US" w:eastAsia="zh-CN"/>
                    </w:rPr>
                    <w:t>冷却+水</w:t>
                  </w:r>
                  <w:r>
                    <w:rPr>
                      <w:rFonts w:hint="eastAsia"/>
                      <w:szCs w:val="21"/>
                      <w:lang w:eastAsia="zh-CN"/>
                    </w:rPr>
                    <w:t>喷淋</w:t>
                  </w:r>
                  <w:r>
                    <w:rPr>
                      <w:rFonts w:hint="eastAsia"/>
                      <w:szCs w:val="21"/>
                      <w:lang w:val="en-US" w:eastAsia="zh-CN"/>
                    </w:rPr>
                    <w:t>+静电油烟净化器</w:t>
                  </w:r>
                </w:p>
              </w:tc>
              <w:tc>
                <w:tcPr>
                  <w:tcW w:w="1364" w:type="dxa"/>
                  <w:noWrap w:val="0"/>
                  <w:vAlign w:val="center"/>
                </w:tcPr>
                <w:p>
                  <w:pPr>
                    <w:jc w:val="center"/>
                    <w:rPr>
                      <w:rFonts w:hint="eastAsia" w:eastAsia="宋体"/>
                      <w:szCs w:val="21"/>
                      <w:lang w:eastAsia="zh-CN"/>
                    </w:rPr>
                  </w:pPr>
                  <w:r>
                    <w:rPr>
                      <w:rFonts w:hint="eastAsia"/>
                      <w:szCs w:val="21"/>
                      <w:lang w:eastAsia="zh-CN"/>
                    </w:rPr>
                    <w:t>是</w:t>
                  </w:r>
                </w:p>
              </w:tc>
              <w:tc>
                <w:tcPr>
                  <w:tcW w:w="1451" w:type="dxa"/>
                  <w:noWrap w:val="0"/>
                  <w:vAlign w:val="center"/>
                </w:tcPr>
                <w:p>
                  <w:pPr>
                    <w:jc w:val="center"/>
                    <w:rPr>
                      <w:rFonts w:hint="eastAsia"/>
                      <w:szCs w:val="21"/>
                    </w:rPr>
                  </w:pPr>
                  <w:r>
                    <w:rPr>
                      <w:rFonts w:hint="eastAsia"/>
                      <w:szCs w:val="21"/>
                      <w:lang w:eastAsia="zh-CN"/>
                    </w:rPr>
                    <w:t>一般排放口</w:t>
                  </w:r>
                </w:p>
              </w:tc>
            </w:tr>
          </w:tbl>
          <w:p>
            <w:pPr>
              <w:adjustRightInd w:val="0"/>
              <w:snapToGrid w:val="0"/>
              <w:spacing w:line="460" w:lineRule="exact"/>
              <w:jc w:val="center"/>
              <w:rPr>
                <w:rFonts w:hint="eastAsia"/>
                <w:b/>
                <w:szCs w:val="21"/>
              </w:rPr>
            </w:pPr>
            <w:r>
              <w:rPr>
                <w:rFonts w:hint="eastAsia"/>
                <w:b/>
                <w:szCs w:val="21"/>
              </w:rPr>
              <w:t>表4.2-</w:t>
            </w:r>
            <w:r>
              <w:rPr>
                <w:rFonts w:hint="eastAsia"/>
                <w:b/>
                <w:szCs w:val="21"/>
                <w:lang w:val="en-US" w:eastAsia="zh-CN"/>
              </w:rPr>
              <w:t>8</w:t>
            </w:r>
            <w:r>
              <w:rPr>
                <w:rFonts w:hint="eastAsia"/>
                <w:b/>
                <w:szCs w:val="21"/>
              </w:rPr>
              <w:t xml:space="preserve">  废气污染源监测点位、监测指标及最低监测频次一览表</w:t>
            </w:r>
          </w:p>
          <w:tbl>
            <w:tblPr>
              <w:tblStyle w:val="40"/>
              <w:tblW w:w="13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3961"/>
              <w:gridCol w:w="3262"/>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9" w:type="dxa"/>
                  <w:gridSpan w:val="4"/>
                  <w:noWrap w:val="0"/>
                  <w:vAlign w:val="center"/>
                </w:tcPr>
                <w:p>
                  <w:pPr>
                    <w:jc w:val="center"/>
                    <w:rPr>
                      <w:rFonts w:hint="eastAsia"/>
                    </w:rPr>
                  </w:pPr>
                  <w:r>
                    <w:rPr>
                      <w:rFonts w:hint="eastAsia"/>
                      <w:bCs/>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3" w:type="dxa"/>
                  <w:noWrap w:val="0"/>
                  <w:vAlign w:val="center"/>
                </w:tcPr>
                <w:p>
                  <w:pPr>
                    <w:jc w:val="center"/>
                    <w:rPr>
                      <w:rFonts w:hint="eastAsia"/>
                    </w:rPr>
                  </w:pPr>
                  <w:r>
                    <w:rPr>
                      <w:rFonts w:hint="eastAsia"/>
                    </w:rPr>
                    <w:t>生产单元</w:t>
                  </w:r>
                </w:p>
              </w:tc>
              <w:tc>
                <w:tcPr>
                  <w:tcW w:w="3961" w:type="dxa"/>
                  <w:noWrap w:val="0"/>
                  <w:vAlign w:val="center"/>
                </w:tcPr>
                <w:p>
                  <w:pPr>
                    <w:jc w:val="center"/>
                    <w:rPr>
                      <w:rFonts w:hint="eastAsia"/>
                    </w:rPr>
                  </w:pPr>
                  <w:r>
                    <w:rPr>
                      <w:rFonts w:hint="eastAsia"/>
                    </w:rPr>
                    <w:t>监测点位</w:t>
                  </w:r>
                </w:p>
              </w:tc>
              <w:tc>
                <w:tcPr>
                  <w:tcW w:w="3262" w:type="dxa"/>
                  <w:noWrap w:val="0"/>
                  <w:vAlign w:val="center"/>
                </w:tcPr>
                <w:p>
                  <w:pPr>
                    <w:jc w:val="center"/>
                    <w:rPr>
                      <w:rFonts w:hint="eastAsia"/>
                    </w:rPr>
                  </w:pPr>
                  <w:r>
                    <w:rPr>
                      <w:rFonts w:hint="eastAsia"/>
                    </w:rPr>
                    <w:t>监测指标</w:t>
                  </w:r>
                </w:p>
              </w:tc>
              <w:tc>
                <w:tcPr>
                  <w:tcW w:w="3263" w:type="dxa"/>
                  <w:noWrap w:val="0"/>
                  <w:vAlign w:val="center"/>
                </w:tcPr>
                <w:p>
                  <w:pPr>
                    <w:jc w:val="center"/>
                    <w:rPr>
                      <w:rFonts w:hint="eastAsia"/>
                    </w:rPr>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3" w:type="dxa"/>
                  <w:noWrap w:val="0"/>
                  <w:vAlign w:val="center"/>
                </w:tcPr>
                <w:p>
                  <w:pPr>
                    <w:jc w:val="center"/>
                    <w:rPr>
                      <w:rFonts w:hint="default" w:eastAsia="宋体"/>
                      <w:lang w:val="en-US" w:eastAsia="zh-CN"/>
                    </w:rPr>
                  </w:pPr>
                  <w:r>
                    <w:rPr>
                      <w:rFonts w:hint="eastAsia"/>
                      <w:lang w:val="en-US" w:eastAsia="zh-CN"/>
                    </w:rPr>
                    <w:t>加弹机</w:t>
                  </w:r>
                </w:p>
              </w:tc>
              <w:tc>
                <w:tcPr>
                  <w:tcW w:w="3961" w:type="dxa"/>
                  <w:noWrap w:val="0"/>
                  <w:vAlign w:val="center"/>
                </w:tcPr>
                <w:p>
                  <w:pPr>
                    <w:jc w:val="center"/>
                  </w:pPr>
                  <w:r>
                    <w:rPr>
                      <w:rFonts w:hint="eastAsia"/>
                      <w:lang w:eastAsia="zh-CN"/>
                    </w:rPr>
                    <w:t>加弹废气</w:t>
                  </w:r>
                  <w:r>
                    <w:rPr>
                      <w:rFonts w:hint="eastAsia"/>
                    </w:rPr>
                    <w:t>排放口</w:t>
                  </w:r>
                  <w:r>
                    <w:t>（DA001）</w:t>
                  </w:r>
                </w:p>
              </w:tc>
              <w:tc>
                <w:tcPr>
                  <w:tcW w:w="3262" w:type="dxa"/>
                  <w:noWrap w:val="0"/>
                  <w:vAlign w:val="center"/>
                </w:tcPr>
                <w:p>
                  <w:pPr>
                    <w:jc w:val="center"/>
                    <w:rPr>
                      <w:rFonts w:hint="eastAsia" w:eastAsia="宋体"/>
                      <w:lang w:eastAsia="zh-CN"/>
                    </w:rPr>
                  </w:pPr>
                  <w:r>
                    <w:rPr>
                      <w:rFonts w:hint="eastAsia"/>
                    </w:rPr>
                    <w:t>臭气浓度</w:t>
                  </w:r>
                  <w:r>
                    <w:rPr>
                      <w:rFonts w:hint="eastAsia"/>
                      <w:lang w:eastAsia="zh-CN"/>
                    </w:rPr>
                    <w:t>、非甲烷总烃</w:t>
                  </w:r>
                </w:p>
              </w:tc>
              <w:tc>
                <w:tcPr>
                  <w:tcW w:w="3263" w:type="dxa"/>
                  <w:noWrap w:val="0"/>
                  <w:vAlign w:val="center"/>
                </w:tcPr>
                <w:p>
                  <w:pPr>
                    <w:jc w:val="center"/>
                  </w:pPr>
                  <w: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3" w:type="dxa"/>
                  <w:noWrap w:val="0"/>
                  <w:vAlign w:val="center"/>
                </w:tcPr>
                <w:p>
                  <w:pPr>
                    <w:jc w:val="center"/>
                    <w:rPr>
                      <w:rFonts w:hint="eastAsia"/>
                    </w:rPr>
                  </w:pPr>
                  <w:r>
                    <w:rPr>
                      <w:rFonts w:hint="eastAsia"/>
                      <w:szCs w:val="21"/>
                      <w:lang w:eastAsia="zh-CN"/>
                    </w:rPr>
                    <w:t>整浆并</w:t>
                  </w:r>
                </w:p>
              </w:tc>
              <w:tc>
                <w:tcPr>
                  <w:tcW w:w="3961" w:type="dxa"/>
                  <w:noWrap w:val="0"/>
                  <w:vAlign w:val="center"/>
                </w:tcPr>
                <w:p>
                  <w:pPr>
                    <w:jc w:val="center"/>
                  </w:pPr>
                  <w:r>
                    <w:rPr>
                      <w:rFonts w:hint="eastAsia"/>
                      <w:lang w:eastAsia="zh-CN"/>
                    </w:rPr>
                    <w:t>有机废气</w:t>
                  </w:r>
                  <w:r>
                    <w:rPr>
                      <w:rFonts w:hint="eastAsia"/>
                    </w:rPr>
                    <w:t>排放口</w:t>
                  </w:r>
                  <w:r>
                    <w:t>（DA002）</w:t>
                  </w:r>
                </w:p>
              </w:tc>
              <w:tc>
                <w:tcPr>
                  <w:tcW w:w="3262" w:type="dxa"/>
                  <w:noWrap w:val="0"/>
                  <w:vAlign w:val="center"/>
                </w:tcPr>
                <w:p>
                  <w:pPr>
                    <w:jc w:val="center"/>
                    <w:rPr>
                      <w:rFonts w:hint="eastAsia" w:eastAsia="宋体"/>
                      <w:lang w:eastAsia="zh-CN"/>
                    </w:rPr>
                  </w:pPr>
                  <w:r>
                    <w:rPr>
                      <w:rFonts w:hint="eastAsia"/>
                    </w:rPr>
                    <w:t>臭气浓度</w:t>
                  </w:r>
                  <w:r>
                    <w:rPr>
                      <w:rFonts w:hint="eastAsia"/>
                      <w:lang w:eastAsia="zh-CN"/>
                    </w:rPr>
                    <w:t>、非甲烷总烃</w:t>
                  </w:r>
                </w:p>
              </w:tc>
              <w:tc>
                <w:tcPr>
                  <w:tcW w:w="3263" w:type="dxa"/>
                  <w:noWrap w:val="0"/>
                  <w:vAlign w:val="center"/>
                </w:tcPr>
                <w:p>
                  <w:pPr>
                    <w:jc w:val="center"/>
                  </w:pPr>
                  <w: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39" w:type="dxa"/>
                  <w:gridSpan w:val="4"/>
                  <w:noWrap w:val="0"/>
                  <w:vAlign w:val="center"/>
                </w:tcPr>
                <w:p>
                  <w:pPr>
                    <w:jc w:val="center"/>
                    <w:rPr>
                      <w:rFonts w:hint="eastAsia"/>
                    </w:rPr>
                  </w:pPr>
                  <w:r>
                    <w:rPr>
                      <w:rFonts w:hint="eastAsia"/>
                      <w:bCs/>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4" w:type="dxa"/>
                  <w:gridSpan w:val="2"/>
                  <w:noWrap w:val="0"/>
                  <w:vAlign w:val="center"/>
                </w:tcPr>
                <w:p>
                  <w:pPr>
                    <w:jc w:val="center"/>
                    <w:rPr>
                      <w:rFonts w:hint="eastAsia"/>
                    </w:rPr>
                  </w:pPr>
                  <w:r>
                    <w:rPr>
                      <w:rFonts w:hint="eastAsia"/>
                    </w:rPr>
                    <w:t>监测点位</w:t>
                  </w:r>
                </w:p>
              </w:tc>
              <w:tc>
                <w:tcPr>
                  <w:tcW w:w="3262" w:type="dxa"/>
                  <w:noWrap w:val="0"/>
                  <w:vAlign w:val="center"/>
                </w:tcPr>
                <w:p>
                  <w:pPr>
                    <w:jc w:val="center"/>
                    <w:rPr>
                      <w:rFonts w:hint="eastAsia"/>
                    </w:rPr>
                  </w:pPr>
                  <w:r>
                    <w:rPr>
                      <w:rFonts w:hint="eastAsia"/>
                    </w:rPr>
                    <w:t>监测指标</w:t>
                  </w:r>
                </w:p>
              </w:tc>
              <w:tc>
                <w:tcPr>
                  <w:tcW w:w="3263" w:type="dxa"/>
                  <w:noWrap w:val="0"/>
                  <w:vAlign w:val="center"/>
                </w:tcPr>
                <w:p>
                  <w:pPr>
                    <w:jc w:val="center"/>
                    <w:rPr>
                      <w:rFonts w:hint="eastAsia"/>
                    </w:rPr>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4" w:type="dxa"/>
                  <w:gridSpan w:val="2"/>
                  <w:noWrap w:val="0"/>
                  <w:vAlign w:val="center"/>
                </w:tcPr>
                <w:p>
                  <w:pPr>
                    <w:jc w:val="center"/>
                    <w:rPr>
                      <w:rFonts w:hint="eastAsia"/>
                    </w:rPr>
                  </w:pPr>
                  <w:r>
                    <w:rPr>
                      <w:rFonts w:hint="eastAsia"/>
                    </w:rPr>
                    <w:t>厂界</w:t>
                  </w:r>
                </w:p>
              </w:tc>
              <w:tc>
                <w:tcPr>
                  <w:tcW w:w="3262" w:type="dxa"/>
                  <w:noWrap w:val="0"/>
                  <w:vAlign w:val="center"/>
                </w:tcPr>
                <w:p>
                  <w:pPr>
                    <w:jc w:val="center"/>
                    <w:rPr>
                      <w:rFonts w:hint="eastAsia" w:eastAsia="宋体"/>
                      <w:lang w:eastAsia="zh-CN"/>
                    </w:rPr>
                  </w:pPr>
                  <w:r>
                    <w:rPr>
                      <w:rFonts w:hint="eastAsia"/>
                    </w:rPr>
                    <w:t>非甲烷总烃、颗粒物、</w:t>
                  </w:r>
                  <w:r>
                    <w:rPr>
                      <w:rFonts w:hint="eastAsia"/>
                      <w:lang w:eastAsia="zh-CN"/>
                    </w:rPr>
                    <w:t>臭气浓度</w:t>
                  </w:r>
                </w:p>
              </w:tc>
              <w:tc>
                <w:tcPr>
                  <w:tcW w:w="3263" w:type="dxa"/>
                  <w:noWrap w:val="0"/>
                  <w:vAlign w:val="center"/>
                </w:tcPr>
                <w:p>
                  <w:pPr>
                    <w:jc w:val="center"/>
                    <w:rPr>
                      <w:rFonts w:hint="eastAsia"/>
                    </w:rPr>
                  </w:pPr>
                  <w:r>
                    <w:rPr>
                      <w:rFonts w:hint="eastAsia"/>
                    </w:rPr>
                    <w:t>1次/半年</w:t>
                  </w:r>
                </w:p>
              </w:tc>
            </w:tr>
          </w:tbl>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b/>
                <w:bCs/>
                <w:sz w:val="24"/>
              </w:rPr>
            </w:pPr>
            <w:r>
              <w:rPr>
                <w:rFonts w:hint="eastAsia"/>
                <w:b/>
                <w:bCs/>
                <w:sz w:val="24"/>
                <w:lang w:val="en-US" w:eastAsia="zh-CN"/>
              </w:rPr>
              <w:t>4.2.4</w:t>
            </w:r>
            <w:r>
              <w:rPr>
                <w:rFonts w:hint="eastAsia"/>
                <w:b/>
                <w:bCs/>
                <w:sz w:val="24"/>
              </w:rPr>
              <w:t>非正常工况</w:t>
            </w:r>
          </w:p>
          <w:p>
            <w:pPr>
              <w:spacing w:line="500" w:lineRule="exact"/>
              <w:ind w:firstLine="480" w:firstLineChars="200"/>
              <w:rPr>
                <w:sz w:val="24"/>
              </w:rPr>
            </w:pPr>
            <w:r>
              <w:rPr>
                <w:sz w:val="24"/>
              </w:rPr>
              <w:t>本项目废气处理设施非正常工况主要为处理设施处理效率降低，环评考虑</w:t>
            </w:r>
            <w:r>
              <w:rPr>
                <w:rFonts w:hint="eastAsia"/>
                <w:sz w:val="24"/>
              </w:rPr>
              <w:t>油雾</w:t>
            </w:r>
            <w:r>
              <w:rPr>
                <w:sz w:val="24"/>
              </w:rPr>
              <w:t>废气</w:t>
            </w:r>
            <w:r>
              <w:rPr>
                <w:rFonts w:hint="eastAsia"/>
                <w:sz w:val="24"/>
              </w:rPr>
              <w:t>、淬火废气</w:t>
            </w:r>
            <w:r>
              <w:rPr>
                <w:sz w:val="24"/>
              </w:rPr>
              <w:t>处理设施处理效率下降50%的情形来核算非正常工况。</w:t>
            </w:r>
          </w:p>
          <w:p>
            <w:pPr>
              <w:spacing w:line="500" w:lineRule="exact"/>
              <w:ind w:firstLine="480" w:firstLineChars="200"/>
              <w:rPr>
                <w:sz w:val="24"/>
              </w:rPr>
            </w:pPr>
            <w:r>
              <w:rPr>
                <w:sz w:val="24"/>
              </w:rPr>
              <w:t>本项目非正常工况下废气产生及排放情况详见下表</w:t>
            </w:r>
            <w:r>
              <w:rPr>
                <w:rFonts w:hint="eastAsia"/>
                <w:sz w:val="24"/>
              </w:rPr>
              <w:t>4.2-</w:t>
            </w:r>
            <w:r>
              <w:rPr>
                <w:rFonts w:hint="eastAsia"/>
                <w:sz w:val="24"/>
                <w:lang w:val="en-US" w:eastAsia="zh-CN"/>
              </w:rPr>
              <w:t>9</w:t>
            </w:r>
            <w:r>
              <w:rPr>
                <w:sz w:val="24"/>
              </w:rPr>
              <w:t>。</w:t>
            </w:r>
          </w:p>
          <w:p>
            <w:pPr>
              <w:spacing w:line="500" w:lineRule="exact"/>
              <w:jc w:val="center"/>
              <w:rPr>
                <w:b/>
                <w:szCs w:val="21"/>
                <w:highlight w:val="yellow"/>
              </w:rPr>
            </w:pPr>
          </w:p>
          <w:p>
            <w:pPr>
              <w:spacing w:line="500" w:lineRule="exact"/>
              <w:jc w:val="center"/>
              <w:rPr>
                <w:sz w:val="24"/>
                <w:highlight w:val="none"/>
              </w:rPr>
            </w:pPr>
            <w:r>
              <w:rPr>
                <w:b/>
                <w:szCs w:val="21"/>
                <w:highlight w:val="none"/>
              </w:rPr>
              <w:t>表</w:t>
            </w:r>
            <w:r>
              <w:rPr>
                <w:rFonts w:hint="eastAsia"/>
                <w:b/>
                <w:szCs w:val="21"/>
                <w:highlight w:val="none"/>
              </w:rPr>
              <w:t>4.2-</w:t>
            </w:r>
            <w:r>
              <w:rPr>
                <w:rFonts w:hint="eastAsia"/>
                <w:b/>
                <w:szCs w:val="21"/>
                <w:highlight w:val="none"/>
                <w:lang w:val="en-US" w:eastAsia="zh-CN"/>
              </w:rPr>
              <w:t>9</w:t>
            </w:r>
            <w:r>
              <w:rPr>
                <w:rFonts w:hint="eastAsia"/>
                <w:b/>
                <w:szCs w:val="21"/>
                <w:highlight w:val="none"/>
              </w:rPr>
              <w:t xml:space="preserve">  </w:t>
            </w:r>
            <w:r>
              <w:rPr>
                <w:b/>
                <w:szCs w:val="21"/>
                <w:highlight w:val="none"/>
              </w:rPr>
              <w:t>非正常工况项目废气产生及排放情况统计表</w:t>
            </w:r>
          </w:p>
          <w:tbl>
            <w:tblPr>
              <w:tblStyle w:val="40"/>
              <w:tblW w:w="13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37"/>
              <w:gridCol w:w="1093"/>
              <w:gridCol w:w="1409"/>
              <w:gridCol w:w="1427"/>
              <w:gridCol w:w="1820"/>
              <w:gridCol w:w="1630"/>
              <w:gridCol w:w="1165"/>
              <w:gridCol w:w="1096"/>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noWrap/>
                  <w:vAlign w:val="center"/>
                </w:tcPr>
                <w:p>
                  <w:pPr>
                    <w:widowControl/>
                    <w:snapToGrid w:val="0"/>
                    <w:jc w:val="center"/>
                    <w:rPr>
                      <w:szCs w:val="21"/>
                      <w:highlight w:val="none"/>
                    </w:rPr>
                  </w:pPr>
                  <w:r>
                    <w:rPr>
                      <w:szCs w:val="21"/>
                      <w:highlight w:val="none"/>
                    </w:rPr>
                    <w:t>序号</w:t>
                  </w:r>
                </w:p>
              </w:tc>
              <w:tc>
                <w:tcPr>
                  <w:tcW w:w="1183" w:type="dxa"/>
                  <w:noWrap/>
                  <w:vAlign w:val="center"/>
                </w:tcPr>
                <w:p>
                  <w:pPr>
                    <w:widowControl/>
                    <w:snapToGrid w:val="0"/>
                    <w:jc w:val="center"/>
                    <w:rPr>
                      <w:szCs w:val="21"/>
                      <w:highlight w:val="none"/>
                    </w:rPr>
                  </w:pPr>
                  <w:r>
                    <w:rPr>
                      <w:rFonts w:hint="eastAsia"/>
                      <w:szCs w:val="21"/>
                      <w:highlight w:val="none"/>
                    </w:rPr>
                    <w:t>工序</w:t>
                  </w:r>
                </w:p>
              </w:tc>
              <w:tc>
                <w:tcPr>
                  <w:tcW w:w="1045" w:type="dxa"/>
                  <w:noWrap/>
                  <w:vAlign w:val="center"/>
                </w:tcPr>
                <w:p>
                  <w:pPr>
                    <w:widowControl/>
                    <w:snapToGrid w:val="0"/>
                    <w:jc w:val="center"/>
                    <w:rPr>
                      <w:szCs w:val="21"/>
                      <w:highlight w:val="none"/>
                    </w:rPr>
                  </w:pPr>
                  <w:r>
                    <w:rPr>
                      <w:rFonts w:hint="eastAsia"/>
                      <w:szCs w:val="21"/>
                      <w:highlight w:val="none"/>
                    </w:rPr>
                    <w:t>排气筒</w:t>
                  </w:r>
                </w:p>
              </w:tc>
              <w:tc>
                <w:tcPr>
                  <w:tcW w:w="1348" w:type="dxa"/>
                  <w:noWrap/>
                  <w:vAlign w:val="center"/>
                </w:tcPr>
                <w:p>
                  <w:pPr>
                    <w:widowControl/>
                    <w:snapToGrid w:val="0"/>
                    <w:jc w:val="center"/>
                    <w:rPr>
                      <w:szCs w:val="21"/>
                      <w:highlight w:val="none"/>
                    </w:rPr>
                  </w:pPr>
                  <w:r>
                    <w:rPr>
                      <w:szCs w:val="21"/>
                      <w:highlight w:val="none"/>
                    </w:rPr>
                    <w:t>非正常排放原因</w:t>
                  </w:r>
                </w:p>
              </w:tc>
              <w:tc>
                <w:tcPr>
                  <w:tcW w:w="1365" w:type="dxa"/>
                  <w:noWrap/>
                  <w:vAlign w:val="center"/>
                </w:tcPr>
                <w:p>
                  <w:pPr>
                    <w:widowControl/>
                    <w:snapToGrid w:val="0"/>
                    <w:jc w:val="center"/>
                    <w:rPr>
                      <w:szCs w:val="21"/>
                      <w:highlight w:val="none"/>
                    </w:rPr>
                  </w:pPr>
                  <w:r>
                    <w:rPr>
                      <w:szCs w:val="21"/>
                      <w:highlight w:val="none"/>
                    </w:rPr>
                    <w:t>污染物</w:t>
                  </w:r>
                </w:p>
              </w:tc>
              <w:tc>
                <w:tcPr>
                  <w:tcW w:w="1741" w:type="dxa"/>
                  <w:noWrap/>
                  <w:vAlign w:val="center"/>
                </w:tcPr>
                <w:p>
                  <w:pPr>
                    <w:widowControl/>
                    <w:snapToGrid w:val="0"/>
                    <w:jc w:val="center"/>
                    <w:rPr>
                      <w:szCs w:val="21"/>
                      <w:highlight w:val="none"/>
                    </w:rPr>
                  </w:pPr>
                  <w:r>
                    <w:rPr>
                      <w:szCs w:val="21"/>
                      <w:highlight w:val="none"/>
                    </w:rPr>
                    <w:t>非正常排放浓度/（</w:t>
                  </w:r>
                  <w:r>
                    <w:rPr>
                      <w:rFonts w:hint="eastAsia"/>
                      <w:szCs w:val="21"/>
                      <w:highlight w:val="none"/>
                    </w:rPr>
                    <w:t>m</w:t>
                  </w:r>
                  <w:r>
                    <w:rPr>
                      <w:szCs w:val="21"/>
                      <w:highlight w:val="none"/>
                    </w:rPr>
                    <w:t>g/m</w:t>
                  </w:r>
                  <w:r>
                    <w:rPr>
                      <w:szCs w:val="21"/>
                      <w:highlight w:val="none"/>
                      <w:vertAlign w:val="superscript"/>
                    </w:rPr>
                    <w:t>3</w:t>
                  </w:r>
                  <w:r>
                    <w:rPr>
                      <w:szCs w:val="21"/>
                      <w:highlight w:val="none"/>
                    </w:rPr>
                    <w:t>）</w:t>
                  </w:r>
                </w:p>
              </w:tc>
              <w:tc>
                <w:tcPr>
                  <w:tcW w:w="1559" w:type="dxa"/>
                  <w:noWrap/>
                  <w:vAlign w:val="center"/>
                </w:tcPr>
                <w:p>
                  <w:pPr>
                    <w:widowControl/>
                    <w:snapToGrid w:val="0"/>
                    <w:jc w:val="center"/>
                    <w:rPr>
                      <w:szCs w:val="21"/>
                      <w:highlight w:val="none"/>
                    </w:rPr>
                  </w:pPr>
                  <w:r>
                    <w:rPr>
                      <w:szCs w:val="21"/>
                      <w:highlight w:val="none"/>
                    </w:rPr>
                    <w:t>非正常排放速率/（kg/h）</w:t>
                  </w:r>
                </w:p>
              </w:tc>
              <w:tc>
                <w:tcPr>
                  <w:tcW w:w="1114" w:type="dxa"/>
                  <w:noWrap/>
                  <w:vAlign w:val="center"/>
                </w:tcPr>
                <w:p>
                  <w:pPr>
                    <w:widowControl/>
                    <w:snapToGrid w:val="0"/>
                    <w:jc w:val="center"/>
                    <w:rPr>
                      <w:szCs w:val="21"/>
                      <w:highlight w:val="none"/>
                    </w:rPr>
                  </w:pPr>
                  <w:r>
                    <w:rPr>
                      <w:szCs w:val="21"/>
                      <w:highlight w:val="none"/>
                    </w:rPr>
                    <w:t>单次持续时间/h</w:t>
                  </w:r>
                </w:p>
              </w:tc>
              <w:tc>
                <w:tcPr>
                  <w:tcW w:w="1048" w:type="dxa"/>
                  <w:noWrap/>
                  <w:vAlign w:val="center"/>
                </w:tcPr>
                <w:p>
                  <w:pPr>
                    <w:widowControl/>
                    <w:snapToGrid w:val="0"/>
                    <w:jc w:val="center"/>
                    <w:rPr>
                      <w:szCs w:val="21"/>
                      <w:highlight w:val="none"/>
                    </w:rPr>
                  </w:pPr>
                  <w:r>
                    <w:rPr>
                      <w:szCs w:val="21"/>
                      <w:highlight w:val="none"/>
                    </w:rPr>
                    <w:t>每年发生频次/次</w:t>
                  </w:r>
                </w:p>
              </w:tc>
              <w:tc>
                <w:tcPr>
                  <w:tcW w:w="1362" w:type="dxa"/>
                  <w:noWrap/>
                  <w:vAlign w:val="center"/>
                </w:tcPr>
                <w:p>
                  <w:pPr>
                    <w:widowControl/>
                    <w:snapToGrid w:val="0"/>
                    <w:jc w:val="center"/>
                    <w:rPr>
                      <w:szCs w:val="21"/>
                      <w:highlight w:val="none"/>
                    </w:rPr>
                  </w:pPr>
                  <w:r>
                    <w:rPr>
                      <w:szCs w:val="21"/>
                      <w:highlight w:val="none"/>
                    </w:rPr>
                    <w:t>应对</w:t>
                  </w:r>
                </w:p>
                <w:p>
                  <w:pPr>
                    <w:widowControl/>
                    <w:snapToGrid w:val="0"/>
                    <w:jc w:val="center"/>
                    <w:rPr>
                      <w:szCs w:val="21"/>
                      <w:highlight w:val="none"/>
                    </w:rPr>
                  </w:pPr>
                  <w:r>
                    <w:rPr>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restart"/>
                  <w:noWrap/>
                  <w:vAlign w:val="center"/>
                </w:tcPr>
                <w:p>
                  <w:pPr>
                    <w:widowControl/>
                    <w:snapToGrid w:val="0"/>
                    <w:jc w:val="center"/>
                    <w:rPr>
                      <w:rFonts w:hint="eastAsia"/>
                      <w:szCs w:val="21"/>
                      <w:highlight w:val="none"/>
                    </w:rPr>
                  </w:pPr>
                  <w:r>
                    <w:rPr>
                      <w:rFonts w:hint="eastAsia"/>
                      <w:szCs w:val="21"/>
                      <w:highlight w:val="none"/>
                    </w:rPr>
                    <w:t>1</w:t>
                  </w:r>
                </w:p>
              </w:tc>
              <w:tc>
                <w:tcPr>
                  <w:tcW w:w="1183" w:type="dxa"/>
                  <w:vMerge w:val="restart"/>
                  <w:noWrap/>
                  <w:vAlign w:val="center"/>
                </w:tcPr>
                <w:p>
                  <w:pPr>
                    <w:widowControl/>
                    <w:snapToGrid w:val="0"/>
                    <w:jc w:val="center"/>
                    <w:rPr>
                      <w:rFonts w:hint="eastAsia" w:eastAsia="宋体"/>
                      <w:szCs w:val="21"/>
                      <w:highlight w:val="none"/>
                      <w:lang w:eastAsia="zh-CN"/>
                    </w:rPr>
                  </w:pPr>
                  <w:r>
                    <w:rPr>
                      <w:rFonts w:hint="eastAsia"/>
                      <w:szCs w:val="21"/>
                      <w:highlight w:val="none"/>
                      <w:lang w:eastAsia="zh-CN"/>
                    </w:rPr>
                    <w:t>加弹废气</w:t>
                  </w:r>
                </w:p>
              </w:tc>
              <w:tc>
                <w:tcPr>
                  <w:tcW w:w="1045" w:type="dxa"/>
                  <w:vMerge w:val="restart"/>
                  <w:noWrap/>
                  <w:vAlign w:val="center"/>
                </w:tcPr>
                <w:p>
                  <w:pPr>
                    <w:widowControl/>
                    <w:snapToGrid w:val="0"/>
                    <w:jc w:val="center"/>
                    <w:rPr>
                      <w:szCs w:val="21"/>
                      <w:highlight w:val="none"/>
                    </w:rPr>
                  </w:pPr>
                  <w:r>
                    <w:rPr>
                      <w:rFonts w:hint="eastAsia"/>
                      <w:szCs w:val="21"/>
                      <w:highlight w:val="none"/>
                    </w:rPr>
                    <w:t>DA001</w:t>
                  </w:r>
                </w:p>
              </w:tc>
              <w:tc>
                <w:tcPr>
                  <w:tcW w:w="1348" w:type="dxa"/>
                  <w:vMerge w:val="restart"/>
                  <w:noWrap/>
                  <w:vAlign w:val="center"/>
                </w:tcPr>
                <w:p>
                  <w:pPr>
                    <w:jc w:val="center"/>
                    <w:rPr>
                      <w:szCs w:val="21"/>
                      <w:highlight w:val="none"/>
                    </w:rPr>
                  </w:pPr>
                  <w:r>
                    <w:rPr>
                      <w:rFonts w:hint="eastAsia"/>
                      <w:szCs w:val="21"/>
                      <w:highlight w:val="none"/>
                      <w:lang w:val="en-US" w:eastAsia="zh-CN"/>
                    </w:rPr>
                    <w:t>冷却+</w:t>
                  </w:r>
                  <w:r>
                    <w:rPr>
                      <w:rFonts w:hint="eastAsia"/>
                      <w:szCs w:val="21"/>
                      <w:highlight w:val="none"/>
                      <w:lang w:eastAsia="zh-CN"/>
                    </w:rPr>
                    <w:t>水喷淋</w:t>
                  </w:r>
                  <w:r>
                    <w:rPr>
                      <w:rFonts w:hint="eastAsia"/>
                      <w:szCs w:val="21"/>
                      <w:highlight w:val="none"/>
                      <w:lang w:val="en-US" w:eastAsia="zh-CN"/>
                    </w:rPr>
                    <w:t>+</w:t>
                  </w:r>
                  <w:r>
                    <w:rPr>
                      <w:rFonts w:hint="eastAsia"/>
                      <w:szCs w:val="21"/>
                      <w:highlight w:val="none"/>
                    </w:rPr>
                    <w:t>油烟净化器</w:t>
                  </w:r>
                  <w:r>
                    <w:rPr>
                      <w:szCs w:val="21"/>
                      <w:highlight w:val="none"/>
                    </w:rPr>
                    <w:t>效率降低</w:t>
                  </w:r>
                </w:p>
              </w:tc>
              <w:tc>
                <w:tcPr>
                  <w:tcW w:w="1365" w:type="dxa"/>
                  <w:noWrap/>
                  <w:vAlign w:val="center"/>
                </w:tcPr>
                <w:p>
                  <w:pPr>
                    <w:jc w:val="center"/>
                    <w:rPr>
                      <w:rFonts w:hint="eastAsia" w:eastAsia="宋体"/>
                      <w:szCs w:val="21"/>
                      <w:highlight w:val="none"/>
                      <w:lang w:eastAsia="zh-CN"/>
                    </w:rPr>
                  </w:pPr>
                  <w:r>
                    <w:rPr>
                      <w:rFonts w:hint="eastAsia"/>
                      <w:szCs w:val="21"/>
                      <w:highlight w:val="none"/>
                      <w:lang w:eastAsia="zh-CN"/>
                    </w:rPr>
                    <w:t>非甲烷总烃</w:t>
                  </w:r>
                </w:p>
              </w:tc>
              <w:tc>
                <w:tcPr>
                  <w:tcW w:w="1741" w:type="dxa"/>
                  <w:noWrap/>
                  <w:vAlign w:val="center"/>
                </w:tcPr>
                <w:p>
                  <w:pPr>
                    <w:snapToGrid w:val="0"/>
                    <w:jc w:val="center"/>
                    <w:rPr>
                      <w:rFonts w:hint="default" w:eastAsia="宋体"/>
                      <w:szCs w:val="21"/>
                      <w:highlight w:val="none"/>
                      <w:lang w:val="en-US" w:eastAsia="zh-CN"/>
                    </w:rPr>
                  </w:pPr>
                  <w:r>
                    <w:rPr>
                      <w:rFonts w:hint="eastAsia"/>
                      <w:szCs w:val="21"/>
                      <w:highlight w:val="none"/>
                      <w:lang w:val="en-US" w:eastAsia="zh-CN"/>
                    </w:rPr>
                    <w:t>9.4</w:t>
                  </w:r>
                </w:p>
              </w:tc>
              <w:tc>
                <w:tcPr>
                  <w:tcW w:w="1559" w:type="dxa"/>
                  <w:noWrap/>
                  <w:vAlign w:val="center"/>
                </w:tcPr>
                <w:p>
                  <w:pPr>
                    <w:snapToGrid w:val="0"/>
                    <w:jc w:val="center"/>
                    <w:rPr>
                      <w:rFonts w:hint="default" w:eastAsia="宋体"/>
                      <w:szCs w:val="21"/>
                      <w:highlight w:val="none"/>
                      <w:lang w:val="en-US" w:eastAsia="zh-CN"/>
                    </w:rPr>
                  </w:pPr>
                  <w:r>
                    <w:rPr>
                      <w:rFonts w:hint="eastAsia"/>
                      <w:szCs w:val="21"/>
                      <w:highlight w:val="none"/>
                      <w:lang w:val="en-US" w:eastAsia="zh-CN"/>
                    </w:rPr>
                    <w:t>0.047</w:t>
                  </w:r>
                </w:p>
              </w:tc>
              <w:tc>
                <w:tcPr>
                  <w:tcW w:w="1114" w:type="dxa"/>
                  <w:vMerge w:val="restart"/>
                  <w:noWrap/>
                  <w:vAlign w:val="center"/>
                </w:tcPr>
                <w:p>
                  <w:pPr>
                    <w:widowControl/>
                    <w:snapToGrid w:val="0"/>
                    <w:jc w:val="center"/>
                    <w:rPr>
                      <w:rFonts w:hint="eastAsia"/>
                      <w:szCs w:val="21"/>
                      <w:highlight w:val="none"/>
                    </w:rPr>
                  </w:pPr>
                  <w:r>
                    <w:rPr>
                      <w:rFonts w:hint="eastAsia"/>
                      <w:szCs w:val="21"/>
                      <w:highlight w:val="none"/>
                    </w:rPr>
                    <w:t>0.5</w:t>
                  </w:r>
                </w:p>
              </w:tc>
              <w:tc>
                <w:tcPr>
                  <w:tcW w:w="1048" w:type="dxa"/>
                  <w:vMerge w:val="restart"/>
                  <w:noWrap/>
                  <w:vAlign w:val="center"/>
                </w:tcPr>
                <w:p>
                  <w:pPr>
                    <w:widowControl/>
                    <w:snapToGrid w:val="0"/>
                    <w:jc w:val="center"/>
                    <w:rPr>
                      <w:rFonts w:hint="eastAsia"/>
                      <w:szCs w:val="21"/>
                      <w:highlight w:val="none"/>
                    </w:rPr>
                  </w:pPr>
                  <w:r>
                    <w:rPr>
                      <w:rFonts w:hint="eastAsia"/>
                      <w:szCs w:val="21"/>
                      <w:highlight w:val="none"/>
                    </w:rPr>
                    <w:t>2</w:t>
                  </w:r>
                </w:p>
              </w:tc>
              <w:tc>
                <w:tcPr>
                  <w:tcW w:w="1362" w:type="dxa"/>
                  <w:vMerge w:val="restart"/>
                  <w:noWrap/>
                  <w:vAlign w:val="center"/>
                </w:tcPr>
                <w:p>
                  <w:pPr>
                    <w:widowControl/>
                    <w:snapToGrid w:val="0"/>
                    <w:jc w:val="center"/>
                    <w:rPr>
                      <w:rFonts w:hint="eastAsia"/>
                      <w:szCs w:val="21"/>
                      <w:highlight w:val="none"/>
                    </w:rPr>
                  </w:pPr>
                  <w:r>
                    <w:rPr>
                      <w:rFonts w:hint="eastAsia"/>
                      <w:szCs w:val="21"/>
                      <w:highlight w:val="none"/>
                    </w:rPr>
                    <w:t>停止生产，更换油烟净化器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ign w:val="center"/>
                </w:tcPr>
                <w:p>
                  <w:pPr>
                    <w:widowControl/>
                    <w:snapToGrid w:val="0"/>
                    <w:jc w:val="center"/>
                    <w:rPr>
                      <w:rFonts w:hint="eastAsia"/>
                      <w:szCs w:val="21"/>
                      <w:highlight w:val="none"/>
                    </w:rPr>
                  </w:pPr>
                </w:p>
              </w:tc>
              <w:tc>
                <w:tcPr>
                  <w:tcW w:w="1183" w:type="dxa"/>
                  <w:vMerge w:val="continue"/>
                  <w:noWrap/>
                  <w:vAlign w:val="center"/>
                </w:tcPr>
                <w:p>
                  <w:pPr>
                    <w:widowControl/>
                    <w:snapToGrid w:val="0"/>
                    <w:jc w:val="center"/>
                    <w:rPr>
                      <w:rFonts w:hint="eastAsia"/>
                      <w:szCs w:val="21"/>
                      <w:highlight w:val="none"/>
                    </w:rPr>
                  </w:pPr>
                </w:p>
              </w:tc>
              <w:tc>
                <w:tcPr>
                  <w:tcW w:w="1045" w:type="dxa"/>
                  <w:vMerge w:val="continue"/>
                  <w:noWrap/>
                  <w:vAlign w:val="center"/>
                </w:tcPr>
                <w:p>
                  <w:pPr>
                    <w:widowControl/>
                    <w:snapToGrid w:val="0"/>
                    <w:jc w:val="center"/>
                    <w:rPr>
                      <w:rFonts w:hint="eastAsia"/>
                      <w:szCs w:val="21"/>
                      <w:highlight w:val="none"/>
                    </w:rPr>
                  </w:pPr>
                </w:p>
              </w:tc>
              <w:tc>
                <w:tcPr>
                  <w:tcW w:w="1348" w:type="dxa"/>
                  <w:vMerge w:val="continue"/>
                  <w:noWrap/>
                  <w:vAlign w:val="center"/>
                </w:tcPr>
                <w:p>
                  <w:pPr>
                    <w:jc w:val="center"/>
                    <w:rPr>
                      <w:rFonts w:hint="eastAsia"/>
                      <w:szCs w:val="21"/>
                      <w:highlight w:val="none"/>
                    </w:rPr>
                  </w:pPr>
                </w:p>
              </w:tc>
              <w:tc>
                <w:tcPr>
                  <w:tcW w:w="1365" w:type="dxa"/>
                  <w:noWrap/>
                  <w:vAlign w:val="center"/>
                </w:tcPr>
                <w:p>
                  <w:pPr>
                    <w:jc w:val="center"/>
                    <w:rPr>
                      <w:rFonts w:hint="eastAsia"/>
                      <w:szCs w:val="21"/>
                      <w:highlight w:val="none"/>
                    </w:rPr>
                  </w:pPr>
                  <w:r>
                    <w:rPr>
                      <w:rFonts w:hint="eastAsia"/>
                      <w:szCs w:val="21"/>
                      <w:highlight w:val="none"/>
                    </w:rPr>
                    <w:t>臭气浓度</w:t>
                  </w:r>
                </w:p>
              </w:tc>
              <w:tc>
                <w:tcPr>
                  <w:tcW w:w="1741" w:type="dxa"/>
                  <w:noWrap/>
                  <w:vAlign w:val="center"/>
                </w:tcPr>
                <w:p>
                  <w:pPr>
                    <w:snapToGrid w:val="0"/>
                    <w:jc w:val="center"/>
                    <w:rPr>
                      <w:szCs w:val="21"/>
                      <w:highlight w:val="none"/>
                    </w:rPr>
                  </w:pPr>
                  <w:r>
                    <w:rPr>
                      <w:rFonts w:hint="eastAsia"/>
                      <w:szCs w:val="21"/>
                      <w:highlight w:val="none"/>
                      <w:lang w:val="en-US" w:eastAsia="zh-CN"/>
                    </w:rPr>
                    <w:t>225</w:t>
                  </w:r>
                  <w:r>
                    <w:rPr>
                      <w:rFonts w:hint="eastAsia"/>
                      <w:szCs w:val="21"/>
                      <w:highlight w:val="none"/>
                    </w:rPr>
                    <w:t>（无量纲）</w:t>
                  </w:r>
                </w:p>
              </w:tc>
              <w:tc>
                <w:tcPr>
                  <w:tcW w:w="1559" w:type="dxa"/>
                  <w:noWrap/>
                  <w:vAlign w:val="center"/>
                </w:tcPr>
                <w:p>
                  <w:pPr>
                    <w:snapToGrid w:val="0"/>
                    <w:jc w:val="center"/>
                    <w:rPr>
                      <w:szCs w:val="21"/>
                      <w:highlight w:val="none"/>
                    </w:rPr>
                  </w:pPr>
                  <w:r>
                    <w:rPr>
                      <w:rFonts w:hint="eastAsia"/>
                      <w:szCs w:val="21"/>
                      <w:highlight w:val="none"/>
                    </w:rPr>
                    <w:t>/</w:t>
                  </w:r>
                </w:p>
              </w:tc>
              <w:tc>
                <w:tcPr>
                  <w:tcW w:w="1114" w:type="dxa"/>
                  <w:vMerge w:val="continue"/>
                  <w:noWrap/>
                  <w:vAlign w:val="center"/>
                </w:tcPr>
                <w:p>
                  <w:pPr>
                    <w:widowControl/>
                    <w:snapToGrid w:val="0"/>
                    <w:jc w:val="center"/>
                    <w:rPr>
                      <w:rFonts w:hint="eastAsia"/>
                      <w:szCs w:val="21"/>
                      <w:highlight w:val="none"/>
                    </w:rPr>
                  </w:pPr>
                </w:p>
              </w:tc>
              <w:tc>
                <w:tcPr>
                  <w:tcW w:w="1048" w:type="dxa"/>
                  <w:vMerge w:val="continue"/>
                  <w:noWrap/>
                  <w:vAlign w:val="center"/>
                </w:tcPr>
                <w:p>
                  <w:pPr>
                    <w:widowControl/>
                    <w:snapToGrid w:val="0"/>
                    <w:jc w:val="center"/>
                    <w:rPr>
                      <w:rFonts w:hint="eastAsia"/>
                      <w:szCs w:val="21"/>
                      <w:highlight w:val="none"/>
                    </w:rPr>
                  </w:pPr>
                </w:p>
              </w:tc>
              <w:tc>
                <w:tcPr>
                  <w:tcW w:w="1362" w:type="dxa"/>
                  <w:vMerge w:val="continue"/>
                  <w:noWrap/>
                  <w:vAlign w:val="center"/>
                </w:tcPr>
                <w:p>
                  <w:pPr>
                    <w:widowControl/>
                    <w:snapToGrid w:val="0"/>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restart"/>
                  <w:noWrap/>
                  <w:vAlign w:val="center"/>
                </w:tcPr>
                <w:p>
                  <w:pPr>
                    <w:widowControl/>
                    <w:snapToGrid w:val="0"/>
                    <w:jc w:val="center"/>
                    <w:rPr>
                      <w:rFonts w:hint="eastAsia" w:eastAsia="宋体"/>
                      <w:szCs w:val="21"/>
                      <w:highlight w:val="none"/>
                      <w:lang w:eastAsia="zh-CN"/>
                    </w:rPr>
                  </w:pPr>
                  <w:r>
                    <w:rPr>
                      <w:rFonts w:hint="eastAsia"/>
                      <w:szCs w:val="21"/>
                      <w:highlight w:val="none"/>
                      <w:lang w:val="en-US" w:eastAsia="zh-CN"/>
                    </w:rPr>
                    <w:t>2</w:t>
                  </w:r>
                </w:p>
              </w:tc>
              <w:tc>
                <w:tcPr>
                  <w:tcW w:w="1183" w:type="dxa"/>
                  <w:vMerge w:val="restart"/>
                  <w:noWrap/>
                  <w:vAlign w:val="center"/>
                </w:tcPr>
                <w:p>
                  <w:pPr>
                    <w:widowControl/>
                    <w:snapToGrid w:val="0"/>
                    <w:jc w:val="center"/>
                    <w:rPr>
                      <w:rFonts w:hint="eastAsia" w:eastAsia="宋体"/>
                      <w:szCs w:val="21"/>
                      <w:highlight w:val="none"/>
                      <w:lang w:eastAsia="zh-CN"/>
                    </w:rPr>
                  </w:pPr>
                  <w:r>
                    <w:rPr>
                      <w:rFonts w:hint="eastAsia"/>
                      <w:szCs w:val="21"/>
                      <w:highlight w:val="none"/>
                      <w:lang w:eastAsia="zh-CN"/>
                    </w:rPr>
                    <w:t>有机废气</w:t>
                  </w:r>
                </w:p>
              </w:tc>
              <w:tc>
                <w:tcPr>
                  <w:tcW w:w="1045" w:type="dxa"/>
                  <w:vMerge w:val="restart"/>
                  <w:noWrap/>
                  <w:vAlign w:val="center"/>
                </w:tcPr>
                <w:p>
                  <w:pPr>
                    <w:widowControl/>
                    <w:snapToGrid w:val="0"/>
                    <w:jc w:val="center"/>
                    <w:rPr>
                      <w:rFonts w:hint="eastAsia" w:eastAsia="宋体"/>
                      <w:szCs w:val="21"/>
                      <w:highlight w:val="none"/>
                      <w:lang w:eastAsia="zh-CN"/>
                    </w:rPr>
                  </w:pPr>
                  <w:r>
                    <w:rPr>
                      <w:rFonts w:hint="eastAsia"/>
                      <w:szCs w:val="21"/>
                      <w:highlight w:val="none"/>
                    </w:rPr>
                    <w:t>DA00</w:t>
                  </w:r>
                  <w:r>
                    <w:rPr>
                      <w:rFonts w:hint="eastAsia"/>
                      <w:szCs w:val="21"/>
                      <w:highlight w:val="none"/>
                      <w:lang w:val="en-US" w:eastAsia="zh-CN"/>
                    </w:rPr>
                    <w:t>2</w:t>
                  </w:r>
                </w:p>
              </w:tc>
              <w:tc>
                <w:tcPr>
                  <w:tcW w:w="1348" w:type="dxa"/>
                  <w:vMerge w:val="continue"/>
                  <w:noWrap/>
                  <w:vAlign w:val="center"/>
                </w:tcPr>
                <w:p>
                  <w:pPr>
                    <w:jc w:val="center"/>
                    <w:rPr>
                      <w:szCs w:val="21"/>
                      <w:highlight w:val="none"/>
                    </w:rPr>
                  </w:pPr>
                </w:p>
              </w:tc>
              <w:tc>
                <w:tcPr>
                  <w:tcW w:w="1365" w:type="dxa"/>
                  <w:noWrap/>
                  <w:vAlign w:val="center"/>
                </w:tcPr>
                <w:p>
                  <w:pPr>
                    <w:jc w:val="center"/>
                    <w:rPr>
                      <w:rFonts w:hint="eastAsia"/>
                      <w:szCs w:val="21"/>
                      <w:highlight w:val="none"/>
                    </w:rPr>
                  </w:pPr>
                  <w:r>
                    <w:rPr>
                      <w:rFonts w:hint="eastAsia"/>
                      <w:szCs w:val="21"/>
                      <w:highlight w:val="none"/>
                      <w:lang w:eastAsia="zh-CN"/>
                    </w:rPr>
                    <w:t>非甲烷总烃</w:t>
                  </w:r>
                </w:p>
              </w:tc>
              <w:tc>
                <w:tcPr>
                  <w:tcW w:w="1741" w:type="dxa"/>
                  <w:noWrap/>
                  <w:vAlign w:val="center"/>
                </w:tcPr>
                <w:p>
                  <w:pPr>
                    <w:snapToGrid w:val="0"/>
                    <w:jc w:val="center"/>
                    <w:rPr>
                      <w:rFonts w:hint="default" w:eastAsia="宋体"/>
                      <w:szCs w:val="21"/>
                      <w:highlight w:val="none"/>
                      <w:lang w:val="en-US" w:eastAsia="zh-CN"/>
                    </w:rPr>
                  </w:pPr>
                  <w:r>
                    <w:rPr>
                      <w:rFonts w:hint="eastAsia"/>
                      <w:szCs w:val="21"/>
                      <w:highlight w:val="none"/>
                      <w:lang w:val="en-US" w:eastAsia="zh-CN"/>
                    </w:rPr>
                    <w:t>7</w:t>
                  </w:r>
                </w:p>
              </w:tc>
              <w:tc>
                <w:tcPr>
                  <w:tcW w:w="1559" w:type="dxa"/>
                  <w:noWrap/>
                  <w:vAlign w:val="center"/>
                </w:tcPr>
                <w:p>
                  <w:pPr>
                    <w:snapToGrid w:val="0"/>
                    <w:jc w:val="center"/>
                    <w:rPr>
                      <w:rFonts w:hint="default" w:eastAsia="宋体"/>
                      <w:szCs w:val="21"/>
                      <w:highlight w:val="none"/>
                      <w:lang w:val="en-US" w:eastAsia="zh-CN"/>
                    </w:rPr>
                  </w:pPr>
                  <w:r>
                    <w:rPr>
                      <w:rFonts w:hint="eastAsia"/>
                      <w:szCs w:val="21"/>
                      <w:highlight w:val="none"/>
                      <w:lang w:val="en-US" w:eastAsia="zh-CN"/>
                    </w:rPr>
                    <w:t>0.035</w:t>
                  </w:r>
                </w:p>
              </w:tc>
              <w:tc>
                <w:tcPr>
                  <w:tcW w:w="1114" w:type="dxa"/>
                  <w:vMerge w:val="restart"/>
                  <w:noWrap/>
                  <w:vAlign w:val="center"/>
                </w:tcPr>
                <w:p>
                  <w:pPr>
                    <w:widowControl/>
                    <w:snapToGrid w:val="0"/>
                    <w:jc w:val="center"/>
                    <w:rPr>
                      <w:rFonts w:hint="eastAsia"/>
                      <w:szCs w:val="21"/>
                      <w:highlight w:val="none"/>
                    </w:rPr>
                  </w:pPr>
                  <w:r>
                    <w:rPr>
                      <w:rFonts w:hint="eastAsia"/>
                      <w:szCs w:val="21"/>
                      <w:highlight w:val="none"/>
                    </w:rPr>
                    <w:t>0.5</w:t>
                  </w:r>
                </w:p>
              </w:tc>
              <w:tc>
                <w:tcPr>
                  <w:tcW w:w="1048" w:type="dxa"/>
                  <w:vMerge w:val="restart"/>
                  <w:noWrap/>
                  <w:vAlign w:val="center"/>
                </w:tcPr>
                <w:p>
                  <w:pPr>
                    <w:widowControl/>
                    <w:snapToGrid w:val="0"/>
                    <w:jc w:val="center"/>
                    <w:rPr>
                      <w:rFonts w:hint="eastAsia"/>
                      <w:szCs w:val="21"/>
                      <w:highlight w:val="none"/>
                    </w:rPr>
                  </w:pPr>
                  <w:r>
                    <w:rPr>
                      <w:rFonts w:hint="eastAsia"/>
                      <w:szCs w:val="21"/>
                      <w:highlight w:val="none"/>
                    </w:rPr>
                    <w:t>2</w:t>
                  </w:r>
                </w:p>
              </w:tc>
              <w:tc>
                <w:tcPr>
                  <w:tcW w:w="1362" w:type="dxa"/>
                  <w:vMerge w:val="continue"/>
                  <w:noWrap/>
                  <w:vAlign w:val="center"/>
                </w:tcPr>
                <w:p>
                  <w:pPr>
                    <w:widowControl/>
                    <w:snapToGrid w:val="0"/>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ign w:val="center"/>
                </w:tcPr>
                <w:p>
                  <w:pPr>
                    <w:widowControl/>
                    <w:snapToGrid w:val="0"/>
                    <w:jc w:val="center"/>
                    <w:rPr>
                      <w:rFonts w:hint="eastAsia"/>
                      <w:szCs w:val="21"/>
                      <w:highlight w:val="none"/>
                    </w:rPr>
                  </w:pPr>
                </w:p>
              </w:tc>
              <w:tc>
                <w:tcPr>
                  <w:tcW w:w="1183" w:type="dxa"/>
                  <w:vMerge w:val="continue"/>
                  <w:noWrap/>
                  <w:vAlign w:val="center"/>
                </w:tcPr>
                <w:p>
                  <w:pPr>
                    <w:widowControl/>
                    <w:snapToGrid w:val="0"/>
                    <w:jc w:val="center"/>
                    <w:rPr>
                      <w:rFonts w:hint="eastAsia"/>
                      <w:szCs w:val="21"/>
                      <w:highlight w:val="none"/>
                    </w:rPr>
                  </w:pPr>
                </w:p>
              </w:tc>
              <w:tc>
                <w:tcPr>
                  <w:tcW w:w="1045" w:type="dxa"/>
                  <w:vMerge w:val="continue"/>
                  <w:noWrap/>
                  <w:vAlign w:val="center"/>
                </w:tcPr>
                <w:p>
                  <w:pPr>
                    <w:widowControl/>
                    <w:snapToGrid w:val="0"/>
                    <w:jc w:val="center"/>
                    <w:rPr>
                      <w:rFonts w:hint="eastAsia"/>
                      <w:szCs w:val="21"/>
                      <w:highlight w:val="none"/>
                    </w:rPr>
                  </w:pPr>
                </w:p>
              </w:tc>
              <w:tc>
                <w:tcPr>
                  <w:tcW w:w="1348" w:type="dxa"/>
                  <w:vMerge w:val="continue"/>
                  <w:noWrap/>
                  <w:vAlign w:val="center"/>
                </w:tcPr>
                <w:p>
                  <w:pPr>
                    <w:jc w:val="center"/>
                    <w:rPr>
                      <w:szCs w:val="21"/>
                      <w:highlight w:val="none"/>
                    </w:rPr>
                  </w:pPr>
                </w:p>
              </w:tc>
              <w:tc>
                <w:tcPr>
                  <w:tcW w:w="1365" w:type="dxa"/>
                  <w:noWrap/>
                  <w:vAlign w:val="center"/>
                </w:tcPr>
                <w:p>
                  <w:pPr>
                    <w:jc w:val="center"/>
                    <w:rPr>
                      <w:rFonts w:hint="eastAsia"/>
                      <w:szCs w:val="21"/>
                      <w:highlight w:val="none"/>
                    </w:rPr>
                  </w:pPr>
                  <w:r>
                    <w:rPr>
                      <w:rFonts w:hint="eastAsia"/>
                      <w:szCs w:val="21"/>
                      <w:highlight w:val="none"/>
                    </w:rPr>
                    <w:t>臭气浓度</w:t>
                  </w:r>
                </w:p>
              </w:tc>
              <w:tc>
                <w:tcPr>
                  <w:tcW w:w="1741" w:type="dxa"/>
                  <w:noWrap/>
                  <w:vAlign w:val="center"/>
                </w:tcPr>
                <w:p>
                  <w:pPr>
                    <w:snapToGrid w:val="0"/>
                    <w:jc w:val="center"/>
                    <w:rPr>
                      <w:rFonts w:hint="eastAsia"/>
                      <w:szCs w:val="21"/>
                      <w:highlight w:val="none"/>
                    </w:rPr>
                  </w:pPr>
                  <w:r>
                    <w:rPr>
                      <w:rFonts w:hint="eastAsia"/>
                      <w:szCs w:val="21"/>
                      <w:highlight w:val="none"/>
                      <w:lang w:val="en-US" w:eastAsia="zh-CN"/>
                    </w:rPr>
                    <w:t>225</w:t>
                  </w:r>
                  <w:r>
                    <w:rPr>
                      <w:rFonts w:hint="eastAsia"/>
                      <w:szCs w:val="21"/>
                      <w:highlight w:val="none"/>
                    </w:rPr>
                    <w:t>（无量纲）</w:t>
                  </w:r>
                </w:p>
              </w:tc>
              <w:tc>
                <w:tcPr>
                  <w:tcW w:w="1559" w:type="dxa"/>
                  <w:noWrap/>
                  <w:vAlign w:val="center"/>
                </w:tcPr>
                <w:p>
                  <w:pPr>
                    <w:snapToGrid w:val="0"/>
                    <w:jc w:val="center"/>
                    <w:rPr>
                      <w:rFonts w:hint="eastAsia"/>
                      <w:szCs w:val="21"/>
                      <w:highlight w:val="none"/>
                    </w:rPr>
                  </w:pPr>
                  <w:r>
                    <w:rPr>
                      <w:rFonts w:hint="eastAsia"/>
                      <w:szCs w:val="21"/>
                      <w:highlight w:val="none"/>
                    </w:rPr>
                    <w:t>/</w:t>
                  </w:r>
                </w:p>
              </w:tc>
              <w:tc>
                <w:tcPr>
                  <w:tcW w:w="1114" w:type="dxa"/>
                  <w:vMerge w:val="continue"/>
                  <w:noWrap/>
                  <w:vAlign w:val="center"/>
                </w:tcPr>
                <w:p>
                  <w:pPr>
                    <w:widowControl/>
                    <w:snapToGrid w:val="0"/>
                    <w:jc w:val="center"/>
                    <w:rPr>
                      <w:rFonts w:hint="eastAsia"/>
                      <w:szCs w:val="21"/>
                      <w:highlight w:val="none"/>
                    </w:rPr>
                  </w:pPr>
                </w:p>
              </w:tc>
              <w:tc>
                <w:tcPr>
                  <w:tcW w:w="1048" w:type="dxa"/>
                  <w:vMerge w:val="continue"/>
                  <w:noWrap/>
                  <w:vAlign w:val="center"/>
                </w:tcPr>
                <w:p>
                  <w:pPr>
                    <w:widowControl/>
                    <w:snapToGrid w:val="0"/>
                    <w:jc w:val="center"/>
                    <w:rPr>
                      <w:rFonts w:hint="eastAsia"/>
                      <w:szCs w:val="21"/>
                      <w:highlight w:val="none"/>
                    </w:rPr>
                  </w:pPr>
                </w:p>
              </w:tc>
              <w:tc>
                <w:tcPr>
                  <w:tcW w:w="1362" w:type="dxa"/>
                  <w:vMerge w:val="continue"/>
                  <w:noWrap/>
                  <w:vAlign w:val="center"/>
                </w:tcPr>
                <w:p>
                  <w:pPr>
                    <w:widowControl/>
                    <w:snapToGrid w:val="0"/>
                    <w:jc w:val="center"/>
                    <w:rPr>
                      <w:szCs w:val="21"/>
                      <w:highlight w:val="none"/>
                    </w:rPr>
                  </w:pPr>
                </w:p>
              </w:tc>
            </w:tr>
          </w:tbl>
          <w:p>
            <w:pPr>
              <w:adjustRightInd w:val="0"/>
              <w:snapToGrid w:val="0"/>
              <w:spacing w:line="500" w:lineRule="exact"/>
              <w:ind w:firstLine="480" w:firstLineChars="200"/>
              <w:rPr>
                <w:rFonts w:hint="eastAsia"/>
                <w:sz w:val="24"/>
              </w:rPr>
            </w:pPr>
            <w:r>
              <w:rPr>
                <w:rFonts w:hint="eastAsia"/>
                <w:sz w:val="24"/>
                <w:highlight w:val="none"/>
              </w:rPr>
              <w:t>在非正常工况下，排放浓度会有一定程度的增加，企业应加强废气处理设施检修，维护</w:t>
            </w:r>
            <w:r>
              <w:rPr>
                <w:rFonts w:hint="eastAsia"/>
                <w:sz w:val="24"/>
              </w:rPr>
              <w:t>设备正常运行，降低废气处理装置出现非正常工作情况的概率，并制定废气处置装置非正常排放的应急预案，一旦出现非正常排放的情况，应及时采取措施，降低环境影响。</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b/>
                <w:bCs/>
                <w:sz w:val="24"/>
              </w:rPr>
            </w:pPr>
            <w:r>
              <w:rPr>
                <w:rFonts w:hint="eastAsia"/>
                <w:b/>
                <w:bCs/>
                <w:sz w:val="24"/>
                <w:lang w:val="en-US" w:eastAsia="zh-CN"/>
              </w:rPr>
              <w:t>4.2.5</w:t>
            </w:r>
            <w:r>
              <w:rPr>
                <w:rFonts w:hint="eastAsia"/>
                <w:b/>
                <w:bCs/>
                <w:sz w:val="24"/>
              </w:rPr>
              <w:t>废气环境影响分析</w:t>
            </w:r>
          </w:p>
          <w:p>
            <w:pPr>
              <w:spacing w:line="500" w:lineRule="exact"/>
              <w:ind w:firstLine="480" w:firstLineChars="200"/>
              <w:rPr>
                <w:rFonts w:hint="eastAsia"/>
                <w:sz w:val="24"/>
              </w:rPr>
            </w:pPr>
            <w:r>
              <w:rPr>
                <w:rFonts w:hint="eastAsia"/>
                <w:sz w:val="24"/>
              </w:rPr>
              <w:t>根据上文废气达标性分析，本项目对各类废气均采取了各类有效可行的收集、治理措施，废气经收集治理后分别通过</w:t>
            </w:r>
            <w:r>
              <w:rPr>
                <w:rFonts w:hint="eastAsia"/>
                <w:sz w:val="24"/>
                <w:lang w:val="en-US" w:eastAsia="zh-CN"/>
              </w:rPr>
              <w:t>20</w:t>
            </w:r>
            <w:r>
              <w:rPr>
                <w:rFonts w:hint="eastAsia"/>
                <w:sz w:val="24"/>
              </w:rPr>
              <w:t>m高排气筒排放，各类污染物能达到相应排放标准要求。预计本项目建成后对周边大气环境质量影响较小，不会对周边敏感点造成不利影响。</w:t>
            </w:r>
          </w:p>
          <w:p>
            <w:pPr>
              <w:adjustRightInd w:val="0"/>
              <w:snapToGrid w:val="0"/>
              <w:spacing w:line="500" w:lineRule="exact"/>
              <w:rPr>
                <w:b/>
                <w:bCs/>
                <w:sz w:val="24"/>
              </w:rPr>
            </w:pPr>
            <w:r>
              <w:rPr>
                <w:b/>
                <w:bCs/>
                <w:sz w:val="24"/>
              </w:rPr>
              <w:t>4.3.1</w:t>
            </w:r>
            <w:r>
              <w:rPr>
                <w:rFonts w:hAnsi="宋体"/>
                <w:b/>
                <w:bCs/>
                <w:sz w:val="24"/>
              </w:rPr>
              <w:t>废水源强</w:t>
            </w:r>
          </w:p>
          <w:p>
            <w:pPr>
              <w:adjustRightInd w:val="0"/>
              <w:snapToGrid w:val="0"/>
              <w:spacing w:line="500" w:lineRule="exact"/>
              <w:rPr>
                <w:b/>
                <w:bCs/>
                <w:szCs w:val="21"/>
              </w:rPr>
            </w:pPr>
            <w:r>
              <w:rPr>
                <w:b/>
                <w:bCs/>
                <w:sz w:val="24"/>
              </w:rPr>
              <w:t>4.3.1.1</w:t>
            </w:r>
            <w:r>
              <w:rPr>
                <w:rFonts w:hAnsi="宋体"/>
                <w:b/>
                <w:bCs/>
                <w:sz w:val="24"/>
              </w:rPr>
              <w:t>废水源强汇总</w:t>
            </w:r>
          </w:p>
          <w:p>
            <w:pPr>
              <w:adjustRightInd w:val="0"/>
              <w:snapToGrid w:val="0"/>
              <w:spacing w:line="460" w:lineRule="exact"/>
              <w:jc w:val="center"/>
              <w:rPr>
                <w:rFonts w:hAnsi="宋体"/>
                <w:b/>
                <w:bCs/>
                <w:szCs w:val="21"/>
              </w:rPr>
            </w:pPr>
          </w:p>
          <w:p>
            <w:pPr>
              <w:adjustRightInd w:val="0"/>
              <w:snapToGrid w:val="0"/>
              <w:spacing w:line="460" w:lineRule="exact"/>
              <w:jc w:val="center"/>
              <w:rPr>
                <w:rFonts w:hAnsi="宋体"/>
                <w:b/>
                <w:bCs/>
                <w:szCs w:val="21"/>
              </w:rPr>
            </w:pPr>
          </w:p>
          <w:p>
            <w:pPr>
              <w:adjustRightInd w:val="0"/>
              <w:snapToGrid w:val="0"/>
              <w:spacing w:line="460" w:lineRule="exact"/>
              <w:jc w:val="center"/>
              <w:rPr>
                <w:b/>
                <w:bCs/>
                <w:sz w:val="24"/>
              </w:rPr>
            </w:pPr>
            <w:r>
              <w:rPr>
                <w:rFonts w:hAnsi="宋体"/>
                <w:b/>
                <w:bCs/>
                <w:szCs w:val="21"/>
              </w:rPr>
              <w:t>表</w:t>
            </w:r>
            <w:r>
              <w:rPr>
                <w:b/>
                <w:bCs/>
                <w:szCs w:val="21"/>
              </w:rPr>
              <w:t xml:space="preserve">4.3-1  </w:t>
            </w:r>
            <w:r>
              <w:rPr>
                <w:rFonts w:hAnsi="宋体"/>
                <w:b/>
                <w:bCs/>
                <w:szCs w:val="21"/>
              </w:rPr>
              <w:t>项目废水污染源源强核算结果及相关参数一览表</w:t>
            </w:r>
          </w:p>
          <w:tbl>
            <w:tblPr>
              <w:tblStyle w:val="40"/>
              <w:tblW w:w="1303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883"/>
              <w:gridCol w:w="658"/>
              <w:gridCol w:w="657"/>
              <w:gridCol w:w="1218"/>
              <w:gridCol w:w="745"/>
              <w:gridCol w:w="904"/>
              <w:gridCol w:w="913"/>
              <w:gridCol w:w="913"/>
              <w:gridCol w:w="1937"/>
              <w:gridCol w:w="657"/>
              <w:gridCol w:w="914"/>
              <w:gridCol w:w="851"/>
              <w:gridCol w:w="866"/>
              <w:gridCol w:w="9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846" w:type="dxa"/>
                  <w:vMerge w:val="restart"/>
                  <w:noWrap w:val="0"/>
                  <w:vAlign w:val="center"/>
                </w:tcPr>
                <w:p>
                  <w:pPr>
                    <w:tabs>
                      <w:tab w:val="right" w:leader="dot" w:pos="9072"/>
                    </w:tabs>
                    <w:overflowPunct w:val="0"/>
                    <w:adjustRightInd w:val="0"/>
                    <w:snapToGrid w:val="0"/>
                    <w:jc w:val="center"/>
                    <w:rPr>
                      <w:color w:val="auto"/>
                      <w:szCs w:val="21"/>
                      <w:highlight w:val="none"/>
                    </w:rPr>
                  </w:pPr>
                  <w:r>
                    <w:rPr>
                      <w:color w:val="auto"/>
                      <w:szCs w:val="21"/>
                      <w:highlight w:val="none"/>
                    </w:rPr>
                    <w:t>工序/生产线</w:t>
                  </w:r>
                </w:p>
              </w:tc>
              <w:tc>
                <w:tcPr>
                  <w:tcW w:w="629" w:type="dxa"/>
                  <w:vMerge w:val="restart"/>
                  <w:noWrap w:val="0"/>
                  <w:vAlign w:val="center"/>
                </w:tcPr>
                <w:p>
                  <w:pPr>
                    <w:tabs>
                      <w:tab w:val="right" w:leader="dot" w:pos="9072"/>
                    </w:tabs>
                    <w:overflowPunct w:val="0"/>
                    <w:adjustRightInd w:val="0"/>
                    <w:snapToGrid w:val="0"/>
                    <w:jc w:val="center"/>
                    <w:rPr>
                      <w:color w:val="auto"/>
                      <w:szCs w:val="21"/>
                      <w:highlight w:val="none"/>
                    </w:rPr>
                  </w:pPr>
                  <w:r>
                    <w:rPr>
                      <w:color w:val="auto"/>
                      <w:szCs w:val="21"/>
                      <w:highlight w:val="none"/>
                    </w:rPr>
                    <w:t>装置</w:t>
                  </w:r>
                </w:p>
              </w:tc>
              <w:tc>
                <w:tcPr>
                  <w:tcW w:w="628" w:type="dxa"/>
                  <w:vMerge w:val="restart"/>
                  <w:noWrap w:val="0"/>
                  <w:vAlign w:val="center"/>
                </w:tcPr>
                <w:p>
                  <w:pPr>
                    <w:tabs>
                      <w:tab w:val="right" w:leader="dot" w:pos="9072"/>
                    </w:tabs>
                    <w:overflowPunct w:val="0"/>
                    <w:adjustRightInd w:val="0"/>
                    <w:snapToGrid w:val="0"/>
                    <w:jc w:val="center"/>
                    <w:rPr>
                      <w:color w:val="auto"/>
                      <w:szCs w:val="21"/>
                      <w:highlight w:val="none"/>
                    </w:rPr>
                  </w:pPr>
                  <w:r>
                    <w:rPr>
                      <w:color w:val="auto"/>
                      <w:szCs w:val="21"/>
                      <w:highlight w:val="none"/>
                    </w:rPr>
                    <w:t>污染源</w:t>
                  </w:r>
                </w:p>
              </w:tc>
              <w:tc>
                <w:tcPr>
                  <w:tcW w:w="1165" w:type="dxa"/>
                  <w:vMerge w:val="restart"/>
                  <w:noWrap w:val="0"/>
                  <w:vAlign w:val="center"/>
                </w:tcPr>
                <w:p>
                  <w:pPr>
                    <w:tabs>
                      <w:tab w:val="left" w:pos="2471"/>
                      <w:tab w:val="right" w:leader="dot" w:pos="9072"/>
                    </w:tabs>
                    <w:overflowPunct w:val="0"/>
                    <w:adjustRightInd w:val="0"/>
                    <w:snapToGrid w:val="0"/>
                    <w:jc w:val="center"/>
                    <w:rPr>
                      <w:color w:val="auto"/>
                      <w:szCs w:val="21"/>
                      <w:highlight w:val="none"/>
                    </w:rPr>
                  </w:pPr>
                  <w:r>
                    <w:rPr>
                      <w:color w:val="auto"/>
                      <w:szCs w:val="21"/>
                      <w:highlight w:val="none"/>
                    </w:rPr>
                    <w:t>污染物</w:t>
                  </w:r>
                </w:p>
              </w:tc>
              <w:tc>
                <w:tcPr>
                  <w:tcW w:w="3324" w:type="dxa"/>
                  <w:gridSpan w:val="4"/>
                  <w:noWrap w:val="0"/>
                  <w:vAlign w:val="center"/>
                </w:tcPr>
                <w:p>
                  <w:pPr>
                    <w:tabs>
                      <w:tab w:val="right" w:leader="dot" w:pos="9072"/>
                    </w:tabs>
                    <w:overflowPunct w:val="0"/>
                    <w:adjustRightInd w:val="0"/>
                    <w:snapToGrid w:val="0"/>
                    <w:jc w:val="center"/>
                    <w:rPr>
                      <w:color w:val="auto"/>
                      <w:szCs w:val="21"/>
                      <w:highlight w:val="none"/>
                    </w:rPr>
                  </w:pPr>
                  <w:r>
                    <w:rPr>
                      <w:color w:val="auto"/>
                      <w:szCs w:val="21"/>
                      <w:highlight w:val="none"/>
                    </w:rPr>
                    <w:t>污染物产生</w:t>
                  </w:r>
                </w:p>
              </w:tc>
              <w:tc>
                <w:tcPr>
                  <w:tcW w:w="1853" w:type="dxa"/>
                  <w:noWrap w:val="0"/>
                  <w:vAlign w:val="center"/>
                </w:tcPr>
                <w:p>
                  <w:pPr>
                    <w:tabs>
                      <w:tab w:val="right" w:leader="dot" w:pos="9072"/>
                    </w:tabs>
                    <w:overflowPunct w:val="0"/>
                    <w:adjustRightInd w:val="0"/>
                    <w:snapToGrid w:val="0"/>
                    <w:jc w:val="center"/>
                    <w:rPr>
                      <w:color w:val="auto"/>
                      <w:szCs w:val="21"/>
                      <w:highlight w:val="none"/>
                    </w:rPr>
                  </w:pPr>
                  <w:r>
                    <w:rPr>
                      <w:color w:val="auto"/>
                      <w:szCs w:val="21"/>
                      <w:highlight w:val="none"/>
                    </w:rPr>
                    <w:t>治理措施</w:t>
                  </w:r>
                </w:p>
              </w:tc>
              <w:tc>
                <w:tcPr>
                  <w:tcW w:w="3144" w:type="dxa"/>
                  <w:gridSpan w:val="4"/>
                  <w:noWrap w:val="0"/>
                  <w:vAlign w:val="center"/>
                </w:tcPr>
                <w:p>
                  <w:pPr>
                    <w:tabs>
                      <w:tab w:val="right" w:leader="dot" w:pos="9072"/>
                    </w:tabs>
                    <w:overflowPunct w:val="0"/>
                    <w:adjustRightInd w:val="0"/>
                    <w:snapToGrid w:val="0"/>
                    <w:jc w:val="center"/>
                    <w:rPr>
                      <w:color w:val="auto"/>
                      <w:szCs w:val="21"/>
                      <w:highlight w:val="none"/>
                    </w:rPr>
                  </w:pPr>
                  <w:r>
                    <w:rPr>
                      <w:color w:val="auto"/>
                      <w:szCs w:val="21"/>
                      <w:highlight w:val="none"/>
                    </w:rPr>
                    <w:t>污染物排放</w:t>
                  </w:r>
                </w:p>
              </w:tc>
              <w:tc>
                <w:tcPr>
                  <w:tcW w:w="883" w:type="dxa"/>
                  <w:vMerge w:val="restart"/>
                  <w:noWrap w:val="0"/>
                  <w:vAlign w:val="center"/>
                </w:tcPr>
                <w:p>
                  <w:pPr>
                    <w:tabs>
                      <w:tab w:val="right" w:leader="dot" w:pos="9072"/>
                    </w:tabs>
                    <w:overflowPunct w:val="0"/>
                    <w:adjustRightInd w:val="0"/>
                    <w:snapToGrid w:val="0"/>
                    <w:jc w:val="center"/>
                    <w:rPr>
                      <w:color w:val="auto"/>
                      <w:szCs w:val="21"/>
                      <w:highlight w:val="none"/>
                    </w:rPr>
                  </w:pPr>
                  <w:r>
                    <w:rPr>
                      <w:color w:val="auto"/>
                      <w:szCs w:val="21"/>
                      <w:highlight w:val="none"/>
                    </w:rPr>
                    <w:t>排放时间h/a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846"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629" w:type="dxa"/>
                  <w:vMerge w:val="continue"/>
                  <w:noWrap w:val="0"/>
                  <w:vAlign w:val="top"/>
                </w:tcPr>
                <w:p>
                  <w:pPr>
                    <w:tabs>
                      <w:tab w:val="right" w:leader="dot" w:pos="9072"/>
                    </w:tabs>
                    <w:overflowPunct w:val="0"/>
                    <w:adjustRightInd w:val="0"/>
                    <w:snapToGrid w:val="0"/>
                    <w:jc w:val="center"/>
                    <w:rPr>
                      <w:bCs/>
                      <w:color w:val="auto"/>
                      <w:szCs w:val="21"/>
                      <w:highlight w:val="none"/>
                    </w:rPr>
                  </w:pPr>
                </w:p>
              </w:tc>
              <w:tc>
                <w:tcPr>
                  <w:tcW w:w="628"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1165"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713"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核算</w:t>
                  </w:r>
                </w:p>
                <w:p>
                  <w:pPr>
                    <w:tabs>
                      <w:tab w:val="right" w:leader="dot" w:pos="9072"/>
                    </w:tabs>
                    <w:overflowPunct w:val="0"/>
                    <w:adjustRightInd w:val="0"/>
                    <w:snapToGrid w:val="0"/>
                    <w:jc w:val="center"/>
                    <w:rPr>
                      <w:bCs/>
                      <w:color w:val="auto"/>
                      <w:szCs w:val="21"/>
                      <w:highlight w:val="none"/>
                    </w:rPr>
                  </w:pPr>
                  <w:r>
                    <w:rPr>
                      <w:bCs/>
                      <w:color w:val="auto"/>
                      <w:szCs w:val="21"/>
                      <w:highlight w:val="none"/>
                    </w:rPr>
                    <w:t>方法</w:t>
                  </w:r>
                </w:p>
              </w:tc>
              <w:tc>
                <w:tcPr>
                  <w:tcW w:w="865"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废水产生量m</w:t>
                  </w:r>
                  <w:r>
                    <w:rPr>
                      <w:bCs/>
                      <w:color w:val="auto"/>
                      <w:szCs w:val="21"/>
                      <w:highlight w:val="none"/>
                      <w:vertAlign w:val="superscript"/>
                    </w:rPr>
                    <w:t>3</w:t>
                  </w:r>
                  <w:r>
                    <w:rPr>
                      <w:bCs/>
                      <w:color w:val="auto"/>
                      <w:szCs w:val="21"/>
                      <w:highlight w:val="none"/>
                    </w:rPr>
                    <w:t>/h</w:t>
                  </w:r>
                </w:p>
              </w:tc>
              <w:tc>
                <w:tcPr>
                  <w:tcW w:w="873"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产生浓度mg/L</w:t>
                  </w:r>
                </w:p>
              </w:tc>
              <w:tc>
                <w:tcPr>
                  <w:tcW w:w="873"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产生量</w:t>
                  </w:r>
                </w:p>
                <w:p>
                  <w:pPr>
                    <w:tabs>
                      <w:tab w:val="right" w:leader="dot" w:pos="9072"/>
                    </w:tabs>
                    <w:overflowPunct w:val="0"/>
                    <w:adjustRightInd w:val="0"/>
                    <w:snapToGrid w:val="0"/>
                    <w:jc w:val="center"/>
                    <w:rPr>
                      <w:bCs/>
                      <w:color w:val="auto"/>
                      <w:szCs w:val="21"/>
                      <w:highlight w:val="none"/>
                    </w:rPr>
                  </w:pPr>
                  <w:r>
                    <w:rPr>
                      <w:bCs/>
                      <w:color w:val="auto"/>
                      <w:szCs w:val="21"/>
                      <w:highlight w:val="none"/>
                    </w:rPr>
                    <w:t>kg/h</w:t>
                  </w:r>
                </w:p>
              </w:tc>
              <w:tc>
                <w:tcPr>
                  <w:tcW w:w="1853" w:type="dxa"/>
                  <w:noWrap w:val="0"/>
                  <w:vAlign w:val="center"/>
                </w:tcPr>
                <w:p>
                  <w:pPr>
                    <w:tabs>
                      <w:tab w:val="right" w:leader="dot" w:pos="9072"/>
                    </w:tabs>
                    <w:overflowPunct w:val="0"/>
                    <w:adjustRightInd w:val="0"/>
                    <w:snapToGrid w:val="0"/>
                    <w:jc w:val="center"/>
                    <w:rPr>
                      <w:bCs/>
                      <w:color w:val="auto"/>
                      <w:szCs w:val="21"/>
                      <w:highlight w:val="none"/>
                    </w:rPr>
                  </w:pPr>
                  <w:r>
                    <w:rPr>
                      <w:color w:val="auto"/>
                      <w:szCs w:val="21"/>
                      <w:highlight w:val="none"/>
                    </w:rPr>
                    <w:t>工艺</w:t>
                  </w:r>
                </w:p>
              </w:tc>
              <w:tc>
                <w:tcPr>
                  <w:tcW w:w="628"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核算方法</w:t>
                  </w:r>
                </w:p>
              </w:tc>
              <w:tc>
                <w:tcPr>
                  <w:tcW w:w="874"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废水排放量m</w:t>
                  </w:r>
                  <w:r>
                    <w:rPr>
                      <w:bCs/>
                      <w:color w:val="auto"/>
                      <w:szCs w:val="21"/>
                      <w:highlight w:val="none"/>
                      <w:vertAlign w:val="superscript"/>
                    </w:rPr>
                    <w:t>3</w:t>
                  </w:r>
                  <w:r>
                    <w:rPr>
                      <w:bCs/>
                      <w:color w:val="auto"/>
                      <w:szCs w:val="21"/>
                      <w:highlight w:val="none"/>
                    </w:rPr>
                    <w:t>/h</w:t>
                  </w:r>
                </w:p>
              </w:tc>
              <w:tc>
                <w:tcPr>
                  <w:tcW w:w="814"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排放浓度mg/L</w:t>
                  </w:r>
                </w:p>
              </w:tc>
              <w:tc>
                <w:tcPr>
                  <w:tcW w:w="828"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排放量</w:t>
                  </w:r>
                </w:p>
                <w:p>
                  <w:pPr>
                    <w:tabs>
                      <w:tab w:val="right" w:leader="dot" w:pos="9072"/>
                    </w:tabs>
                    <w:overflowPunct w:val="0"/>
                    <w:adjustRightInd w:val="0"/>
                    <w:snapToGrid w:val="0"/>
                    <w:jc w:val="center"/>
                    <w:rPr>
                      <w:bCs/>
                      <w:color w:val="auto"/>
                      <w:szCs w:val="21"/>
                      <w:highlight w:val="none"/>
                    </w:rPr>
                  </w:pPr>
                  <w:r>
                    <w:rPr>
                      <w:bCs/>
                      <w:color w:val="auto"/>
                      <w:szCs w:val="21"/>
                      <w:highlight w:val="none"/>
                    </w:rPr>
                    <w:t>kg/h</w:t>
                  </w:r>
                </w:p>
              </w:tc>
              <w:tc>
                <w:tcPr>
                  <w:tcW w:w="883" w:type="dxa"/>
                  <w:vMerge w:val="continue"/>
                  <w:noWrap w:val="0"/>
                  <w:vAlign w:val="center"/>
                </w:tcPr>
                <w:p>
                  <w:pPr>
                    <w:tabs>
                      <w:tab w:val="right" w:leader="dot" w:pos="9072"/>
                    </w:tabs>
                    <w:overflowPunct w:val="0"/>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846" w:type="dxa"/>
                  <w:vMerge w:val="restart"/>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职工</w:t>
                  </w:r>
                </w:p>
                <w:p>
                  <w:pPr>
                    <w:tabs>
                      <w:tab w:val="right" w:leader="dot" w:pos="9072"/>
                    </w:tabs>
                    <w:overflowPunct w:val="0"/>
                    <w:adjustRightInd w:val="0"/>
                    <w:snapToGrid w:val="0"/>
                    <w:jc w:val="center"/>
                    <w:rPr>
                      <w:bCs/>
                      <w:color w:val="auto"/>
                      <w:szCs w:val="21"/>
                      <w:highlight w:val="none"/>
                    </w:rPr>
                  </w:pPr>
                  <w:r>
                    <w:rPr>
                      <w:bCs/>
                      <w:color w:val="auto"/>
                      <w:szCs w:val="21"/>
                      <w:highlight w:val="none"/>
                    </w:rPr>
                    <w:t>生活</w:t>
                  </w:r>
                </w:p>
              </w:tc>
              <w:tc>
                <w:tcPr>
                  <w:tcW w:w="629" w:type="dxa"/>
                  <w:vMerge w:val="restart"/>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职工生活</w:t>
                  </w:r>
                </w:p>
              </w:tc>
              <w:tc>
                <w:tcPr>
                  <w:tcW w:w="628" w:type="dxa"/>
                  <w:vMerge w:val="restart"/>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生活污水</w:t>
                  </w:r>
                </w:p>
              </w:tc>
              <w:tc>
                <w:tcPr>
                  <w:tcW w:w="1165" w:type="dxa"/>
                  <w:noWrap w:val="0"/>
                  <w:vAlign w:val="center"/>
                </w:tcPr>
                <w:p>
                  <w:pPr>
                    <w:adjustRightInd w:val="0"/>
                    <w:snapToGrid w:val="0"/>
                    <w:jc w:val="center"/>
                    <w:rPr>
                      <w:bCs/>
                      <w:color w:val="auto"/>
                      <w:szCs w:val="21"/>
                      <w:highlight w:val="none"/>
                    </w:rPr>
                  </w:pPr>
                  <w:r>
                    <w:rPr>
                      <w:color w:val="auto"/>
                      <w:szCs w:val="21"/>
                      <w:highlight w:val="none"/>
                    </w:rPr>
                    <w:t>COD</w:t>
                  </w:r>
                  <w:r>
                    <w:rPr>
                      <w:color w:val="auto"/>
                      <w:szCs w:val="21"/>
                      <w:highlight w:val="none"/>
                      <w:vertAlign w:val="subscript"/>
                    </w:rPr>
                    <w:t>Cr</w:t>
                  </w:r>
                </w:p>
              </w:tc>
              <w:tc>
                <w:tcPr>
                  <w:tcW w:w="713" w:type="dxa"/>
                  <w:vMerge w:val="restart"/>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类比法</w:t>
                  </w:r>
                </w:p>
              </w:tc>
              <w:tc>
                <w:tcPr>
                  <w:tcW w:w="865" w:type="dxa"/>
                  <w:vMerge w:val="restart"/>
                  <w:noWrap w:val="0"/>
                  <w:vAlign w:val="center"/>
                </w:tcPr>
                <w:p>
                  <w:pPr>
                    <w:tabs>
                      <w:tab w:val="right" w:leader="dot" w:pos="9072"/>
                    </w:tabs>
                    <w:overflowPunct w:val="0"/>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0.167</w:t>
                  </w:r>
                </w:p>
              </w:tc>
              <w:tc>
                <w:tcPr>
                  <w:tcW w:w="873" w:type="dxa"/>
                  <w:noWrap w:val="0"/>
                  <w:vAlign w:val="center"/>
                </w:tcPr>
                <w:p>
                  <w:pPr>
                    <w:adjustRightInd w:val="0"/>
                    <w:snapToGrid w:val="0"/>
                    <w:jc w:val="center"/>
                    <w:rPr>
                      <w:bCs/>
                      <w:color w:val="auto"/>
                      <w:szCs w:val="21"/>
                      <w:highlight w:val="none"/>
                    </w:rPr>
                  </w:pPr>
                  <w:r>
                    <w:rPr>
                      <w:color w:val="auto"/>
                      <w:szCs w:val="21"/>
                      <w:highlight w:val="none"/>
                    </w:rPr>
                    <w:t>300</w:t>
                  </w:r>
                </w:p>
              </w:tc>
              <w:tc>
                <w:tcPr>
                  <w:tcW w:w="873" w:type="dxa"/>
                  <w:noWrap w:val="0"/>
                  <w:vAlign w:val="center"/>
                </w:tcPr>
                <w:p>
                  <w:pPr>
                    <w:widowControl/>
                    <w:adjustRightInd w:val="0"/>
                    <w:snapToGrid w:val="0"/>
                    <w:jc w:val="center"/>
                    <w:textAlignment w:val="center"/>
                    <w:rPr>
                      <w:rFonts w:hint="default" w:eastAsia="宋体"/>
                      <w:bCs/>
                      <w:color w:val="auto"/>
                      <w:szCs w:val="21"/>
                      <w:highlight w:val="none"/>
                      <w:lang w:val="en-US" w:eastAsia="zh-CN"/>
                    </w:rPr>
                  </w:pPr>
                  <w:r>
                    <w:rPr>
                      <w:rFonts w:hint="eastAsia"/>
                      <w:bCs/>
                      <w:color w:val="auto"/>
                      <w:szCs w:val="21"/>
                      <w:highlight w:val="none"/>
                      <w:lang w:val="en-US" w:eastAsia="zh-CN"/>
                    </w:rPr>
                    <w:t>0.05</w:t>
                  </w:r>
                </w:p>
              </w:tc>
              <w:tc>
                <w:tcPr>
                  <w:tcW w:w="1853" w:type="dxa"/>
                  <w:vMerge w:val="restart"/>
                  <w:noWrap w:val="0"/>
                  <w:vAlign w:val="center"/>
                </w:tcPr>
                <w:p>
                  <w:pPr>
                    <w:tabs>
                      <w:tab w:val="right" w:leader="dot" w:pos="9072"/>
                    </w:tabs>
                    <w:overflowPunct w:val="0"/>
                    <w:adjustRightInd w:val="0"/>
                    <w:snapToGrid w:val="0"/>
                    <w:rPr>
                      <w:rFonts w:hint="eastAsia"/>
                      <w:bCs/>
                      <w:color w:val="auto"/>
                      <w:szCs w:val="21"/>
                      <w:highlight w:val="none"/>
                    </w:rPr>
                  </w:pPr>
                  <w:r>
                    <w:rPr>
                      <w:rFonts w:hint="eastAsia"/>
                      <w:bCs/>
                      <w:color w:val="auto"/>
                      <w:szCs w:val="21"/>
                      <w:highlight w:val="none"/>
                    </w:rPr>
                    <w:t>经化粪池预处理后由当地农村生活污水终端系统处理达标后排放</w:t>
                  </w:r>
                </w:p>
              </w:tc>
              <w:tc>
                <w:tcPr>
                  <w:tcW w:w="628" w:type="dxa"/>
                  <w:vMerge w:val="restart"/>
                  <w:noWrap w:val="0"/>
                  <w:vAlign w:val="center"/>
                </w:tcPr>
                <w:p>
                  <w:pPr>
                    <w:overflowPunct w:val="0"/>
                    <w:adjustRightInd w:val="0"/>
                    <w:snapToGrid w:val="0"/>
                    <w:jc w:val="center"/>
                    <w:rPr>
                      <w:bCs/>
                      <w:color w:val="auto"/>
                      <w:szCs w:val="21"/>
                      <w:highlight w:val="none"/>
                    </w:rPr>
                  </w:pPr>
                  <w:r>
                    <w:rPr>
                      <w:bCs/>
                      <w:color w:val="auto"/>
                      <w:szCs w:val="21"/>
                      <w:highlight w:val="none"/>
                    </w:rPr>
                    <w:t>理论</w:t>
                  </w:r>
                </w:p>
                <w:p>
                  <w:pPr>
                    <w:overflowPunct w:val="0"/>
                    <w:adjustRightInd w:val="0"/>
                    <w:snapToGrid w:val="0"/>
                    <w:jc w:val="center"/>
                    <w:rPr>
                      <w:bCs/>
                      <w:color w:val="auto"/>
                      <w:szCs w:val="21"/>
                      <w:highlight w:val="none"/>
                    </w:rPr>
                  </w:pPr>
                  <w:r>
                    <w:rPr>
                      <w:bCs/>
                      <w:color w:val="auto"/>
                      <w:szCs w:val="21"/>
                      <w:highlight w:val="none"/>
                    </w:rPr>
                    <w:t>核算</w:t>
                  </w:r>
                </w:p>
              </w:tc>
              <w:tc>
                <w:tcPr>
                  <w:tcW w:w="874" w:type="dxa"/>
                  <w:vMerge w:val="restart"/>
                  <w:noWrap w:val="0"/>
                  <w:vAlign w:val="center"/>
                </w:tcPr>
                <w:p>
                  <w:pPr>
                    <w:tabs>
                      <w:tab w:val="right" w:leader="dot" w:pos="9072"/>
                    </w:tabs>
                    <w:overflowPunct w:val="0"/>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0.167</w:t>
                  </w:r>
                </w:p>
              </w:tc>
              <w:tc>
                <w:tcPr>
                  <w:tcW w:w="814" w:type="dxa"/>
                  <w:noWrap w:val="0"/>
                  <w:vAlign w:val="center"/>
                </w:tcPr>
                <w:p>
                  <w:pPr>
                    <w:adjustRightInd w:val="0"/>
                    <w:snapToGrid w:val="0"/>
                    <w:jc w:val="center"/>
                    <w:textAlignment w:val="center"/>
                    <w:rPr>
                      <w:rFonts w:hint="default" w:eastAsia="宋体"/>
                      <w:bCs/>
                      <w:color w:val="auto"/>
                      <w:szCs w:val="21"/>
                      <w:highlight w:val="none"/>
                      <w:lang w:val="en-US" w:eastAsia="zh-CN"/>
                    </w:rPr>
                  </w:pPr>
                  <w:r>
                    <w:rPr>
                      <w:rFonts w:hint="eastAsia"/>
                      <w:color w:val="auto"/>
                      <w:szCs w:val="21"/>
                      <w:highlight w:val="none"/>
                      <w:lang w:val="en-US" w:eastAsia="zh-CN"/>
                    </w:rPr>
                    <w:t>100</w:t>
                  </w:r>
                </w:p>
              </w:tc>
              <w:tc>
                <w:tcPr>
                  <w:tcW w:w="828" w:type="dxa"/>
                  <w:noWrap w:val="0"/>
                  <w:vAlign w:val="center"/>
                </w:tcPr>
                <w:p>
                  <w:pPr>
                    <w:widowControl/>
                    <w:adjustRightInd w:val="0"/>
                    <w:snapToGrid w:val="0"/>
                    <w:jc w:val="center"/>
                    <w:textAlignment w:val="center"/>
                    <w:rPr>
                      <w:rFonts w:hint="default" w:eastAsia="宋体"/>
                      <w:bCs/>
                      <w:color w:val="auto"/>
                      <w:szCs w:val="21"/>
                      <w:highlight w:val="none"/>
                      <w:lang w:val="en-US" w:eastAsia="zh-CN"/>
                    </w:rPr>
                  </w:pPr>
                  <w:r>
                    <w:rPr>
                      <w:rFonts w:hint="eastAsia"/>
                      <w:bCs/>
                      <w:color w:val="auto"/>
                      <w:szCs w:val="21"/>
                      <w:highlight w:val="none"/>
                      <w:lang w:val="en-US" w:eastAsia="zh-CN"/>
                    </w:rPr>
                    <w:t>0.017</w:t>
                  </w:r>
                </w:p>
              </w:tc>
              <w:tc>
                <w:tcPr>
                  <w:tcW w:w="883" w:type="dxa"/>
                  <w:vMerge w:val="restart"/>
                  <w:noWrap w:val="0"/>
                  <w:vAlign w:val="center"/>
                </w:tcPr>
                <w:p>
                  <w:pPr>
                    <w:tabs>
                      <w:tab w:val="right" w:leader="dot" w:pos="9072"/>
                    </w:tabs>
                    <w:overflowPunct w:val="0"/>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846"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629" w:type="dxa"/>
                  <w:vMerge w:val="continue"/>
                  <w:noWrap w:val="0"/>
                  <w:vAlign w:val="top"/>
                </w:tcPr>
                <w:p>
                  <w:pPr>
                    <w:tabs>
                      <w:tab w:val="right" w:leader="dot" w:pos="9072"/>
                    </w:tabs>
                    <w:overflowPunct w:val="0"/>
                    <w:adjustRightInd w:val="0"/>
                    <w:snapToGrid w:val="0"/>
                    <w:jc w:val="center"/>
                    <w:rPr>
                      <w:bCs/>
                      <w:color w:val="auto"/>
                      <w:szCs w:val="21"/>
                      <w:highlight w:val="none"/>
                    </w:rPr>
                  </w:pPr>
                </w:p>
              </w:tc>
              <w:tc>
                <w:tcPr>
                  <w:tcW w:w="628"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1165" w:type="dxa"/>
                  <w:noWrap w:val="0"/>
                  <w:vAlign w:val="center"/>
                </w:tcPr>
                <w:p>
                  <w:pPr>
                    <w:tabs>
                      <w:tab w:val="right" w:leader="dot" w:pos="9072"/>
                    </w:tabs>
                    <w:overflowPunct w:val="0"/>
                    <w:adjustRightInd w:val="0"/>
                    <w:snapToGrid w:val="0"/>
                    <w:jc w:val="center"/>
                    <w:rPr>
                      <w:bCs/>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713"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865"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873" w:type="dxa"/>
                  <w:noWrap w:val="0"/>
                  <w:vAlign w:val="center"/>
                </w:tcPr>
                <w:p>
                  <w:pPr>
                    <w:tabs>
                      <w:tab w:val="right" w:leader="dot" w:pos="9072"/>
                    </w:tabs>
                    <w:overflowPunct w:val="0"/>
                    <w:adjustRightInd w:val="0"/>
                    <w:snapToGrid w:val="0"/>
                    <w:jc w:val="center"/>
                    <w:rPr>
                      <w:bCs/>
                      <w:color w:val="auto"/>
                      <w:szCs w:val="21"/>
                      <w:highlight w:val="none"/>
                    </w:rPr>
                  </w:pPr>
                  <w:r>
                    <w:rPr>
                      <w:color w:val="auto"/>
                      <w:szCs w:val="21"/>
                      <w:highlight w:val="none"/>
                    </w:rPr>
                    <w:t>30</w:t>
                  </w:r>
                </w:p>
              </w:tc>
              <w:tc>
                <w:tcPr>
                  <w:tcW w:w="873" w:type="dxa"/>
                  <w:noWrap w:val="0"/>
                  <w:vAlign w:val="center"/>
                </w:tcPr>
                <w:p>
                  <w:pPr>
                    <w:tabs>
                      <w:tab w:val="right" w:leader="dot" w:pos="9072"/>
                    </w:tabs>
                    <w:overflowPunct w:val="0"/>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0.005</w:t>
                  </w:r>
                </w:p>
              </w:tc>
              <w:tc>
                <w:tcPr>
                  <w:tcW w:w="1853" w:type="dxa"/>
                  <w:vMerge w:val="continue"/>
                  <w:noWrap w:val="0"/>
                  <w:vAlign w:val="center"/>
                </w:tcPr>
                <w:p>
                  <w:pPr>
                    <w:tabs>
                      <w:tab w:val="right" w:leader="dot" w:pos="9072"/>
                    </w:tabs>
                    <w:overflowPunct w:val="0"/>
                    <w:adjustRightInd w:val="0"/>
                    <w:snapToGrid w:val="0"/>
                    <w:jc w:val="center"/>
                    <w:rPr>
                      <w:color w:val="auto"/>
                      <w:szCs w:val="21"/>
                      <w:highlight w:val="none"/>
                    </w:rPr>
                  </w:pPr>
                </w:p>
              </w:tc>
              <w:tc>
                <w:tcPr>
                  <w:tcW w:w="628"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874"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814" w:type="dxa"/>
                  <w:noWrap w:val="0"/>
                  <w:vAlign w:val="center"/>
                </w:tcPr>
                <w:p>
                  <w:pPr>
                    <w:adjustRightInd w:val="0"/>
                    <w:snapToGrid w:val="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25（15）</w:t>
                  </w:r>
                </w:p>
              </w:tc>
              <w:tc>
                <w:tcPr>
                  <w:tcW w:w="828" w:type="dxa"/>
                  <w:noWrap w:val="0"/>
                  <w:vAlign w:val="center"/>
                </w:tcPr>
                <w:p>
                  <w:pPr>
                    <w:widowControl/>
                    <w:adjustRightInd w:val="0"/>
                    <w:snapToGrid w:val="0"/>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0.003</w:t>
                  </w:r>
                </w:p>
              </w:tc>
              <w:tc>
                <w:tcPr>
                  <w:tcW w:w="883" w:type="dxa"/>
                  <w:vMerge w:val="continue"/>
                  <w:noWrap w:val="0"/>
                  <w:vAlign w:val="center"/>
                </w:tcPr>
                <w:p>
                  <w:pPr>
                    <w:overflowPunct w:val="0"/>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846" w:type="dxa"/>
                  <w:vMerge w:val="restart"/>
                  <w:noWrap w:val="0"/>
                  <w:vAlign w:val="center"/>
                </w:tcPr>
                <w:p>
                  <w:pPr>
                    <w:tabs>
                      <w:tab w:val="right" w:leader="dot" w:pos="9072"/>
                    </w:tabs>
                    <w:overflowPunct w:val="0"/>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织造</w:t>
                  </w:r>
                </w:p>
              </w:tc>
              <w:tc>
                <w:tcPr>
                  <w:tcW w:w="629" w:type="dxa"/>
                  <w:vMerge w:val="restart"/>
                  <w:noWrap w:val="0"/>
                  <w:vAlign w:val="center"/>
                </w:tcPr>
                <w:p>
                  <w:pPr>
                    <w:tabs>
                      <w:tab w:val="right" w:leader="dot" w:pos="9072"/>
                    </w:tabs>
                    <w:overflowPunct w:val="0"/>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喷水织机</w:t>
                  </w:r>
                </w:p>
              </w:tc>
              <w:tc>
                <w:tcPr>
                  <w:tcW w:w="628" w:type="dxa"/>
                  <w:vMerge w:val="restart"/>
                  <w:noWrap w:val="0"/>
                  <w:vAlign w:val="center"/>
                </w:tcPr>
                <w:p>
                  <w:pPr>
                    <w:tabs>
                      <w:tab w:val="right" w:leader="dot" w:pos="9072"/>
                    </w:tabs>
                    <w:overflowPunct w:val="0"/>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织造废水</w:t>
                  </w:r>
                </w:p>
              </w:tc>
              <w:tc>
                <w:tcPr>
                  <w:tcW w:w="1165" w:type="dxa"/>
                  <w:noWrap w:val="0"/>
                  <w:vAlign w:val="center"/>
                </w:tcPr>
                <w:p>
                  <w:pPr>
                    <w:adjustRightInd w:val="0"/>
                    <w:snapToGrid w:val="0"/>
                    <w:jc w:val="center"/>
                    <w:rPr>
                      <w:bCs/>
                      <w:color w:val="auto"/>
                      <w:szCs w:val="21"/>
                      <w:highlight w:val="none"/>
                    </w:rPr>
                  </w:pPr>
                  <w:r>
                    <w:rPr>
                      <w:color w:val="auto"/>
                      <w:szCs w:val="21"/>
                      <w:highlight w:val="none"/>
                    </w:rPr>
                    <w:t>COD</w:t>
                  </w:r>
                  <w:r>
                    <w:rPr>
                      <w:color w:val="auto"/>
                      <w:szCs w:val="21"/>
                      <w:highlight w:val="none"/>
                      <w:vertAlign w:val="subscript"/>
                    </w:rPr>
                    <w:t>Cr</w:t>
                  </w:r>
                </w:p>
              </w:tc>
              <w:tc>
                <w:tcPr>
                  <w:tcW w:w="713" w:type="dxa"/>
                  <w:vMerge w:val="restart"/>
                  <w:noWrap w:val="0"/>
                  <w:vAlign w:val="center"/>
                </w:tcPr>
                <w:p>
                  <w:pPr>
                    <w:tabs>
                      <w:tab w:val="right" w:leader="dot" w:pos="9072"/>
                    </w:tabs>
                    <w:overflowPunct w:val="0"/>
                    <w:adjustRightInd w:val="0"/>
                    <w:snapToGrid w:val="0"/>
                    <w:jc w:val="center"/>
                    <w:rPr>
                      <w:rFonts w:hint="eastAsia"/>
                      <w:bCs/>
                      <w:color w:val="auto"/>
                      <w:szCs w:val="21"/>
                      <w:highlight w:val="none"/>
                    </w:rPr>
                  </w:pPr>
                  <w:r>
                    <w:rPr>
                      <w:rFonts w:hint="eastAsia"/>
                      <w:bCs/>
                      <w:color w:val="auto"/>
                      <w:szCs w:val="21"/>
                      <w:highlight w:val="none"/>
                    </w:rPr>
                    <w:t>类比法</w:t>
                  </w:r>
                </w:p>
              </w:tc>
              <w:tc>
                <w:tcPr>
                  <w:tcW w:w="865" w:type="dxa"/>
                  <w:vMerge w:val="restart"/>
                  <w:noWrap w:val="0"/>
                  <w:vAlign w:val="center"/>
                </w:tcPr>
                <w:p>
                  <w:pPr>
                    <w:tabs>
                      <w:tab w:val="right" w:leader="dot" w:pos="9072"/>
                    </w:tabs>
                    <w:overflowPunct w:val="0"/>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0.505</w:t>
                  </w:r>
                </w:p>
              </w:tc>
              <w:tc>
                <w:tcPr>
                  <w:tcW w:w="873" w:type="dxa"/>
                  <w:noWrap w:val="0"/>
                  <w:vAlign w:val="center"/>
                </w:tcPr>
                <w:p>
                  <w:pPr>
                    <w:tabs>
                      <w:tab w:val="right" w:leader="dot" w:pos="9072"/>
                    </w:tabs>
                    <w:overflowPunct w:val="0"/>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350</w:t>
                  </w:r>
                </w:p>
              </w:tc>
              <w:tc>
                <w:tcPr>
                  <w:tcW w:w="873" w:type="dxa"/>
                  <w:noWrap w:val="0"/>
                  <w:vAlign w:val="center"/>
                </w:tcPr>
                <w:p>
                  <w:pPr>
                    <w:tabs>
                      <w:tab w:val="right" w:leader="dot" w:pos="9072"/>
                    </w:tabs>
                    <w:overflowPunct w:val="0"/>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10.06</w:t>
                  </w:r>
                </w:p>
              </w:tc>
              <w:tc>
                <w:tcPr>
                  <w:tcW w:w="1853" w:type="dxa"/>
                  <w:vMerge w:val="restart"/>
                  <w:noWrap w:val="0"/>
                  <w:vAlign w:val="center"/>
                </w:tcPr>
                <w:p>
                  <w:pPr>
                    <w:tabs>
                      <w:tab w:val="right" w:leader="dot" w:pos="9072"/>
                    </w:tabs>
                    <w:overflowPunct w:val="0"/>
                    <w:adjustRightInd w:val="0"/>
                    <w:snapToGrid w:val="0"/>
                    <w:jc w:val="both"/>
                    <w:rPr>
                      <w:color w:val="auto"/>
                      <w:szCs w:val="21"/>
                      <w:highlight w:val="none"/>
                    </w:rPr>
                  </w:pPr>
                  <w:r>
                    <w:rPr>
                      <w:rFonts w:hint="eastAsia"/>
                      <w:color w:val="auto"/>
                      <w:szCs w:val="21"/>
                      <w:highlight w:val="none"/>
                    </w:rPr>
                    <w:t>收集后排至长兴虹溪污水处理有限公司建设在虹星桥镇北片工业园区的中水回用站处理后回用于本厂进行织造，不排放</w:t>
                  </w:r>
                </w:p>
              </w:tc>
              <w:tc>
                <w:tcPr>
                  <w:tcW w:w="628" w:type="dxa"/>
                  <w:vMerge w:val="restart"/>
                  <w:noWrap w:val="0"/>
                  <w:vAlign w:val="center"/>
                </w:tcPr>
                <w:p>
                  <w:pPr>
                    <w:tabs>
                      <w:tab w:val="right" w:leader="dot" w:pos="9072"/>
                    </w:tabs>
                    <w:overflowPunct w:val="0"/>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874" w:type="dxa"/>
                  <w:vMerge w:val="restart"/>
                  <w:noWrap w:val="0"/>
                  <w:vAlign w:val="center"/>
                </w:tcPr>
                <w:p>
                  <w:pPr>
                    <w:tabs>
                      <w:tab w:val="right" w:leader="dot" w:pos="9072"/>
                    </w:tabs>
                    <w:overflowPunct w:val="0"/>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w:t>
                  </w:r>
                </w:p>
              </w:tc>
              <w:tc>
                <w:tcPr>
                  <w:tcW w:w="814" w:type="dxa"/>
                  <w:noWrap w:val="0"/>
                  <w:vAlign w:val="center"/>
                </w:tcPr>
                <w:p>
                  <w:pPr>
                    <w:adjustRightInd w:val="0"/>
                    <w:snapToGrid w:val="0"/>
                    <w:jc w:val="center"/>
                    <w:textAlignment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828" w:type="dxa"/>
                  <w:noWrap w:val="0"/>
                  <w:vAlign w:val="center"/>
                </w:tcPr>
                <w:p>
                  <w:pPr>
                    <w:widowControl/>
                    <w:adjustRightInd w:val="0"/>
                    <w:snapToGrid w:val="0"/>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w:t>
                  </w:r>
                </w:p>
              </w:tc>
              <w:tc>
                <w:tcPr>
                  <w:tcW w:w="883" w:type="dxa"/>
                  <w:vMerge w:val="restart"/>
                  <w:noWrap w:val="0"/>
                  <w:vAlign w:val="center"/>
                </w:tcPr>
                <w:p>
                  <w:pPr>
                    <w:overflowPunct w:val="0"/>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54" w:hRule="atLeast"/>
                <w:jc w:val="center"/>
              </w:trPr>
              <w:tc>
                <w:tcPr>
                  <w:tcW w:w="846"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629"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628"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1165" w:type="dxa"/>
                  <w:noWrap w:val="0"/>
                  <w:vAlign w:val="center"/>
                </w:tcPr>
                <w:p>
                  <w:pPr>
                    <w:tabs>
                      <w:tab w:val="right" w:leader="dot" w:pos="9072"/>
                    </w:tabs>
                    <w:overflowPunct w:val="0"/>
                    <w:adjustRightInd w:val="0"/>
                    <w:snapToGrid w:val="0"/>
                    <w:jc w:val="center"/>
                    <w:rPr>
                      <w:bCs/>
                      <w:color w:val="auto"/>
                      <w:szCs w:val="21"/>
                      <w:highlight w:val="none"/>
                    </w:rPr>
                  </w:pPr>
                  <w:r>
                    <w:rPr>
                      <w:rFonts w:hint="eastAsia"/>
                      <w:bCs/>
                      <w:color w:val="auto"/>
                      <w:szCs w:val="21"/>
                      <w:highlight w:val="none"/>
                    </w:rPr>
                    <w:t>SS</w:t>
                  </w:r>
                </w:p>
              </w:tc>
              <w:tc>
                <w:tcPr>
                  <w:tcW w:w="713"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865"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873" w:type="dxa"/>
                  <w:noWrap w:val="0"/>
                  <w:vAlign w:val="center"/>
                </w:tcPr>
                <w:p>
                  <w:pPr>
                    <w:tabs>
                      <w:tab w:val="right" w:leader="dot" w:pos="9072"/>
                    </w:tabs>
                    <w:overflowPunct w:val="0"/>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250</w:t>
                  </w:r>
                </w:p>
              </w:tc>
              <w:tc>
                <w:tcPr>
                  <w:tcW w:w="873" w:type="dxa"/>
                  <w:noWrap w:val="0"/>
                  <w:vAlign w:val="center"/>
                </w:tcPr>
                <w:p>
                  <w:pPr>
                    <w:tabs>
                      <w:tab w:val="right" w:leader="dot" w:pos="9072"/>
                    </w:tabs>
                    <w:overflowPunct w:val="0"/>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7.19</w:t>
                  </w:r>
                </w:p>
              </w:tc>
              <w:tc>
                <w:tcPr>
                  <w:tcW w:w="1853" w:type="dxa"/>
                  <w:vMerge w:val="continue"/>
                  <w:noWrap w:val="0"/>
                  <w:vAlign w:val="center"/>
                </w:tcPr>
                <w:p>
                  <w:pPr>
                    <w:tabs>
                      <w:tab w:val="right" w:leader="dot" w:pos="9072"/>
                    </w:tabs>
                    <w:overflowPunct w:val="0"/>
                    <w:adjustRightInd w:val="0"/>
                    <w:snapToGrid w:val="0"/>
                    <w:jc w:val="center"/>
                    <w:rPr>
                      <w:color w:val="auto"/>
                      <w:szCs w:val="21"/>
                      <w:highlight w:val="none"/>
                    </w:rPr>
                  </w:pPr>
                </w:p>
              </w:tc>
              <w:tc>
                <w:tcPr>
                  <w:tcW w:w="628"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874"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814" w:type="dxa"/>
                  <w:noWrap w:val="0"/>
                  <w:vAlign w:val="center"/>
                </w:tcPr>
                <w:p>
                  <w:pPr>
                    <w:adjustRightInd w:val="0"/>
                    <w:snapToGrid w:val="0"/>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828" w:type="dxa"/>
                  <w:noWrap w:val="0"/>
                  <w:vAlign w:val="center"/>
                </w:tcPr>
                <w:p>
                  <w:pPr>
                    <w:widowControl/>
                    <w:adjustRightInd w:val="0"/>
                    <w:snapToGrid w:val="0"/>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w:t>
                  </w:r>
                </w:p>
              </w:tc>
              <w:tc>
                <w:tcPr>
                  <w:tcW w:w="883" w:type="dxa"/>
                  <w:vMerge w:val="continue"/>
                  <w:noWrap w:val="0"/>
                  <w:vAlign w:val="center"/>
                </w:tcPr>
                <w:p>
                  <w:pPr>
                    <w:overflowPunct w:val="0"/>
                    <w:adjustRightInd w:val="0"/>
                    <w:snapToGrid w:val="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846"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629" w:type="dxa"/>
                  <w:vMerge w:val="continue"/>
                  <w:noWrap w:val="0"/>
                  <w:vAlign w:val="top"/>
                </w:tcPr>
                <w:p>
                  <w:pPr>
                    <w:tabs>
                      <w:tab w:val="right" w:leader="dot" w:pos="9072"/>
                    </w:tabs>
                    <w:overflowPunct w:val="0"/>
                    <w:adjustRightInd w:val="0"/>
                    <w:snapToGrid w:val="0"/>
                    <w:jc w:val="center"/>
                    <w:rPr>
                      <w:bCs/>
                      <w:color w:val="auto"/>
                      <w:szCs w:val="21"/>
                      <w:highlight w:val="none"/>
                    </w:rPr>
                  </w:pPr>
                </w:p>
              </w:tc>
              <w:tc>
                <w:tcPr>
                  <w:tcW w:w="628"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1165" w:type="dxa"/>
                  <w:noWrap w:val="0"/>
                  <w:vAlign w:val="center"/>
                </w:tcPr>
                <w:p>
                  <w:pPr>
                    <w:tabs>
                      <w:tab w:val="right" w:leader="dot" w:pos="9072"/>
                    </w:tabs>
                    <w:overflowPunct w:val="0"/>
                    <w:adjustRightInd w:val="0"/>
                    <w:snapToGrid w:val="0"/>
                    <w:jc w:val="center"/>
                    <w:rPr>
                      <w:bCs/>
                      <w:color w:val="auto"/>
                      <w:szCs w:val="21"/>
                      <w:highlight w:val="none"/>
                    </w:rPr>
                  </w:pPr>
                  <w:r>
                    <w:rPr>
                      <w:rFonts w:hint="eastAsia"/>
                      <w:bCs/>
                      <w:color w:val="auto"/>
                      <w:szCs w:val="21"/>
                      <w:highlight w:val="none"/>
                    </w:rPr>
                    <w:t>石油类</w:t>
                  </w:r>
                </w:p>
              </w:tc>
              <w:tc>
                <w:tcPr>
                  <w:tcW w:w="713"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865"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873" w:type="dxa"/>
                  <w:noWrap w:val="0"/>
                  <w:vAlign w:val="center"/>
                </w:tcPr>
                <w:p>
                  <w:pPr>
                    <w:tabs>
                      <w:tab w:val="right" w:leader="dot" w:pos="9072"/>
                    </w:tabs>
                    <w:overflowPunct w:val="0"/>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873" w:type="dxa"/>
                  <w:noWrap w:val="0"/>
                  <w:vAlign w:val="center"/>
                </w:tcPr>
                <w:p>
                  <w:pPr>
                    <w:tabs>
                      <w:tab w:val="right" w:leader="dot" w:pos="9072"/>
                    </w:tabs>
                    <w:overflowPunct w:val="0"/>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0.575</w:t>
                  </w:r>
                </w:p>
              </w:tc>
              <w:tc>
                <w:tcPr>
                  <w:tcW w:w="1853" w:type="dxa"/>
                  <w:vMerge w:val="continue"/>
                  <w:noWrap w:val="0"/>
                  <w:vAlign w:val="center"/>
                </w:tcPr>
                <w:p>
                  <w:pPr>
                    <w:tabs>
                      <w:tab w:val="right" w:leader="dot" w:pos="9072"/>
                    </w:tabs>
                    <w:overflowPunct w:val="0"/>
                    <w:adjustRightInd w:val="0"/>
                    <w:snapToGrid w:val="0"/>
                    <w:jc w:val="center"/>
                    <w:rPr>
                      <w:color w:val="auto"/>
                      <w:szCs w:val="21"/>
                      <w:highlight w:val="none"/>
                    </w:rPr>
                  </w:pPr>
                </w:p>
              </w:tc>
              <w:tc>
                <w:tcPr>
                  <w:tcW w:w="628"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874"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814" w:type="dxa"/>
                  <w:noWrap w:val="0"/>
                  <w:vAlign w:val="center"/>
                </w:tcPr>
                <w:p>
                  <w:pPr>
                    <w:adjustRightInd w:val="0"/>
                    <w:snapToGrid w:val="0"/>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828" w:type="dxa"/>
                  <w:noWrap w:val="0"/>
                  <w:vAlign w:val="center"/>
                </w:tcPr>
                <w:p>
                  <w:pPr>
                    <w:widowControl/>
                    <w:adjustRightInd w:val="0"/>
                    <w:snapToGrid w:val="0"/>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w:t>
                  </w:r>
                </w:p>
              </w:tc>
              <w:tc>
                <w:tcPr>
                  <w:tcW w:w="883" w:type="dxa"/>
                  <w:vMerge w:val="continue"/>
                  <w:noWrap w:val="0"/>
                  <w:vAlign w:val="center"/>
                </w:tcPr>
                <w:p>
                  <w:pPr>
                    <w:overflowPunct w:val="0"/>
                    <w:adjustRightInd w:val="0"/>
                    <w:snapToGrid w:val="0"/>
                    <w:jc w:val="center"/>
                    <w:rPr>
                      <w:bCs/>
                      <w:color w:val="auto"/>
                      <w:szCs w:val="21"/>
                      <w:highlight w:val="none"/>
                    </w:rPr>
                  </w:pPr>
                </w:p>
              </w:tc>
            </w:tr>
          </w:tbl>
          <w:p>
            <w:pPr>
              <w:adjustRightInd w:val="0"/>
              <w:snapToGrid w:val="0"/>
              <w:spacing w:line="460" w:lineRule="exact"/>
              <w:jc w:val="left"/>
              <w:rPr>
                <w:rFonts w:hint="eastAsia" w:eastAsia="宋体"/>
                <w:b/>
                <w:color w:val="auto"/>
                <w:szCs w:val="21"/>
                <w:highlight w:val="none"/>
                <w:lang w:eastAsia="zh-CN"/>
              </w:rPr>
            </w:pPr>
            <w:r>
              <w:rPr>
                <w:rFonts w:hint="eastAsia" w:ascii="Times New Roman" w:hAnsi="Times New Roman" w:cs="Times New Roman"/>
                <w:bCs/>
                <w:szCs w:val="21"/>
                <w:lang w:eastAsia="zh-CN"/>
              </w:rPr>
              <w:t>注：</w:t>
            </w:r>
            <w:r>
              <w:rPr>
                <w:rFonts w:ascii="Times New Roman" w:hAnsi="Times New Roman" w:eastAsia="宋体" w:cs="Times New Roman"/>
                <w:bCs/>
                <w:szCs w:val="21"/>
              </w:rPr>
              <w:t>括号内为每年的11 月1 日至次年3 月31 日执行</w:t>
            </w:r>
            <w:r>
              <w:rPr>
                <w:rFonts w:hint="eastAsia" w:ascii="Times New Roman" w:hAnsi="Times New Roman" w:cs="Times New Roman"/>
                <w:bCs/>
                <w:szCs w:val="21"/>
                <w:lang w:eastAsia="zh-CN"/>
              </w:rPr>
              <w:t>。</w:t>
            </w:r>
          </w:p>
          <w:p>
            <w:pPr>
              <w:adjustRightInd w:val="0"/>
              <w:snapToGrid w:val="0"/>
              <w:spacing w:line="460" w:lineRule="exact"/>
              <w:jc w:val="center"/>
              <w:rPr>
                <w:rFonts w:hint="eastAsia"/>
                <w:color w:val="auto"/>
                <w:highlight w:val="none"/>
              </w:rPr>
            </w:pPr>
            <w:r>
              <w:rPr>
                <w:b/>
                <w:color w:val="auto"/>
                <w:szCs w:val="21"/>
                <w:highlight w:val="none"/>
              </w:rPr>
              <w:t>表</w:t>
            </w:r>
            <w:r>
              <w:rPr>
                <w:rFonts w:hint="eastAsia"/>
                <w:b/>
                <w:color w:val="auto"/>
                <w:szCs w:val="21"/>
                <w:highlight w:val="none"/>
                <w:lang w:val="en-US" w:eastAsia="zh-CN"/>
              </w:rPr>
              <w:t>4.3-2</w:t>
            </w:r>
            <w:r>
              <w:rPr>
                <w:b/>
                <w:color w:val="auto"/>
                <w:szCs w:val="21"/>
                <w:highlight w:val="none"/>
              </w:rPr>
              <w:t xml:space="preserve">  项目</w:t>
            </w:r>
            <w:r>
              <w:rPr>
                <w:rFonts w:hint="eastAsia"/>
                <w:b/>
                <w:color w:val="auto"/>
                <w:szCs w:val="21"/>
                <w:highlight w:val="none"/>
              </w:rPr>
              <w:t>废水排放口基本情况表</w:t>
            </w:r>
          </w:p>
          <w:tbl>
            <w:tblPr>
              <w:tblStyle w:val="40"/>
              <w:tblW w:w="13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67"/>
              <w:gridCol w:w="1108"/>
              <w:gridCol w:w="1140"/>
              <w:gridCol w:w="995"/>
              <w:gridCol w:w="1088"/>
              <w:gridCol w:w="1078"/>
              <w:gridCol w:w="1078"/>
              <w:gridCol w:w="894"/>
              <w:gridCol w:w="811"/>
              <w:gridCol w:w="132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Merge w:val="restart"/>
                  <w:noWrap w:val="0"/>
                  <w:vAlign w:val="center"/>
                </w:tcPr>
                <w:p>
                  <w:pPr>
                    <w:jc w:val="center"/>
                    <w:rPr>
                      <w:color w:val="auto"/>
                      <w:highlight w:val="none"/>
                    </w:rPr>
                  </w:pPr>
                  <w:r>
                    <w:rPr>
                      <w:color w:val="auto"/>
                      <w:highlight w:val="none"/>
                    </w:rPr>
                    <w:t>序号</w:t>
                  </w:r>
                </w:p>
              </w:tc>
              <w:tc>
                <w:tcPr>
                  <w:tcW w:w="1067" w:type="dxa"/>
                  <w:vMerge w:val="restart"/>
                  <w:noWrap w:val="0"/>
                  <w:vAlign w:val="center"/>
                </w:tcPr>
                <w:p>
                  <w:pPr>
                    <w:jc w:val="center"/>
                    <w:rPr>
                      <w:color w:val="auto"/>
                      <w:highlight w:val="none"/>
                    </w:rPr>
                  </w:pPr>
                  <w:r>
                    <w:rPr>
                      <w:color w:val="auto"/>
                      <w:highlight w:val="none"/>
                    </w:rPr>
                    <w:t>排放口编号</w:t>
                  </w:r>
                </w:p>
              </w:tc>
              <w:tc>
                <w:tcPr>
                  <w:tcW w:w="2248" w:type="dxa"/>
                  <w:gridSpan w:val="2"/>
                  <w:noWrap w:val="0"/>
                  <w:vAlign w:val="center"/>
                </w:tcPr>
                <w:p>
                  <w:pPr>
                    <w:jc w:val="center"/>
                    <w:rPr>
                      <w:color w:val="auto"/>
                      <w:highlight w:val="none"/>
                    </w:rPr>
                  </w:pPr>
                  <w:r>
                    <w:rPr>
                      <w:color w:val="auto"/>
                      <w:highlight w:val="none"/>
                    </w:rPr>
                    <w:t>排放口地理坐标</w:t>
                  </w:r>
                </w:p>
              </w:tc>
              <w:tc>
                <w:tcPr>
                  <w:tcW w:w="995" w:type="dxa"/>
                  <w:vMerge w:val="restart"/>
                  <w:noWrap w:val="0"/>
                  <w:vAlign w:val="center"/>
                </w:tcPr>
                <w:p>
                  <w:pPr>
                    <w:jc w:val="center"/>
                    <w:rPr>
                      <w:color w:val="auto"/>
                      <w:highlight w:val="none"/>
                    </w:rPr>
                  </w:pPr>
                  <w:r>
                    <w:rPr>
                      <w:color w:val="auto"/>
                      <w:highlight w:val="none"/>
                    </w:rPr>
                    <w:t>废水排放量（万t/a）</w:t>
                  </w:r>
                </w:p>
              </w:tc>
              <w:tc>
                <w:tcPr>
                  <w:tcW w:w="1088" w:type="dxa"/>
                  <w:vMerge w:val="restart"/>
                  <w:noWrap w:val="0"/>
                  <w:vAlign w:val="center"/>
                </w:tcPr>
                <w:p>
                  <w:pPr>
                    <w:jc w:val="center"/>
                    <w:rPr>
                      <w:color w:val="auto"/>
                      <w:highlight w:val="none"/>
                    </w:rPr>
                  </w:pPr>
                  <w:r>
                    <w:rPr>
                      <w:color w:val="auto"/>
                      <w:highlight w:val="none"/>
                    </w:rPr>
                    <w:t>排放方式</w:t>
                  </w:r>
                </w:p>
              </w:tc>
              <w:tc>
                <w:tcPr>
                  <w:tcW w:w="1078" w:type="dxa"/>
                  <w:vMerge w:val="restart"/>
                  <w:noWrap w:val="0"/>
                  <w:vAlign w:val="center"/>
                </w:tcPr>
                <w:p>
                  <w:pPr>
                    <w:jc w:val="center"/>
                    <w:rPr>
                      <w:color w:val="auto"/>
                      <w:highlight w:val="none"/>
                    </w:rPr>
                  </w:pPr>
                  <w:r>
                    <w:rPr>
                      <w:rFonts w:hint="eastAsia"/>
                      <w:color w:val="auto"/>
                      <w:highlight w:val="none"/>
                    </w:rPr>
                    <w:t>排放去向</w:t>
                  </w:r>
                </w:p>
              </w:tc>
              <w:tc>
                <w:tcPr>
                  <w:tcW w:w="1078" w:type="dxa"/>
                  <w:vMerge w:val="restart"/>
                  <w:noWrap w:val="0"/>
                  <w:vAlign w:val="center"/>
                </w:tcPr>
                <w:p>
                  <w:pPr>
                    <w:jc w:val="center"/>
                    <w:rPr>
                      <w:color w:val="auto"/>
                      <w:highlight w:val="none"/>
                    </w:rPr>
                  </w:pPr>
                  <w:r>
                    <w:rPr>
                      <w:color w:val="auto"/>
                      <w:highlight w:val="none"/>
                    </w:rPr>
                    <w:t>排放规律</w:t>
                  </w:r>
                </w:p>
              </w:tc>
              <w:tc>
                <w:tcPr>
                  <w:tcW w:w="894" w:type="dxa"/>
                  <w:vMerge w:val="restart"/>
                  <w:noWrap w:val="0"/>
                  <w:vAlign w:val="center"/>
                </w:tcPr>
                <w:p>
                  <w:pPr>
                    <w:jc w:val="center"/>
                    <w:rPr>
                      <w:color w:val="auto"/>
                      <w:highlight w:val="none"/>
                    </w:rPr>
                  </w:pPr>
                  <w:r>
                    <w:rPr>
                      <w:color w:val="auto"/>
                      <w:highlight w:val="none"/>
                    </w:rPr>
                    <w:t>间歇排放时段</w:t>
                  </w:r>
                </w:p>
              </w:tc>
              <w:tc>
                <w:tcPr>
                  <w:tcW w:w="4057" w:type="dxa"/>
                  <w:gridSpan w:val="3"/>
                  <w:noWrap w:val="0"/>
                  <w:vAlign w:val="center"/>
                </w:tcPr>
                <w:p>
                  <w:pPr>
                    <w:jc w:val="center"/>
                    <w:rPr>
                      <w:color w:val="auto"/>
                      <w:highlight w:val="none"/>
                    </w:rPr>
                  </w:pPr>
                  <w:r>
                    <w:rPr>
                      <w:color w:val="auto"/>
                      <w:highlight w:val="none"/>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Merge w:val="continue"/>
                  <w:noWrap w:val="0"/>
                  <w:vAlign w:val="center"/>
                </w:tcPr>
                <w:p>
                  <w:pPr>
                    <w:jc w:val="center"/>
                    <w:rPr>
                      <w:color w:val="auto"/>
                      <w:highlight w:val="none"/>
                    </w:rPr>
                  </w:pPr>
                </w:p>
              </w:tc>
              <w:tc>
                <w:tcPr>
                  <w:tcW w:w="1067" w:type="dxa"/>
                  <w:vMerge w:val="continue"/>
                  <w:noWrap w:val="0"/>
                  <w:vAlign w:val="center"/>
                </w:tcPr>
                <w:p>
                  <w:pPr>
                    <w:jc w:val="center"/>
                    <w:rPr>
                      <w:color w:val="auto"/>
                      <w:highlight w:val="none"/>
                    </w:rPr>
                  </w:pPr>
                </w:p>
              </w:tc>
              <w:tc>
                <w:tcPr>
                  <w:tcW w:w="1108" w:type="dxa"/>
                  <w:noWrap w:val="0"/>
                  <w:vAlign w:val="center"/>
                </w:tcPr>
                <w:p>
                  <w:pPr>
                    <w:jc w:val="center"/>
                    <w:rPr>
                      <w:color w:val="auto"/>
                      <w:highlight w:val="none"/>
                    </w:rPr>
                  </w:pPr>
                  <w:r>
                    <w:rPr>
                      <w:color w:val="auto"/>
                      <w:highlight w:val="none"/>
                    </w:rPr>
                    <w:t>经度</w:t>
                  </w:r>
                </w:p>
              </w:tc>
              <w:tc>
                <w:tcPr>
                  <w:tcW w:w="1140" w:type="dxa"/>
                  <w:noWrap w:val="0"/>
                  <w:vAlign w:val="center"/>
                </w:tcPr>
                <w:p>
                  <w:pPr>
                    <w:jc w:val="center"/>
                    <w:rPr>
                      <w:color w:val="auto"/>
                      <w:highlight w:val="none"/>
                    </w:rPr>
                  </w:pPr>
                  <w:r>
                    <w:rPr>
                      <w:color w:val="auto"/>
                      <w:highlight w:val="none"/>
                    </w:rPr>
                    <w:t>纬度</w:t>
                  </w:r>
                </w:p>
              </w:tc>
              <w:tc>
                <w:tcPr>
                  <w:tcW w:w="995" w:type="dxa"/>
                  <w:vMerge w:val="continue"/>
                  <w:noWrap w:val="0"/>
                  <w:vAlign w:val="center"/>
                </w:tcPr>
                <w:p>
                  <w:pPr>
                    <w:jc w:val="center"/>
                    <w:rPr>
                      <w:color w:val="auto"/>
                      <w:highlight w:val="none"/>
                    </w:rPr>
                  </w:pPr>
                </w:p>
              </w:tc>
              <w:tc>
                <w:tcPr>
                  <w:tcW w:w="1088" w:type="dxa"/>
                  <w:vMerge w:val="continue"/>
                  <w:noWrap w:val="0"/>
                  <w:vAlign w:val="center"/>
                </w:tcPr>
                <w:p>
                  <w:pPr>
                    <w:jc w:val="center"/>
                    <w:rPr>
                      <w:color w:val="auto"/>
                      <w:highlight w:val="none"/>
                    </w:rPr>
                  </w:pPr>
                </w:p>
              </w:tc>
              <w:tc>
                <w:tcPr>
                  <w:tcW w:w="1078" w:type="dxa"/>
                  <w:vMerge w:val="continue"/>
                  <w:noWrap w:val="0"/>
                  <w:vAlign w:val="center"/>
                </w:tcPr>
                <w:p>
                  <w:pPr>
                    <w:jc w:val="center"/>
                    <w:rPr>
                      <w:color w:val="auto"/>
                      <w:highlight w:val="none"/>
                    </w:rPr>
                  </w:pPr>
                </w:p>
              </w:tc>
              <w:tc>
                <w:tcPr>
                  <w:tcW w:w="1078" w:type="dxa"/>
                  <w:vMerge w:val="continue"/>
                  <w:noWrap w:val="0"/>
                  <w:vAlign w:val="center"/>
                </w:tcPr>
                <w:p>
                  <w:pPr>
                    <w:jc w:val="center"/>
                    <w:rPr>
                      <w:color w:val="auto"/>
                      <w:highlight w:val="none"/>
                    </w:rPr>
                  </w:pPr>
                </w:p>
              </w:tc>
              <w:tc>
                <w:tcPr>
                  <w:tcW w:w="894" w:type="dxa"/>
                  <w:vMerge w:val="continue"/>
                  <w:noWrap w:val="0"/>
                  <w:vAlign w:val="center"/>
                </w:tcPr>
                <w:p>
                  <w:pPr>
                    <w:jc w:val="center"/>
                    <w:rPr>
                      <w:color w:val="auto"/>
                      <w:highlight w:val="none"/>
                    </w:rPr>
                  </w:pPr>
                </w:p>
              </w:tc>
              <w:tc>
                <w:tcPr>
                  <w:tcW w:w="811" w:type="dxa"/>
                  <w:noWrap w:val="0"/>
                  <w:vAlign w:val="center"/>
                </w:tcPr>
                <w:p>
                  <w:pPr>
                    <w:jc w:val="center"/>
                    <w:rPr>
                      <w:color w:val="auto"/>
                      <w:highlight w:val="none"/>
                    </w:rPr>
                  </w:pPr>
                  <w:r>
                    <w:rPr>
                      <w:color w:val="auto"/>
                      <w:highlight w:val="none"/>
                    </w:rPr>
                    <w:t>名称</w:t>
                  </w:r>
                </w:p>
              </w:tc>
              <w:tc>
                <w:tcPr>
                  <w:tcW w:w="1320" w:type="dxa"/>
                  <w:noWrap w:val="0"/>
                  <w:vAlign w:val="center"/>
                </w:tcPr>
                <w:p>
                  <w:pPr>
                    <w:jc w:val="center"/>
                    <w:rPr>
                      <w:color w:val="auto"/>
                      <w:highlight w:val="none"/>
                    </w:rPr>
                  </w:pPr>
                  <w:r>
                    <w:rPr>
                      <w:color w:val="auto"/>
                      <w:highlight w:val="none"/>
                    </w:rPr>
                    <w:t>污染物种类</w:t>
                  </w:r>
                </w:p>
              </w:tc>
              <w:tc>
                <w:tcPr>
                  <w:tcW w:w="1926" w:type="dxa"/>
                  <w:noWrap w:val="0"/>
                  <w:vAlign w:val="center"/>
                </w:tcPr>
                <w:p>
                  <w:pPr>
                    <w:jc w:val="center"/>
                    <w:rPr>
                      <w:color w:val="auto"/>
                      <w:highlight w:val="none"/>
                    </w:rPr>
                  </w:pPr>
                  <w:r>
                    <w:rPr>
                      <w:color w:val="auto"/>
                      <w:highlight w:val="none"/>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534" w:type="dxa"/>
                  <w:vMerge w:val="restart"/>
                  <w:noWrap w:val="0"/>
                  <w:vAlign w:val="center"/>
                </w:tcPr>
                <w:p>
                  <w:pPr>
                    <w:jc w:val="center"/>
                    <w:rPr>
                      <w:color w:val="auto"/>
                      <w:highlight w:val="none"/>
                    </w:rPr>
                  </w:pPr>
                  <w:r>
                    <w:rPr>
                      <w:color w:val="auto"/>
                      <w:highlight w:val="none"/>
                    </w:rPr>
                    <w:t>1</w:t>
                  </w:r>
                </w:p>
              </w:tc>
              <w:tc>
                <w:tcPr>
                  <w:tcW w:w="1067" w:type="dxa"/>
                  <w:vMerge w:val="restart"/>
                  <w:noWrap w:val="0"/>
                  <w:vAlign w:val="center"/>
                </w:tcPr>
                <w:p>
                  <w:pPr>
                    <w:jc w:val="center"/>
                    <w:rPr>
                      <w:rFonts w:hint="eastAsia"/>
                      <w:color w:val="auto"/>
                      <w:highlight w:val="none"/>
                    </w:rPr>
                  </w:pPr>
                  <w:r>
                    <w:rPr>
                      <w:rFonts w:hint="eastAsia"/>
                      <w:color w:val="auto"/>
                      <w:highlight w:val="none"/>
                    </w:rPr>
                    <w:t>DW001</w:t>
                  </w:r>
                </w:p>
              </w:tc>
              <w:tc>
                <w:tcPr>
                  <w:tcW w:w="1108" w:type="dxa"/>
                  <w:vMerge w:val="restart"/>
                  <w:noWrap w:val="0"/>
                  <w:vAlign w:val="center"/>
                </w:tcPr>
                <w:p>
                  <w:pPr>
                    <w:jc w:val="center"/>
                    <w:rPr>
                      <w:rFonts w:hint="eastAsia"/>
                      <w:color w:val="auto"/>
                      <w:highlight w:val="none"/>
                    </w:rPr>
                  </w:pPr>
                  <w:r>
                    <w:rPr>
                      <w:rFonts w:hint="eastAsia"/>
                      <w:color w:val="auto"/>
                      <w:highlight w:val="none"/>
                    </w:rPr>
                    <w:t>119.524710826</w:t>
                  </w:r>
                </w:p>
              </w:tc>
              <w:tc>
                <w:tcPr>
                  <w:tcW w:w="1140" w:type="dxa"/>
                  <w:vMerge w:val="restart"/>
                  <w:noWrap w:val="0"/>
                  <w:vAlign w:val="center"/>
                </w:tcPr>
                <w:p>
                  <w:pPr>
                    <w:jc w:val="center"/>
                    <w:rPr>
                      <w:rFonts w:hint="eastAsia"/>
                      <w:color w:val="auto"/>
                      <w:highlight w:val="none"/>
                    </w:rPr>
                  </w:pPr>
                  <w:r>
                    <w:rPr>
                      <w:rFonts w:hint="eastAsia"/>
                      <w:color w:val="auto"/>
                      <w:highlight w:val="none"/>
                    </w:rPr>
                    <w:t>30.555140882</w:t>
                  </w:r>
                </w:p>
              </w:tc>
              <w:tc>
                <w:tcPr>
                  <w:tcW w:w="995" w:type="dxa"/>
                  <w:vMerge w:val="restar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0.12</w:t>
                  </w:r>
                </w:p>
              </w:tc>
              <w:tc>
                <w:tcPr>
                  <w:tcW w:w="1088" w:type="dxa"/>
                  <w:vMerge w:val="restart"/>
                  <w:noWrap w:val="0"/>
                  <w:vAlign w:val="center"/>
                </w:tcPr>
                <w:p>
                  <w:pPr>
                    <w:jc w:val="center"/>
                    <w:rPr>
                      <w:color w:val="auto"/>
                      <w:highlight w:val="none"/>
                    </w:rPr>
                  </w:pPr>
                  <w:r>
                    <w:rPr>
                      <w:rFonts w:hint="eastAsia"/>
                      <w:color w:val="auto"/>
                      <w:highlight w:val="none"/>
                    </w:rPr>
                    <w:t>间接排放</w:t>
                  </w:r>
                </w:p>
              </w:tc>
              <w:tc>
                <w:tcPr>
                  <w:tcW w:w="1078" w:type="dxa"/>
                  <w:vMerge w:val="restart"/>
                  <w:noWrap w:val="0"/>
                  <w:vAlign w:val="center"/>
                </w:tcPr>
                <w:p>
                  <w:pPr>
                    <w:jc w:val="center"/>
                    <w:rPr>
                      <w:color w:val="auto"/>
                      <w:highlight w:val="none"/>
                    </w:rPr>
                  </w:pPr>
                  <w:r>
                    <w:rPr>
                      <w:rFonts w:hint="eastAsia"/>
                      <w:color w:val="auto"/>
                      <w:highlight w:val="none"/>
                    </w:rPr>
                    <w:t>进入农村生活污水终端系统</w:t>
                  </w:r>
                </w:p>
              </w:tc>
              <w:tc>
                <w:tcPr>
                  <w:tcW w:w="1078" w:type="dxa"/>
                  <w:vMerge w:val="restart"/>
                  <w:noWrap w:val="0"/>
                  <w:vAlign w:val="center"/>
                </w:tcPr>
                <w:p>
                  <w:pPr>
                    <w:jc w:val="center"/>
                    <w:rPr>
                      <w:color w:val="auto"/>
                      <w:highlight w:val="none"/>
                    </w:rPr>
                  </w:pPr>
                  <w:r>
                    <w:rPr>
                      <w:color w:val="auto"/>
                      <w:highlight w:val="none"/>
                    </w:rPr>
                    <w:t>废水间断排放，排放期间流量不稳定且无规律，但不属于冲击型排放。</w:t>
                  </w:r>
                </w:p>
              </w:tc>
              <w:tc>
                <w:tcPr>
                  <w:tcW w:w="894" w:type="dxa"/>
                  <w:vMerge w:val="restart"/>
                  <w:noWrap w:val="0"/>
                  <w:vAlign w:val="center"/>
                </w:tcPr>
                <w:p>
                  <w:pPr>
                    <w:jc w:val="center"/>
                    <w:rPr>
                      <w:rFonts w:hint="eastAsia" w:eastAsia="宋体"/>
                      <w:color w:val="auto"/>
                      <w:highlight w:val="none"/>
                      <w:lang w:eastAsia="zh-CN"/>
                    </w:rPr>
                  </w:pPr>
                  <w:r>
                    <w:rPr>
                      <w:rFonts w:hint="eastAsia"/>
                      <w:color w:val="auto"/>
                      <w:highlight w:val="none"/>
                      <w:lang w:eastAsia="zh-CN"/>
                    </w:rPr>
                    <w:t>全天</w:t>
                  </w:r>
                </w:p>
              </w:tc>
              <w:tc>
                <w:tcPr>
                  <w:tcW w:w="811" w:type="dxa"/>
                  <w:vMerge w:val="restart"/>
                  <w:noWrap w:val="0"/>
                  <w:vAlign w:val="center"/>
                </w:tcPr>
                <w:p>
                  <w:pPr>
                    <w:jc w:val="center"/>
                    <w:rPr>
                      <w:rFonts w:hint="eastAsia" w:eastAsia="宋体"/>
                      <w:color w:val="auto"/>
                      <w:highlight w:val="none"/>
                      <w:lang w:eastAsia="zh-CN"/>
                    </w:rPr>
                  </w:pPr>
                  <w:r>
                    <w:rPr>
                      <w:rFonts w:hint="eastAsia"/>
                      <w:color w:val="auto"/>
                      <w:highlight w:val="none"/>
                      <w:lang w:eastAsia="zh-CN"/>
                    </w:rPr>
                    <w:t>龙从村生活污水终端系统</w:t>
                  </w:r>
                </w:p>
              </w:tc>
              <w:tc>
                <w:tcPr>
                  <w:tcW w:w="1320" w:type="dxa"/>
                  <w:noWrap w:val="0"/>
                  <w:vAlign w:val="center"/>
                </w:tcPr>
                <w:p>
                  <w:pPr>
                    <w:jc w:val="center"/>
                    <w:rPr>
                      <w:color w:val="auto"/>
                      <w:szCs w:val="21"/>
                      <w:highlight w:val="none"/>
                    </w:rPr>
                  </w:pPr>
                  <w:r>
                    <w:rPr>
                      <w:color w:val="auto"/>
                      <w:szCs w:val="21"/>
                      <w:highlight w:val="none"/>
                    </w:rPr>
                    <w:t>COD</w:t>
                  </w:r>
                  <w:r>
                    <w:rPr>
                      <w:color w:val="auto"/>
                      <w:szCs w:val="21"/>
                      <w:highlight w:val="none"/>
                      <w:vertAlign w:val="subscript"/>
                    </w:rPr>
                    <w:t>Cr</w:t>
                  </w:r>
                </w:p>
              </w:tc>
              <w:tc>
                <w:tcPr>
                  <w:tcW w:w="1926" w:type="dxa"/>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34" w:type="dxa"/>
                  <w:vMerge w:val="continue"/>
                  <w:noWrap w:val="0"/>
                  <w:vAlign w:val="center"/>
                </w:tcPr>
                <w:p>
                  <w:pPr>
                    <w:jc w:val="center"/>
                    <w:rPr>
                      <w:color w:val="auto"/>
                      <w:highlight w:val="none"/>
                    </w:rPr>
                  </w:pPr>
                </w:p>
              </w:tc>
              <w:tc>
                <w:tcPr>
                  <w:tcW w:w="1067" w:type="dxa"/>
                  <w:vMerge w:val="continue"/>
                  <w:noWrap w:val="0"/>
                  <w:vAlign w:val="center"/>
                </w:tcPr>
                <w:p>
                  <w:pPr>
                    <w:jc w:val="center"/>
                    <w:rPr>
                      <w:color w:val="auto"/>
                      <w:highlight w:val="none"/>
                    </w:rPr>
                  </w:pPr>
                </w:p>
              </w:tc>
              <w:tc>
                <w:tcPr>
                  <w:tcW w:w="1108" w:type="dxa"/>
                  <w:vMerge w:val="continue"/>
                  <w:noWrap w:val="0"/>
                  <w:vAlign w:val="center"/>
                </w:tcPr>
                <w:p>
                  <w:pPr>
                    <w:jc w:val="center"/>
                    <w:rPr>
                      <w:color w:val="auto"/>
                      <w:highlight w:val="none"/>
                    </w:rPr>
                  </w:pPr>
                </w:p>
              </w:tc>
              <w:tc>
                <w:tcPr>
                  <w:tcW w:w="1140" w:type="dxa"/>
                  <w:vMerge w:val="continue"/>
                  <w:noWrap w:val="0"/>
                  <w:vAlign w:val="center"/>
                </w:tcPr>
                <w:p>
                  <w:pPr>
                    <w:jc w:val="center"/>
                    <w:rPr>
                      <w:color w:val="auto"/>
                      <w:highlight w:val="none"/>
                    </w:rPr>
                  </w:pPr>
                </w:p>
              </w:tc>
              <w:tc>
                <w:tcPr>
                  <w:tcW w:w="995" w:type="dxa"/>
                  <w:vMerge w:val="continue"/>
                  <w:noWrap w:val="0"/>
                  <w:vAlign w:val="center"/>
                </w:tcPr>
                <w:p>
                  <w:pPr>
                    <w:jc w:val="center"/>
                    <w:rPr>
                      <w:color w:val="auto"/>
                      <w:highlight w:val="none"/>
                    </w:rPr>
                  </w:pPr>
                </w:p>
              </w:tc>
              <w:tc>
                <w:tcPr>
                  <w:tcW w:w="1088" w:type="dxa"/>
                  <w:vMerge w:val="continue"/>
                  <w:noWrap w:val="0"/>
                  <w:vAlign w:val="center"/>
                </w:tcPr>
                <w:p>
                  <w:pPr>
                    <w:jc w:val="center"/>
                    <w:rPr>
                      <w:color w:val="auto"/>
                      <w:highlight w:val="none"/>
                    </w:rPr>
                  </w:pPr>
                </w:p>
              </w:tc>
              <w:tc>
                <w:tcPr>
                  <w:tcW w:w="1078" w:type="dxa"/>
                  <w:vMerge w:val="continue"/>
                  <w:noWrap w:val="0"/>
                  <w:vAlign w:val="center"/>
                </w:tcPr>
                <w:p>
                  <w:pPr>
                    <w:jc w:val="center"/>
                    <w:rPr>
                      <w:color w:val="auto"/>
                      <w:highlight w:val="none"/>
                    </w:rPr>
                  </w:pPr>
                </w:p>
              </w:tc>
              <w:tc>
                <w:tcPr>
                  <w:tcW w:w="1078" w:type="dxa"/>
                  <w:vMerge w:val="continue"/>
                  <w:noWrap w:val="0"/>
                  <w:vAlign w:val="center"/>
                </w:tcPr>
                <w:p>
                  <w:pPr>
                    <w:jc w:val="center"/>
                    <w:rPr>
                      <w:color w:val="auto"/>
                      <w:highlight w:val="none"/>
                    </w:rPr>
                  </w:pPr>
                </w:p>
              </w:tc>
              <w:tc>
                <w:tcPr>
                  <w:tcW w:w="894" w:type="dxa"/>
                  <w:vMerge w:val="continue"/>
                  <w:noWrap w:val="0"/>
                  <w:vAlign w:val="center"/>
                </w:tcPr>
                <w:p>
                  <w:pPr>
                    <w:jc w:val="center"/>
                    <w:rPr>
                      <w:color w:val="auto"/>
                      <w:highlight w:val="none"/>
                    </w:rPr>
                  </w:pPr>
                </w:p>
              </w:tc>
              <w:tc>
                <w:tcPr>
                  <w:tcW w:w="811" w:type="dxa"/>
                  <w:vMerge w:val="continue"/>
                  <w:noWrap w:val="0"/>
                  <w:vAlign w:val="center"/>
                </w:tcPr>
                <w:p>
                  <w:pPr>
                    <w:jc w:val="center"/>
                    <w:rPr>
                      <w:color w:val="auto"/>
                      <w:highlight w:val="none"/>
                    </w:rPr>
                  </w:pPr>
                </w:p>
              </w:tc>
              <w:tc>
                <w:tcPr>
                  <w:tcW w:w="1320" w:type="dxa"/>
                  <w:noWrap w:val="0"/>
                  <w:vAlign w:val="center"/>
                </w:tcPr>
                <w:p>
                  <w:pPr>
                    <w:jc w:val="center"/>
                    <w:rPr>
                      <w:color w:val="auto"/>
                      <w:szCs w:val="21"/>
                      <w:highlight w:val="none"/>
                    </w:rPr>
                  </w:pPr>
                  <w:r>
                    <w:rPr>
                      <w:rFonts w:hint="eastAsia"/>
                      <w:color w:val="auto"/>
                      <w:szCs w:val="21"/>
                      <w:highlight w:val="none"/>
                    </w:rPr>
                    <w:t>NH</w:t>
                  </w:r>
                  <w:r>
                    <w:rPr>
                      <w:rFonts w:hint="eastAsia"/>
                      <w:color w:val="auto"/>
                      <w:szCs w:val="21"/>
                      <w:highlight w:val="none"/>
                      <w:vertAlign w:val="subscript"/>
                    </w:rPr>
                    <w:t>3</w:t>
                  </w:r>
                  <w:r>
                    <w:rPr>
                      <w:rFonts w:hint="eastAsia"/>
                      <w:color w:val="auto"/>
                      <w:szCs w:val="21"/>
                      <w:highlight w:val="none"/>
                    </w:rPr>
                    <w:t>-N</w:t>
                  </w:r>
                </w:p>
              </w:tc>
              <w:tc>
                <w:tcPr>
                  <w:tcW w:w="1926" w:type="dxa"/>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25（15）</w:t>
                  </w:r>
                </w:p>
              </w:tc>
            </w:tr>
          </w:tbl>
          <w:p>
            <w:pPr>
              <w:adjustRightInd w:val="0"/>
              <w:snapToGrid w:val="0"/>
              <w:spacing w:line="460" w:lineRule="exact"/>
              <w:jc w:val="left"/>
              <w:rPr>
                <w:rFonts w:hint="eastAsia" w:eastAsia="宋体"/>
                <w:b/>
                <w:color w:val="auto"/>
                <w:szCs w:val="21"/>
                <w:highlight w:val="none"/>
                <w:lang w:eastAsia="zh-CN"/>
              </w:rPr>
            </w:pPr>
            <w:r>
              <w:rPr>
                <w:rFonts w:hint="eastAsia" w:ascii="Times New Roman" w:hAnsi="Times New Roman" w:cs="Times New Roman"/>
                <w:bCs/>
                <w:szCs w:val="21"/>
                <w:lang w:eastAsia="zh-CN"/>
              </w:rPr>
              <w:t>注：</w:t>
            </w:r>
            <w:r>
              <w:rPr>
                <w:rFonts w:ascii="Times New Roman" w:hAnsi="Times New Roman" w:eastAsia="宋体" w:cs="Times New Roman"/>
                <w:bCs/>
                <w:szCs w:val="21"/>
              </w:rPr>
              <w:t>括号内为每年的11 月1 日至次年3 月31 日执行</w:t>
            </w:r>
            <w:r>
              <w:rPr>
                <w:rFonts w:hint="eastAsia" w:ascii="Times New Roman" w:hAnsi="Times New Roman" w:cs="Times New Roman"/>
                <w:bCs/>
                <w:szCs w:val="21"/>
                <w:lang w:eastAsia="zh-CN"/>
              </w:rPr>
              <w:t>。</w:t>
            </w:r>
          </w:p>
          <w:p>
            <w:pPr>
              <w:adjustRightInd w:val="0"/>
              <w:snapToGrid w:val="0"/>
              <w:spacing w:line="460" w:lineRule="exact"/>
              <w:jc w:val="center"/>
              <w:rPr>
                <w:b/>
                <w:snapToGrid w:val="0"/>
                <w:color w:val="auto"/>
                <w:kern w:val="0"/>
                <w:szCs w:val="21"/>
                <w:highlight w:val="none"/>
              </w:rPr>
            </w:pPr>
            <w:r>
              <w:rPr>
                <w:b/>
                <w:color w:val="auto"/>
                <w:szCs w:val="21"/>
                <w:highlight w:val="none"/>
              </w:rPr>
              <w:t>表</w:t>
            </w:r>
            <w:r>
              <w:rPr>
                <w:rFonts w:hint="eastAsia"/>
                <w:b/>
                <w:snapToGrid w:val="0"/>
                <w:color w:val="auto"/>
                <w:kern w:val="0"/>
                <w:szCs w:val="21"/>
                <w:highlight w:val="none"/>
                <w:lang w:val="en-US" w:eastAsia="zh-CN"/>
              </w:rPr>
              <w:t>4.3-3</w:t>
            </w:r>
            <w:r>
              <w:rPr>
                <w:rFonts w:hint="eastAsia"/>
                <w:b/>
                <w:snapToGrid w:val="0"/>
                <w:color w:val="auto"/>
                <w:kern w:val="0"/>
                <w:szCs w:val="21"/>
                <w:highlight w:val="none"/>
              </w:rPr>
              <w:t xml:space="preserve"> </w:t>
            </w:r>
            <w:r>
              <w:rPr>
                <w:b/>
                <w:color w:val="auto"/>
                <w:szCs w:val="21"/>
                <w:highlight w:val="none"/>
              </w:rPr>
              <w:t xml:space="preserve">  废水</w:t>
            </w:r>
            <w:r>
              <w:rPr>
                <w:b/>
                <w:snapToGrid w:val="0"/>
                <w:color w:val="auto"/>
                <w:kern w:val="0"/>
                <w:szCs w:val="21"/>
                <w:highlight w:val="none"/>
              </w:rPr>
              <w:t>污染</w:t>
            </w:r>
            <w:r>
              <w:rPr>
                <w:b/>
                <w:color w:val="auto"/>
                <w:szCs w:val="21"/>
                <w:highlight w:val="none"/>
              </w:rPr>
              <w:t>物排放信息表（</w:t>
            </w:r>
            <w:r>
              <w:rPr>
                <w:rFonts w:hint="eastAsia"/>
                <w:b/>
                <w:color w:val="auto"/>
                <w:szCs w:val="21"/>
                <w:highlight w:val="none"/>
              </w:rPr>
              <w:t>新</w:t>
            </w:r>
            <w:r>
              <w:rPr>
                <w:b/>
                <w:color w:val="auto"/>
                <w:szCs w:val="21"/>
                <w:highlight w:val="none"/>
              </w:rPr>
              <w:t>建项目）</w:t>
            </w:r>
          </w:p>
          <w:tbl>
            <w:tblPr>
              <w:tblStyle w:val="40"/>
              <w:tblW w:w="13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960"/>
              <w:gridCol w:w="2373"/>
              <w:gridCol w:w="2543"/>
              <w:gridCol w:w="2543"/>
              <w:gridCol w:w="2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noWrap w:val="0"/>
                  <w:vAlign w:val="center"/>
                </w:tcPr>
                <w:p>
                  <w:pPr>
                    <w:widowControl/>
                    <w:tabs>
                      <w:tab w:val="left" w:pos="195"/>
                    </w:tabs>
                    <w:jc w:val="center"/>
                    <w:rPr>
                      <w:color w:val="auto"/>
                      <w:szCs w:val="21"/>
                      <w:highlight w:val="none"/>
                    </w:rPr>
                  </w:pPr>
                  <w:r>
                    <w:rPr>
                      <w:color w:val="auto"/>
                      <w:szCs w:val="21"/>
                      <w:highlight w:val="none"/>
                    </w:rPr>
                    <w:t>序号</w:t>
                  </w:r>
                </w:p>
              </w:tc>
              <w:tc>
                <w:tcPr>
                  <w:tcW w:w="1960" w:type="dxa"/>
                  <w:noWrap w:val="0"/>
                  <w:vAlign w:val="center"/>
                </w:tcPr>
                <w:p>
                  <w:pPr>
                    <w:widowControl/>
                    <w:tabs>
                      <w:tab w:val="left" w:pos="195"/>
                    </w:tabs>
                    <w:jc w:val="center"/>
                    <w:rPr>
                      <w:color w:val="auto"/>
                      <w:szCs w:val="21"/>
                      <w:highlight w:val="none"/>
                    </w:rPr>
                  </w:pPr>
                  <w:r>
                    <w:rPr>
                      <w:color w:val="auto"/>
                      <w:szCs w:val="21"/>
                      <w:highlight w:val="none"/>
                    </w:rPr>
                    <w:t>排放口编号</w:t>
                  </w:r>
                </w:p>
              </w:tc>
              <w:tc>
                <w:tcPr>
                  <w:tcW w:w="2373" w:type="dxa"/>
                  <w:noWrap w:val="0"/>
                  <w:vAlign w:val="center"/>
                </w:tcPr>
                <w:p>
                  <w:pPr>
                    <w:widowControl/>
                    <w:tabs>
                      <w:tab w:val="left" w:pos="195"/>
                    </w:tabs>
                    <w:jc w:val="center"/>
                    <w:rPr>
                      <w:color w:val="auto"/>
                      <w:szCs w:val="21"/>
                      <w:highlight w:val="none"/>
                    </w:rPr>
                  </w:pPr>
                  <w:r>
                    <w:rPr>
                      <w:color w:val="auto"/>
                      <w:szCs w:val="21"/>
                      <w:highlight w:val="none"/>
                    </w:rPr>
                    <w:t>污染物种类</w:t>
                  </w:r>
                </w:p>
              </w:tc>
              <w:tc>
                <w:tcPr>
                  <w:tcW w:w="2543" w:type="dxa"/>
                  <w:noWrap w:val="0"/>
                  <w:vAlign w:val="center"/>
                </w:tcPr>
                <w:p>
                  <w:pPr>
                    <w:widowControl/>
                    <w:tabs>
                      <w:tab w:val="left" w:pos="195"/>
                    </w:tabs>
                    <w:jc w:val="center"/>
                    <w:rPr>
                      <w:color w:val="auto"/>
                      <w:szCs w:val="21"/>
                      <w:highlight w:val="none"/>
                    </w:rPr>
                  </w:pPr>
                  <w:r>
                    <w:rPr>
                      <w:color w:val="auto"/>
                      <w:szCs w:val="21"/>
                      <w:highlight w:val="none"/>
                    </w:rPr>
                    <w:t>排放浓度（mg/L）</w:t>
                  </w:r>
                </w:p>
              </w:tc>
              <w:tc>
                <w:tcPr>
                  <w:tcW w:w="2543" w:type="dxa"/>
                  <w:noWrap w:val="0"/>
                  <w:vAlign w:val="center"/>
                </w:tcPr>
                <w:p>
                  <w:pPr>
                    <w:widowControl/>
                    <w:tabs>
                      <w:tab w:val="left" w:pos="195"/>
                    </w:tabs>
                    <w:jc w:val="center"/>
                    <w:rPr>
                      <w:color w:val="auto"/>
                      <w:szCs w:val="21"/>
                      <w:highlight w:val="none"/>
                    </w:rPr>
                  </w:pPr>
                  <w:r>
                    <w:rPr>
                      <w:color w:val="auto"/>
                      <w:szCs w:val="21"/>
                      <w:highlight w:val="none"/>
                    </w:rPr>
                    <w:t>日排放量（t/d）</w:t>
                  </w:r>
                </w:p>
              </w:tc>
              <w:tc>
                <w:tcPr>
                  <w:tcW w:w="2543" w:type="dxa"/>
                  <w:noWrap w:val="0"/>
                  <w:vAlign w:val="center"/>
                </w:tcPr>
                <w:p>
                  <w:pPr>
                    <w:widowControl/>
                    <w:tabs>
                      <w:tab w:val="left" w:pos="195"/>
                    </w:tabs>
                    <w:jc w:val="center"/>
                    <w:rPr>
                      <w:color w:val="auto"/>
                      <w:szCs w:val="21"/>
                      <w:highlight w:val="none"/>
                    </w:rPr>
                  </w:pPr>
                  <w:r>
                    <w:rPr>
                      <w:color w:val="auto"/>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restart"/>
                  <w:noWrap w:val="0"/>
                  <w:vAlign w:val="center"/>
                </w:tcPr>
                <w:p>
                  <w:pPr>
                    <w:widowControl/>
                    <w:tabs>
                      <w:tab w:val="left" w:pos="195"/>
                    </w:tabs>
                    <w:jc w:val="center"/>
                    <w:rPr>
                      <w:color w:val="auto"/>
                      <w:szCs w:val="21"/>
                      <w:highlight w:val="none"/>
                    </w:rPr>
                  </w:pPr>
                  <w:r>
                    <w:rPr>
                      <w:color w:val="auto"/>
                      <w:szCs w:val="21"/>
                      <w:highlight w:val="none"/>
                    </w:rPr>
                    <w:t>1</w:t>
                  </w:r>
                </w:p>
              </w:tc>
              <w:tc>
                <w:tcPr>
                  <w:tcW w:w="1960" w:type="dxa"/>
                  <w:vMerge w:val="restart"/>
                  <w:noWrap w:val="0"/>
                  <w:vAlign w:val="center"/>
                </w:tcPr>
                <w:p>
                  <w:pPr>
                    <w:widowControl/>
                    <w:tabs>
                      <w:tab w:val="left" w:pos="195"/>
                    </w:tabs>
                    <w:jc w:val="center"/>
                    <w:rPr>
                      <w:color w:val="auto"/>
                      <w:szCs w:val="21"/>
                      <w:highlight w:val="none"/>
                    </w:rPr>
                  </w:pPr>
                  <w:r>
                    <w:rPr>
                      <w:color w:val="auto"/>
                      <w:szCs w:val="21"/>
                      <w:highlight w:val="none"/>
                    </w:rPr>
                    <w:t>DW001</w:t>
                  </w:r>
                </w:p>
              </w:tc>
              <w:tc>
                <w:tcPr>
                  <w:tcW w:w="2373" w:type="dxa"/>
                  <w:noWrap w:val="0"/>
                  <w:vAlign w:val="center"/>
                </w:tcPr>
                <w:p>
                  <w:pPr>
                    <w:widowControl/>
                    <w:tabs>
                      <w:tab w:val="left" w:pos="195"/>
                    </w:tabs>
                    <w:jc w:val="center"/>
                    <w:rPr>
                      <w:color w:val="auto"/>
                      <w:szCs w:val="21"/>
                      <w:highlight w:val="none"/>
                    </w:rPr>
                  </w:pPr>
                  <w:r>
                    <w:rPr>
                      <w:color w:val="auto"/>
                      <w:szCs w:val="21"/>
                      <w:highlight w:val="none"/>
                    </w:rPr>
                    <w:t>COD</w:t>
                  </w:r>
                  <w:r>
                    <w:rPr>
                      <w:color w:val="auto"/>
                      <w:szCs w:val="21"/>
                      <w:highlight w:val="none"/>
                      <w:vertAlign w:val="subscript"/>
                    </w:rPr>
                    <w:t>Cr</w:t>
                  </w:r>
                </w:p>
              </w:tc>
              <w:tc>
                <w:tcPr>
                  <w:tcW w:w="2543" w:type="dxa"/>
                  <w:noWrap w:val="0"/>
                  <w:vAlign w:val="center"/>
                </w:tcPr>
                <w:p>
                  <w:pPr>
                    <w:widowControl/>
                    <w:tabs>
                      <w:tab w:val="left" w:pos="195"/>
                    </w:tabs>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2543" w:type="dxa"/>
                  <w:noWrap w:val="0"/>
                  <w:vAlign w:val="center"/>
                </w:tcPr>
                <w:p>
                  <w:pPr>
                    <w:widowControl/>
                    <w:tabs>
                      <w:tab w:val="left" w:pos="195"/>
                    </w:tabs>
                    <w:jc w:val="center"/>
                    <w:rPr>
                      <w:rFonts w:hint="default" w:eastAsia="宋体"/>
                      <w:color w:val="auto"/>
                      <w:szCs w:val="21"/>
                      <w:highlight w:val="none"/>
                      <w:lang w:val="en-US" w:eastAsia="zh-CN"/>
                    </w:rPr>
                  </w:pPr>
                  <w:r>
                    <w:rPr>
                      <w:rFonts w:hint="eastAsia"/>
                      <w:color w:val="auto"/>
                      <w:szCs w:val="21"/>
                      <w:highlight w:val="none"/>
                      <w:lang w:val="en-US" w:eastAsia="zh-CN"/>
                    </w:rPr>
                    <w:t>0.0004</w:t>
                  </w:r>
                </w:p>
              </w:tc>
              <w:tc>
                <w:tcPr>
                  <w:tcW w:w="2543" w:type="dxa"/>
                  <w:noWrap w:val="0"/>
                  <w:vAlign w:val="center"/>
                </w:tcPr>
                <w:p>
                  <w:pPr>
                    <w:keepNext w:val="0"/>
                    <w:keepLines w:val="0"/>
                    <w:widowControl/>
                    <w:suppressLineNumbers w:val="0"/>
                    <w:jc w:val="center"/>
                    <w:textAlignment w:val="center"/>
                    <w:rPr>
                      <w:rFonts w:hint="default" w:eastAsia="等线"/>
                      <w:color w:val="000000"/>
                      <w:kern w:val="2"/>
                      <w:sz w:val="21"/>
                      <w:szCs w:val="21"/>
                      <w:highlight w:val="none"/>
                      <w:lang w:val="en-US" w:eastAsia="zh-CN" w:bidi="ar-SA"/>
                    </w:rPr>
                  </w:pPr>
                  <w:r>
                    <w:rPr>
                      <w:rFonts w:hint="eastAsia" w:eastAsia="等线"/>
                      <w:color w:val="000000"/>
                      <w:kern w:val="2"/>
                      <w:sz w:val="21"/>
                      <w:szCs w:val="21"/>
                      <w:highlight w:val="none"/>
                      <w:lang w:val="en-US" w:eastAsia="zh-CN" w:bidi="ar-S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noWrap w:val="0"/>
                  <w:vAlign w:val="center"/>
                </w:tcPr>
                <w:p>
                  <w:pPr>
                    <w:widowControl/>
                    <w:tabs>
                      <w:tab w:val="left" w:pos="195"/>
                    </w:tabs>
                    <w:jc w:val="center"/>
                    <w:rPr>
                      <w:color w:val="auto"/>
                      <w:szCs w:val="21"/>
                      <w:highlight w:val="none"/>
                    </w:rPr>
                  </w:pPr>
                </w:p>
              </w:tc>
              <w:tc>
                <w:tcPr>
                  <w:tcW w:w="1960" w:type="dxa"/>
                  <w:vMerge w:val="continue"/>
                  <w:noWrap w:val="0"/>
                  <w:vAlign w:val="center"/>
                </w:tcPr>
                <w:p>
                  <w:pPr>
                    <w:widowControl/>
                    <w:tabs>
                      <w:tab w:val="left" w:pos="195"/>
                    </w:tabs>
                    <w:jc w:val="center"/>
                    <w:rPr>
                      <w:color w:val="auto"/>
                      <w:szCs w:val="21"/>
                      <w:highlight w:val="none"/>
                    </w:rPr>
                  </w:pPr>
                </w:p>
              </w:tc>
              <w:tc>
                <w:tcPr>
                  <w:tcW w:w="2373" w:type="dxa"/>
                  <w:noWrap w:val="0"/>
                  <w:vAlign w:val="center"/>
                </w:tcPr>
                <w:p>
                  <w:pPr>
                    <w:widowControl/>
                    <w:tabs>
                      <w:tab w:val="left" w:pos="195"/>
                    </w:tabs>
                    <w:jc w:val="center"/>
                    <w:rPr>
                      <w:rFonts w:hint="eastAsia"/>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2543" w:type="dxa"/>
                  <w:noWrap w:val="0"/>
                  <w:vAlign w:val="center"/>
                </w:tcPr>
                <w:p>
                  <w:pPr>
                    <w:widowControl/>
                    <w:tabs>
                      <w:tab w:val="left" w:pos="195"/>
                    </w:tabs>
                    <w:jc w:val="center"/>
                    <w:rPr>
                      <w:rFonts w:hint="default" w:eastAsia="宋体"/>
                      <w:color w:val="auto"/>
                      <w:szCs w:val="21"/>
                      <w:highlight w:val="none"/>
                      <w:lang w:val="en-US" w:eastAsia="zh-CN"/>
                    </w:rPr>
                  </w:pPr>
                  <w:r>
                    <w:rPr>
                      <w:rFonts w:hint="eastAsia"/>
                      <w:color w:val="auto"/>
                      <w:szCs w:val="21"/>
                      <w:highlight w:val="none"/>
                      <w:lang w:val="en-US" w:eastAsia="zh-CN"/>
                    </w:rPr>
                    <w:t>25（15）</w:t>
                  </w:r>
                </w:p>
              </w:tc>
              <w:tc>
                <w:tcPr>
                  <w:tcW w:w="2543" w:type="dxa"/>
                  <w:noWrap w:val="0"/>
                  <w:vAlign w:val="center"/>
                </w:tcPr>
                <w:p>
                  <w:pPr>
                    <w:widowControl/>
                    <w:tabs>
                      <w:tab w:val="left" w:pos="195"/>
                    </w:tabs>
                    <w:jc w:val="center"/>
                    <w:rPr>
                      <w:rFonts w:hint="default" w:eastAsia="宋体"/>
                      <w:color w:val="auto"/>
                      <w:szCs w:val="21"/>
                      <w:highlight w:val="none"/>
                      <w:lang w:val="en-US" w:eastAsia="zh-CN"/>
                    </w:rPr>
                  </w:pPr>
                  <w:r>
                    <w:rPr>
                      <w:rFonts w:hint="eastAsia"/>
                      <w:color w:val="auto"/>
                      <w:szCs w:val="21"/>
                      <w:highlight w:val="none"/>
                      <w:lang w:val="en-US" w:eastAsia="zh-CN"/>
                    </w:rPr>
                    <w:t>0.00008</w:t>
                  </w:r>
                </w:p>
              </w:tc>
              <w:tc>
                <w:tcPr>
                  <w:tcW w:w="2543" w:type="dxa"/>
                  <w:noWrap w:val="0"/>
                  <w:vAlign w:val="center"/>
                </w:tcPr>
                <w:p>
                  <w:pPr>
                    <w:keepNext w:val="0"/>
                    <w:keepLines w:val="0"/>
                    <w:widowControl/>
                    <w:suppressLineNumbers w:val="0"/>
                    <w:jc w:val="center"/>
                    <w:textAlignment w:val="center"/>
                    <w:rPr>
                      <w:rFonts w:hint="default" w:eastAsia="等线"/>
                      <w:color w:val="000000"/>
                      <w:kern w:val="2"/>
                      <w:sz w:val="21"/>
                      <w:szCs w:val="21"/>
                      <w:highlight w:val="none"/>
                      <w:lang w:val="en-US" w:eastAsia="zh-CN" w:bidi="ar-SA"/>
                    </w:rPr>
                  </w:pPr>
                  <w:r>
                    <w:rPr>
                      <w:rFonts w:hint="eastAsia" w:eastAsia="等线"/>
                      <w:color w:val="000000"/>
                      <w:kern w:val="2"/>
                      <w:sz w:val="21"/>
                      <w:szCs w:val="21"/>
                      <w:highlight w:val="none"/>
                      <w:lang w:val="en-US" w:eastAsia="zh-CN" w:bidi="ar-SA"/>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7" w:type="dxa"/>
                  <w:gridSpan w:val="2"/>
                  <w:vMerge w:val="restart"/>
                  <w:noWrap w:val="0"/>
                  <w:vAlign w:val="center"/>
                </w:tcPr>
                <w:p>
                  <w:pPr>
                    <w:widowControl/>
                    <w:tabs>
                      <w:tab w:val="left" w:pos="195"/>
                    </w:tabs>
                    <w:jc w:val="center"/>
                    <w:rPr>
                      <w:color w:val="auto"/>
                      <w:szCs w:val="21"/>
                      <w:highlight w:val="none"/>
                    </w:rPr>
                  </w:pPr>
                  <w:r>
                    <w:rPr>
                      <w:color w:val="auto"/>
                      <w:szCs w:val="21"/>
                      <w:highlight w:val="none"/>
                    </w:rPr>
                    <w:t>排放口合计</w:t>
                  </w:r>
                </w:p>
              </w:tc>
              <w:tc>
                <w:tcPr>
                  <w:tcW w:w="7459" w:type="dxa"/>
                  <w:gridSpan w:val="3"/>
                  <w:noWrap w:val="0"/>
                  <w:vAlign w:val="center"/>
                </w:tcPr>
                <w:p>
                  <w:pPr>
                    <w:widowControl/>
                    <w:tabs>
                      <w:tab w:val="left" w:pos="195"/>
                    </w:tabs>
                    <w:jc w:val="center"/>
                    <w:rPr>
                      <w:color w:val="auto"/>
                      <w:szCs w:val="21"/>
                      <w:highlight w:val="none"/>
                    </w:rPr>
                  </w:pPr>
                  <w:r>
                    <w:rPr>
                      <w:color w:val="auto"/>
                      <w:szCs w:val="21"/>
                      <w:highlight w:val="none"/>
                    </w:rPr>
                    <w:t>COD</w:t>
                  </w:r>
                  <w:r>
                    <w:rPr>
                      <w:color w:val="auto"/>
                      <w:szCs w:val="21"/>
                      <w:highlight w:val="none"/>
                      <w:vertAlign w:val="subscript"/>
                    </w:rPr>
                    <w:t>Cr</w:t>
                  </w:r>
                </w:p>
              </w:tc>
              <w:tc>
                <w:tcPr>
                  <w:tcW w:w="2543" w:type="dxa"/>
                  <w:noWrap w:val="0"/>
                  <w:vAlign w:val="center"/>
                </w:tcPr>
                <w:p>
                  <w:pPr>
                    <w:keepNext w:val="0"/>
                    <w:keepLines w:val="0"/>
                    <w:widowControl/>
                    <w:suppressLineNumbers w:val="0"/>
                    <w:jc w:val="center"/>
                    <w:textAlignment w:val="center"/>
                    <w:rPr>
                      <w:rFonts w:hint="default" w:ascii="Times New Roman" w:hAnsi="Times New Roman" w:eastAsia="等线" w:cs="Times New Roman"/>
                      <w:color w:val="000000"/>
                      <w:kern w:val="2"/>
                      <w:sz w:val="21"/>
                      <w:szCs w:val="21"/>
                      <w:highlight w:val="none"/>
                      <w:lang w:val="en-US" w:eastAsia="zh-CN" w:bidi="ar-SA"/>
                    </w:rPr>
                  </w:pPr>
                  <w:r>
                    <w:rPr>
                      <w:rFonts w:hint="eastAsia" w:eastAsia="等线"/>
                      <w:color w:val="000000"/>
                      <w:kern w:val="2"/>
                      <w:sz w:val="21"/>
                      <w:szCs w:val="21"/>
                      <w:highlight w:val="none"/>
                      <w:lang w:val="en-US" w:eastAsia="zh-CN" w:bidi="ar-S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7" w:type="dxa"/>
                  <w:gridSpan w:val="2"/>
                  <w:vMerge w:val="continue"/>
                  <w:noWrap w:val="0"/>
                  <w:vAlign w:val="center"/>
                </w:tcPr>
                <w:p>
                  <w:pPr>
                    <w:widowControl/>
                    <w:tabs>
                      <w:tab w:val="left" w:pos="195"/>
                    </w:tabs>
                    <w:jc w:val="center"/>
                    <w:rPr>
                      <w:color w:val="auto"/>
                      <w:szCs w:val="21"/>
                      <w:highlight w:val="none"/>
                    </w:rPr>
                  </w:pPr>
                </w:p>
              </w:tc>
              <w:tc>
                <w:tcPr>
                  <w:tcW w:w="7459" w:type="dxa"/>
                  <w:gridSpan w:val="3"/>
                  <w:noWrap w:val="0"/>
                  <w:vAlign w:val="center"/>
                </w:tcPr>
                <w:p>
                  <w:pPr>
                    <w:widowControl/>
                    <w:tabs>
                      <w:tab w:val="left" w:pos="195"/>
                    </w:tabs>
                    <w:jc w:val="center"/>
                    <w:rPr>
                      <w:rFonts w:hint="eastAsia"/>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2543" w:type="dxa"/>
                  <w:noWrap w:val="0"/>
                  <w:vAlign w:val="center"/>
                </w:tcPr>
                <w:p>
                  <w:pPr>
                    <w:keepNext w:val="0"/>
                    <w:keepLines w:val="0"/>
                    <w:widowControl/>
                    <w:suppressLineNumbers w:val="0"/>
                    <w:jc w:val="center"/>
                    <w:textAlignment w:val="center"/>
                    <w:rPr>
                      <w:rFonts w:hint="eastAsia" w:ascii="Times New Roman" w:hAnsi="Times New Roman" w:eastAsia="等线" w:cs="Times New Roman"/>
                      <w:color w:val="000000"/>
                      <w:kern w:val="2"/>
                      <w:sz w:val="21"/>
                      <w:szCs w:val="21"/>
                      <w:highlight w:val="none"/>
                      <w:lang w:val="en-US" w:eastAsia="zh-CN" w:bidi="ar-SA"/>
                    </w:rPr>
                  </w:pPr>
                  <w:r>
                    <w:rPr>
                      <w:rFonts w:hint="eastAsia" w:eastAsia="等线"/>
                      <w:color w:val="000000"/>
                      <w:kern w:val="2"/>
                      <w:sz w:val="21"/>
                      <w:szCs w:val="21"/>
                      <w:highlight w:val="none"/>
                      <w:lang w:val="en-US" w:eastAsia="zh-CN" w:bidi="ar-SA"/>
                    </w:rPr>
                    <w:t>0.025</w:t>
                  </w:r>
                </w:p>
              </w:tc>
            </w:tr>
          </w:tbl>
          <w:p>
            <w:pPr>
              <w:adjustRightInd w:val="0"/>
              <w:snapToGrid w:val="0"/>
              <w:spacing w:line="460" w:lineRule="exact"/>
              <w:jc w:val="left"/>
              <w:rPr>
                <w:rFonts w:hint="eastAsia" w:eastAsia="宋体"/>
                <w:b/>
                <w:color w:val="auto"/>
                <w:szCs w:val="21"/>
                <w:highlight w:val="none"/>
                <w:lang w:eastAsia="zh-CN"/>
              </w:rPr>
            </w:pPr>
            <w:r>
              <w:rPr>
                <w:rFonts w:hint="eastAsia" w:ascii="Times New Roman" w:hAnsi="Times New Roman" w:cs="Times New Roman"/>
                <w:bCs/>
                <w:szCs w:val="21"/>
                <w:lang w:eastAsia="zh-CN"/>
              </w:rPr>
              <w:t>注：</w:t>
            </w:r>
            <w:r>
              <w:rPr>
                <w:rFonts w:ascii="Times New Roman" w:hAnsi="Times New Roman" w:eastAsia="宋体" w:cs="Times New Roman"/>
                <w:bCs/>
                <w:szCs w:val="21"/>
              </w:rPr>
              <w:t>括号内为每年的11 月1 日至次年3 月31 日执行</w:t>
            </w:r>
            <w:r>
              <w:rPr>
                <w:rFonts w:hint="eastAsia" w:ascii="Times New Roman" w:hAnsi="Times New Roman" w:cs="Times New Roman"/>
                <w:bCs/>
                <w:szCs w:val="21"/>
                <w:lang w:eastAsia="zh-CN"/>
              </w:rPr>
              <w:t>。</w:t>
            </w:r>
          </w:p>
          <w:p>
            <w:pPr>
              <w:pStyle w:val="2"/>
            </w:pPr>
          </w:p>
        </w:tc>
      </w:tr>
    </w:tbl>
    <w:p>
      <w:pPr>
        <w:tabs>
          <w:tab w:val="left" w:pos="750"/>
        </w:tabs>
        <w:sectPr>
          <w:pgSz w:w="16838" w:h="11906" w:orient="landscape"/>
          <w:pgMar w:top="1587" w:right="1588" w:bottom="1587" w:left="1588" w:header="851" w:footer="992" w:gutter="0"/>
          <w:pgBorders>
            <w:top w:val="none" w:sz="0" w:space="0"/>
            <w:left w:val="none" w:sz="0" w:space="0"/>
            <w:bottom w:val="none" w:sz="0" w:space="0"/>
            <w:right w:val="none" w:sz="0" w:space="0"/>
          </w:pgBorders>
          <w:cols w:space="0" w:num="1"/>
          <w:docGrid w:linePitch="312" w:charSpace="0"/>
        </w:sectPr>
      </w:pPr>
    </w:p>
    <w:tbl>
      <w:tblPr>
        <w:tblStyle w:val="4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9"/>
        <w:gridCol w:w="8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8" w:hRule="atLeast"/>
          <w:jc w:val="center"/>
        </w:trPr>
        <w:tc>
          <w:tcPr>
            <w:tcW w:w="469" w:type="dxa"/>
            <w:noWrap/>
            <w:tcMar>
              <w:top w:w="0" w:type="dxa"/>
              <w:left w:w="108" w:type="dxa"/>
              <w:bottom w:w="0" w:type="dxa"/>
              <w:right w:w="108" w:type="dxa"/>
            </w:tcMar>
            <w:vAlign w:val="center"/>
          </w:tcPr>
          <w:p>
            <w:pPr>
              <w:pStyle w:val="3"/>
              <w:adjustRightInd w:val="0"/>
              <w:snapToGrid w:val="0"/>
              <w:ind w:firstLine="0"/>
              <w:rPr>
                <w:b/>
                <w:bCs/>
                <w:sz w:val="24"/>
                <w:szCs w:val="24"/>
              </w:rPr>
            </w:pPr>
            <w:r>
              <w:rPr>
                <w:rFonts w:hAnsi="宋体"/>
                <w:b/>
                <w:bCs/>
                <w:sz w:val="24"/>
                <w:szCs w:val="24"/>
              </w:rPr>
              <w:t>运营</w:t>
            </w:r>
          </w:p>
          <w:p>
            <w:pPr>
              <w:pStyle w:val="3"/>
              <w:adjustRightInd w:val="0"/>
              <w:snapToGrid w:val="0"/>
              <w:ind w:firstLine="0"/>
              <w:rPr>
                <w:b/>
                <w:bCs/>
                <w:sz w:val="24"/>
                <w:szCs w:val="24"/>
              </w:rPr>
            </w:pPr>
            <w:r>
              <w:rPr>
                <w:rFonts w:hAnsi="宋体"/>
                <w:b/>
                <w:bCs/>
                <w:sz w:val="24"/>
                <w:szCs w:val="24"/>
              </w:rPr>
              <w:t>期环</w:t>
            </w:r>
          </w:p>
          <w:p>
            <w:pPr>
              <w:pStyle w:val="3"/>
              <w:adjustRightInd w:val="0"/>
              <w:snapToGrid w:val="0"/>
              <w:ind w:firstLine="0"/>
              <w:rPr>
                <w:b/>
                <w:bCs/>
                <w:sz w:val="24"/>
                <w:szCs w:val="24"/>
              </w:rPr>
            </w:pPr>
            <w:r>
              <w:rPr>
                <w:rFonts w:hAnsi="宋体"/>
                <w:b/>
                <w:bCs/>
                <w:sz w:val="24"/>
                <w:szCs w:val="24"/>
              </w:rPr>
              <w:t>境影</w:t>
            </w:r>
          </w:p>
          <w:p>
            <w:pPr>
              <w:pStyle w:val="3"/>
              <w:adjustRightInd w:val="0"/>
              <w:snapToGrid w:val="0"/>
              <w:ind w:firstLine="0"/>
              <w:rPr>
                <w:b/>
                <w:bCs/>
                <w:sz w:val="24"/>
                <w:szCs w:val="24"/>
              </w:rPr>
            </w:pPr>
            <w:r>
              <w:rPr>
                <w:rFonts w:hAnsi="宋体"/>
                <w:b/>
                <w:bCs/>
                <w:sz w:val="24"/>
                <w:szCs w:val="24"/>
              </w:rPr>
              <w:t>响和</w:t>
            </w:r>
          </w:p>
          <w:p>
            <w:pPr>
              <w:pStyle w:val="3"/>
              <w:adjustRightInd w:val="0"/>
              <w:snapToGrid w:val="0"/>
              <w:ind w:firstLine="0"/>
              <w:rPr>
                <w:b/>
                <w:bCs/>
                <w:sz w:val="24"/>
                <w:szCs w:val="24"/>
              </w:rPr>
            </w:pPr>
            <w:r>
              <w:rPr>
                <w:rFonts w:hAnsi="宋体"/>
                <w:b/>
                <w:bCs/>
                <w:sz w:val="24"/>
                <w:szCs w:val="24"/>
              </w:rPr>
              <w:t>保护</w:t>
            </w:r>
          </w:p>
          <w:p>
            <w:pPr>
              <w:widowControl/>
              <w:wordWrap w:val="0"/>
              <w:jc w:val="center"/>
              <w:rPr>
                <w:b/>
                <w:bCs/>
                <w:kern w:val="0"/>
                <w:sz w:val="24"/>
              </w:rPr>
            </w:pPr>
            <w:r>
              <w:rPr>
                <w:rFonts w:hAnsi="宋体"/>
                <w:b/>
                <w:bCs/>
                <w:sz w:val="24"/>
              </w:rPr>
              <w:t>措施</w:t>
            </w:r>
          </w:p>
        </w:tc>
        <w:tc>
          <w:tcPr>
            <w:tcW w:w="8602" w:type="dxa"/>
            <w:noWrap/>
            <w:tcMar>
              <w:top w:w="0" w:type="dxa"/>
              <w:left w:w="108" w:type="dxa"/>
              <w:bottom w:w="0" w:type="dxa"/>
              <w:right w:w="108" w:type="dxa"/>
            </w:tcMar>
            <w:vAlign w:val="center"/>
          </w:tcPr>
          <w:p>
            <w:pPr>
              <w:spacing w:line="500" w:lineRule="exact"/>
              <w:rPr>
                <w:b/>
                <w:bCs/>
                <w:sz w:val="24"/>
              </w:rPr>
            </w:pPr>
            <w:r>
              <w:rPr>
                <w:b/>
                <w:bCs/>
                <w:sz w:val="24"/>
              </w:rPr>
              <w:t xml:space="preserve">4.3.1.2 </w:t>
            </w:r>
            <w:r>
              <w:rPr>
                <w:rFonts w:hAnsi="宋体"/>
                <w:b/>
                <w:bCs/>
                <w:sz w:val="24"/>
              </w:rPr>
              <w:t>废水源强核算</w:t>
            </w:r>
          </w:p>
          <w:p>
            <w:pPr>
              <w:spacing w:line="500" w:lineRule="exact"/>
              <w:ind w:firstLine="480" w:firstLineChars="200"/>
              <w:rPr>
                <w:sz w:val="24"/>
              </w:rPr>
            </w:pPr>
            <w:r>
              <w:rPr>
                <w:rFonts w:hAnsi="宋体"/>
                <w:sz w:val="24"/>
              </w:rPr>
              <w:t>（</w:t>
            </w:r>
            <w:r>
              <w:rPr>
                <w:sz w:val="24"/>
              </w:rPr>
              <w:t>1</w:t>
            </w:r>
            <w:r>
              <w:rPr>
                <w:rFonts w:hAnsi="宋体"/>
                <w:sz w:val="24"/>
              </w:rPr>
              <w:t>）生活污水</w:t>
            </w:r>
          </w:p>
          <w:p>
            <w:pPr>
              <w:tabs>
                <w:tab w:val="left" w:pos="219"/>
              </w:tabs>
              <w:spacing w:line="500" w:lineRule="exact"/>
              <w:ind w:firstLine="480" w:firstLineChars="200"/>
              <w:rPr>
                <w:color w:val="000000"/>
                <w:sz w:val="24"/>
              </w:rPr>
            </w:pPr>
            <w:r>
              <w:rPr>
                <w:color w:val="000000"/>
                <w:sz w:val="24"/>
              </w:rPr>
              <w:t>本项目</w:t>
            </w:r>
            <w:r>
              <w:rPr>
                <w:rFonts w:hint="eastAsia"/>
                <w:color w:val="000000"/>
                <w:sz w:val="24"/>
                <w:lang w:eastAsia="zh-CN"/>
              </w:rPr>
              <w:t>全厂</w:t>
            </w:r>
            <w:r>
              <w:rPr>
                <w:rFonts w:hint="eastAsia"/>
                <w:color w:val="000000"/>
                <w:sz w:val="24"/>
              </w:rPr>
              <w:t>员工定员</w:t>
            </w:r>
            <w:r>
              <w:rPr>
                <w:rFonts w:hint="eastAsia"/>
                <w:color w:val="000000"/>
                <w:sz w:val="24"/>
                <w:lang w:val="en-US" w:eastAsia="zh-CN"/>
              </w:rPr>
              <w:t>50</w:t>
            </w:r>
            <w:r>
              <w:rPr>
                <w:color w:val="000000"/>
                <w:sz w:val="24"/>
              </w:rPr>
              <w:t>人，</w:t>
            </w:r>
            <w:r>
              <w:rPr>
                <w:bCs/>
                <w:color w:val="000000"/>
                <w:sz w:val="24"/>
              </w:rPr>
              <w:t>年工作天数300d，生活用水量以100L/人·d，污水排放量以用水量的80%计，计算得生活污水排放总量</w:t>
            </w:r>
            <w:r>
              <w:rPr>
                <w:rFonts w:hint="eastAsia"/>
                <w:bCs/>
                <w:color w:val="000000"/>
                <w:sz w:val="24"/>
                <w:lang w:val="en-US" w:eastAsia="zh-CN"/>
              </w:rPr>
              <w:t>1200</w:t>
            </w:r>
            <w:r>
              <w:rPr>
                <w:bCs/>
                <w:color w:val="000000"/>
                <w:sz w:val="24"/>
              </w:rPr>
              <w:t>t/a</w:t>
            </w:r>
            <w:r>
              <w:rPr>
                <w:rFonts w:hint="eastAsia"/>
                <w:bCs/>
                <w:color w:val="000000"/>
                <w:sz w:val="24"/>
              </w:rPr>
              <w:t>。</w:t>
            </w:r>
            <w:r>
              <w:rPr>
                <w:color w:val="000000"/>
                <w:sz w:val="24"/>
              </w:rPr>
              <w:t>生活污水的污染因子主要是COD</w:t>
            </w:r>
            <w:r>
              <w:rPr>
                <w:color w:val="000000"/>
                <w:sz w:val="24"/>
                <w:vertAlign w:val="subscript"/>
              </w:rPr>
              <w:t>Cr</w:t>
            </w:r>
            <w:r>
              <w:rPr>
                <w:color w:val="000000"/>
                <w:sz w:val="24"/>
              </w:rPr>
              <w:t>、NH</w:t>
            </w:r>
            <w:r>
              <w:rPr>
                <w:color w:val="000000"/>
                <w:sz w:val="24"/>
                <w:vertAlign w:val="subscript"/>
              </w:rPr>
              <w:t>3</w:t>
            </w:r>
            <w:r>
              <w:rPr>
                <w:color w:val="000000"/>
                <w:sz w:val="24"/>
              </w:rPr>
              <w:t>-N等，经化粪池预处理后，浓度分别为COD</w:t>
            </w:r>
            <w:r>
              <w:rPr>
                <w:color w:val="000000"/>
                <w:sz w:val="24"/>
                <w:vertAlign w:val="subscript"/>
              </w:rPr>
              <w:t>Cr</w:t>
            </w:r>
            <w:r>
              <w:rPr>
                <w:color w:val="000000"/>
                <w:sz w:val="24"/>
              </w:rPr>
              <w:t>：300mg/L、NH</w:t>
            </w:r>
            <w:r>
              <w:rPr>
                <w:color w:val="000000"/>
                <w:sz w:val="24"/>
                <w:vertAlign w:val="subscript"/>
              </w:rPr>
              <w:t>3</w:t>
            </w:r>
            <w:r>
              <w:rPr>
                <w:color w:val="000000"/>
                <w:sz w:val="24"/>
              </w:rPr>
              <w:t>-N：30mg/L，污染物的产生量分别为COD</w:t>
            </w:r>
            <w:r>
              <w:rPr>
                <w:color w:val="000000"/>
                <w:sz w:val="24"/>
                <w:vertAlign w:val="subscript"/>
              </w:rPr>
              <w:t>Cr</w:t>
            </w:r>
            <w:r>
              <w:rPr>
                <w:color w:val="000000"/>
                <w:sz w:val="24"/>
              </w:rPr>
              <w:t>：</w:t>
            </w:r>
            <w:r>
              <w:rPr>
                <w:rFonts w:hint="eastAsia"/>
                <w:color w:val="000000"/>
                <w:sz w:val="24"/>
                <w:lang w:val="en-US" w:eastAsia="zh-CN"/>
              </w:rPr>
              <w:t>0.36</w:t>
            </w:r>
            <w:r>
              <w:rPr>
                <w:color w:val="000000"/>
                <w:sz w:val="24"/>
              </w:rPr>
              <w:t>t/a、NH</w:t>
            </w:r>
            <w:r>
              <w:rPr>
                <w:color w:val="000000"/>
                <w:sz w:val="24"/>
                <w:vertAlign w:val="subscript"/>
              </w:rPr>
              <w:t>3</w:t>
            </w:r>
            <w:r>
              <w:rPr>
                <w:color w:val="000000"/>
                <w:sz w:val="24"/>
              </w:rPr>
              <w:t>-N：</w:t>
            </w:r>
            <w:r>
              <w:rPr>
                <w:rFonts w:hint="eastAsia"/>
                <w:color w:val="000000"/>
                <w:sz w:val="24"/>
                <w:lang w:val="en-US" w:eastAsia="zh-CN"/>
              </w:rPr>
              <w:t>0.036</w:t>
            </w:r>
            <w:r>
              <w:rPr>
                <w:color w:val="000000"/>
                <w:sz w:val="24"/>
              </w:rPr>
              <w:t>t/a。</w:t>
            </w:r>
          </w:p>
          <w:p>
            <w:pPr>
              <w:tabs>
                <w:tab w:val="left" w:pos="219"/>
              </w:tabs>
              <w:spacing w:line="500" w:lineRule="exact"/>
              <w:ind w:firstLine="480" w:firstLineChars="200"/>
              <w:rPr>
                <w:rFonts w:hint="eastAsia"/>
                <w:bCs/>
                <w:color w:val="000000"/>
                <w:sz w:val="24"/>
              </w:rPr>
            </w:pPr>
            <w:r>
              <w:rPr>
                <w:rFonts w:hint="eastAsia"/>
                <w:color w:val="000000"/>
                <w:sz w:val="24"/>
                <w:lang w:eastAsia="zh-CN"/>
              </w:rPr>
              <w:t>生活污水</w:t>
            </w:r>
            <w:r>
              <w:rPr>
                <w:color w:val="000000"/>
                <w:sz w:val="24"/>
              </w:rPr>
              <w:t>经化粪池预处理后</w:t>
            </w:r>
            <w:r>
              <w:rPr>
                <w:rFonts w:hint="eastAsia"/>
                <w:color w:val="000000"/>
                <w:sz w:val="24"/>
                <w:lang w:eastAsia="zh-CN"/>
              </w:rPr>
              <w:t>由</w:t>
            </w:r>
            <w:r>
              <w:rPr>
                <w:rFonts w:hint="eastAsia"/>
                <w:color w:val="000000"/>
                <w:sz w:val="24"/>
              </w:rPr>
              <w:t>当地农村生活污水终端系统处理达标后排放</w:t>
            </w:r>
            <w:r>
              <w:rPr>
                <w:rFonts w:hint="eastAsia"/>
                <w:color w:val="000000"/>
                <w:sz w:val="24"/>
                <w:lang w:eastAsia="zh-CN"/>
              </w:rPr>
              <w:t>，污染物排放执行《农村生活污水集中处理设施水污染物排放标准》中相关标准，</w:t>
            </w:r>
            <w:r>
              <w:rPr>
                <w:bCs/>
                <w:color w:val="000000"/>
                <w:sz w:val="24"/>
              </w:rPr>
              <w:t>污染物</w:t>
            </w:r>
            <w:r>
              <w:rPr>
                <w:color w:val="000000"/>
                <w:sz w:val="24"/>
              </w:rPr>
              <w:t>最终排放至自然环境的量分别为</w:t>
            </w:r>
            <w:r>
              <w:rPr>
                <w:bCs/>
                <w:color w:val="000000"/>
                <w:sz w:val="24"/>
              </w:rPr>
              <w:t>COD</w:t>
            </w:r>
            <w:r>
              <w:rPr>
                <w:bCs/>
                <w:color w:val="000000"/>
                <w:sz w:val="24"/>
                <w:vertAlign w:val="subscript"/>
              </w:rPr>
              <w:t>Cr</w:t>
            </w:r>
            <w:r>
              <w:rPr>
                <w:bCs/>
                <w:color w:val="000000"/>
                <w:sz w:val="24"/>
              </w:rPr>
              <w:t>：</w:t>
            </w:r>
            <w:r>
              <w:rPr>
                <w:rFonts w:hint="eastAsia"/>
                <w:bCs/>
                <w:color w:val="000000"/>
                <w:sz w:val="24"/>
                <w:lang w:val="en-US" w:eastAsia="zh-CN"/>
              </w:rPr>
              <w:t>0.12</w:t>
            </w:r>
            <w:r>
              <w:rPr>
                <w:bCs/>
                <w:color w:val="000000"/>
                <w:sz w:val="24"/>
              </w:rPr>
              <w:t>t/a、NH</w:t>
            </w:r>
            <w:r>
              <w:rPr>
                <w:bCs/>
                <w:color w:val="000000"/>
                <w:sz w:val="24"/>
                <w:vertAlign w:val="subscript"/>
              </w:rPr>
              <w:t>3</w:t>
            </w:r>
            <w:r>
              <w:rPr>
                <w:bCs/>
                <w:color w:val="000000"/>
                <w:sz w:val="24"/>
              </w:rPr>
              <w:t>-N：</w:t>
            </w:r>
            <w:r>
              <w:rPr>
                <w:rFonts w:hint="eastAsia"/>
                <w:bCs/>
                <w:color w:val="000000"/>
                <w:sz w:val="24"/>
              </w:rPr>
              <w:t>0.02</w:t>
            </w:r>
            <w:r>
              <w:rPr>
                <w:rFonts w:hint="eastAsia"/>
                <w:bCs/>
                <w:color w:val="000000"/>
                <w:sz w:val="24"/>
                <w:lang w:val="en-US" w:eastAsia="zh-CN"/>
              </w:rPr>
              <w:t>5</w:t>
            </w:r>
            <w:r>
              <w:rPr>
                <w:bCs/>
                <w:color w:val="000000"/>
                <w:sz w:val="24"/>
              </w:rPr>
              <w:t>t/a</w:t>
            </w:r>
            <w:r>
              <w:rPr>
                <w:rFonts w:hint="eastAsia"/>
                <w:bCs/>
                <w:color w:val="000000"/>
                <w:sz w:val="24"/>
              </w:rPr>
              <w:t>。</w:t>
            </w:r>
          </w:p>
          <w:p>
            <w:pPr>
              <w:spacing w:line="500" w:lineRule="exact"/>
              <w:ind w:firstLine="480" w:firstLineChars="200"/>
              <w:rPr>
                <w:sz w:val="24"/>
              </w:rPr>
            </w:pPr>
            <w:r>
              <w:rPr>
                <w:rFonts w:hAnsi="宋体"/>
                <w:sz w:val="24"/>
              </w:rPr>
              <w:t>（</w:t>
            </w:r>
            <w:r>
              <w:rPr>
                <w:sz w:val="24"/>
              </w:rPr>
              <w:t>2</w:t>
            </w:r>
            <w:r>
              <w:rPr>
                <w:rFonts w:hAnsi="宋体"/>
                <w:sz w:val="24"/>
              </w:rPr>
              <w:t>）生产废水</w:t>
            </w:r>
          </w:p>
          <w:p>
            <w:pPr>
              <w:spacing w:line="500" w:lineRule="exact"/>
              <w:ind w:firstLine="480" w:firstLineChars="200"/>
              <w:rPr>
                <w:bCs/>
                <w:sz w:val="24"/>
                <w:szCs w:val="28"/>
              </w:rPr>
            </w:pPr>
            <w:r>
              <w:rPr>
                <w:bCs/>
                <w:sz w:val="24"/>
                <w:szCs w:val="28"/>
              </w:rPr>
              <w:t>a</w:t>
            </w:r>
            <w:r>
              <w:rPr>
                <w:rFonts w:hAnsi="宋体"/>
                <w:bCs/>
                <w:sz w:val="24"/>
                <w:szCs w:val="28"/>
              </w:rPr>
              <w:t>）织造废水</w:t>
            </w:r>
          </w:p>
          <w:p>
            <w:pPr>
              <w:spacing w:line="500" w:lineRule="exact"/>
              <w:ind w:firstLine="480" w:firstLineChars="200"/>
              <w:rPr>
                <w:rFonts w:hint="eastAsia" w:ascii="Times New Roman" w:hAnsi="Times New Roman" w:cs="Times New Roman"/>
                <w:color w:val="auto"/>
                <w:sz w:val="24"/>
              </w:rPr>
            </w:pPr>
            <w:r>
              <w:rPr>
                <w:rFonts w:hAnsi="宋体"/>
                <w:bCs/>
                <w:sz w:val="24"/>
                <w:szCs w:val="28"/>
              </w:rPr>
              <w:t>根据喷水织机整治提升领导小组</w:t>
            </w:r>
            <w:r>
              <w:rPr>
                <w:rFonts w:ascii="Times New Roman" w:hAnsi="Times New Roman" w:cs="Times New Roman"/>
                <w:color w:val="auto"/>
                <w:sz w:val="24"/>
              </w:rPr>
              <w:t>整治结果和调研数据</w:t>
            </w:r>
            <w:r>
              <w:rPr>
                <w:rFonts w:hAnsi="宋体"/>
                <w:bCs/>
                <w:sz w:val="24"/>
                <w:szCs w:val="28"/>
              </w:rPr>
              <w:t>，每台喷水织机</w:t>
            </w:r>
            <w:r>
              <w:rPr>
                <w:rFonts w:hint="eastAsia" w:hAnsi="宋体"/>
                <w:bCs/>
                <w:sz w:val="24"/>
                <w:szCs w:val="28"/>
                <w:lang w:eastAsia="zh-CN"/>
              </w:rPr>
              <w:t>配备节水设施，</w:t>
            </w:r>
            <w:r>
              <w:rPr>
                <w:rFonts w:hAnsi="宋体"/>
                <w:bCs/>
                <w:sz w:val="24"/>
                <w:szCs w:val="28"/>
              </w:rPr>
              <w:t>排水系数为</w:t>
            </w:r>
            <w:r>
              <w:rPr>
                <w:rFonts w:hint="eastAsia"/>
                <w:bCs/>
                <w:sz w:val="24"/>
                <w:szCs w:val="28"/>
                <w:lang w:val="en-US" w:eastAsia="zh-CN"/>
              </w:rPr>
              <w:t>2</w:t>
            </w:r>
            <w:r>
              <w:rPr>
                <w:bCs/>
                <w:sz w:val="24"/>
                <w:szCs w:val="28"/>
              </w:rPr>
              <w:t>.0</w:t>
            </w:r>
            <w:r>
              <w:rPr>
                <w:bCs/>
                <w:color w:val="auto"/>
                <w:sz w:val="24"/>
                <w:szCs w:val="28"/>
              </w:rPr>
              <w:t>t/d</w:t>
            </w:r>
            <w:r>
              <w:rPr>
                <w:rFonts w:hAnsi="宋体"/>
                <w:bCs/>
                <w:color w:val="auto"/>
                <w:sz w:val="24"/>
                <w:szCs w:val="28"/>
              </w:rPr>
              <w:t>，年工作时长按</w:t>
            </w:r>
            <w:r>
              <w:rPr>
                <w:rFonts w:hint="eastAsia" w:hAnsi="宋体"/>
                <w:bCs/>
                <w:color w:val="auto"/>
                <w:sz w:val="24"/>
                <w:szCs w:val="28"/>
                <w:lang w:val="en-US" w:eastAsia="zh-CN"/>
              </w:rPr>
              <w:t>3</w:t>
            </w:r>
            <w:r>
              <w:rPr>
                <w:rFonts w:hint="eastAsia"/>
                <w:bCs/>
                <w:color w:val="auto"/>
                <w:sz w:val="24"/>
                <w:szCs w:val="28"/>
                <w:lang w:val="en-US" w:eastAsia="zh-CN"/>
              </w:rPr>
              <w:t>0</w:t>
            </w:r>
            <w:r>
              <w:rPr>
                <w:bCs/>
                <w:color w:val="auto"/>
                <w:sz w:val="24"/>
                <w:szCs w:val="28"/>
              </w:rPr>
              <w:t>0d</w:t>
            </w:r>
            <w:r>
              <w:rPr>
                <w:rFonts w:hAnsi="宋体"/>
                <w:bCs/>
                <w:color w:val="auto"/>
                <w:sz w:val="24"/>
                <w:szCs w:val="28"/>
              </w:rPr>
              <w:t>计，</w:t>
            </w:r>
            <w:r>
              <w:rPr>
                <w:rFonts w:hint="eastAsia" w:hAnsi="宋体"/>
                <w:bCs/>
                <w:color w:val="auto"/>
                <w:sz w:val="24"/>
                <w:szCs w:val="28"/>
                <w:lang w:eastAsia="zh-CN"/>
              </w:rPr>
              <w:t>企业共布置</w:t>
            </w:r>
            <w:r>
              <w:rPr>
                <w:rFonts w:hint="eastAsia"/>
                <w:bCs/>
                <w:color w:val="auto"/>
                <w:sz w:val="24"/>
                <w:szCs w:val="28"/>
                <w:lang w:val="en-US" w:eastAsia="zh-CN"/>
              </w:rPr>
              <w:t>345</w:t>
            </w:r>
            <w:r>
              <w:rPr>
                <w:rFonts w:hAnsi="宋体"/>
                <w:bCs/>
                <w:color w:val="auto"/>
                <w:sz w:val="24"/>
                <w:szCs w:val="28"/>
              </w:rPr>
              <w:t>台高速节能</w:t>
            </w:r>
            <w:r>
              <w:rPr>
                <w:rFonts w:hint="eastAsia" w:hAnsi="宋体"/>
                <w:bCs/>
                <w:color w:val="auto"/>
                <w:sz w:val="24"/>
                <w:szCs w:val="28"/>
                <w:lang w:eastAsia="zh-CN"/>
              </w:rPr>
              <w:t>喷水</w:t>
            </w:r>
            <w:r>
              <w:rPr>
                <w:rFonts w:hAnsi="宋体"/>
                <w:bCs/>
                <w:color w:val="auto"/>
                <w:sz w:val="24"/>
                <w:szCs w:val="28"/>
              </w:rPr>
              <w:t>织机，则废水产生量为</w:t>
            </w:r>
            <w:r>
              <w:rPr>
                <w:rFonts w:hint="eastAsia" w:hAnsi="宋体"/>
                <w:bCs/>
                <w:color w:val="auto"/>
                <w:sz w:val="24"/>
                <w:szCs w:val="28"/>
                <w:lang w:val="en-US" w:eastAsia="zh-CN"/>
              </w:rPr>
              <w:t>207000</w:t>
            </w:r>
            <w:r>
              <w:rPr>
                <w:bCs/>
                <w:color w:val="auto"/>
                <w:sz w:val="24"/>
                <w:szCs w:val="28"/>
              </w:rPr>
              <w:t>t/a</w:t>
            </w:r>
            <w:r>
              <w:rPr>
                <w:rFonts w:hAnsi="宋体"/>
                <w:bCs/>
                <w:color w:val="auto"/>
                <w:sz w:val="24"/>
                <w:szCs w:val="28"/>
              </w:rPr>
              <w:t>（即</w:t>
            </w:r>
            <w:r>
              <w:rPr>
                <w:rFonts w:hint="eastAsia" w:hAnsi="宋体"/>
                <w:bCs/>
                <w:color w:val="auto"/>
                <w:sz w:val="24"/>
                <w:szCs w:val="28"/>
                <w:lang w:val="en-US" w:eastAsia="zh-CN"/>
              </w:rPr>
              <w:t>690</w:t>
            </w:r>
            <w:r>
              <w:rPr>
                <w:bCs/>
                <w:color w:val="auto"/>
                <w:sz w:val="24"/>
                <w:szCs w:val="28"/>
              </w:rPr>
              <w:t>t/d</w:t>
            </w:r>
            <w:r>
              <w:rPr>
                <w:rFonts w:hAnsi="宋体"/>
                <w:bCs/>
                <w:color w:val="auto"/>
                <w:sz w:val="24"/>
                <w:szCs w:val="28"/>
              </w:rPr>
              <w:t>）。</w:t>
            </w:r>
            <w:r>
              <w:rPr>
                <w:rFonts w:hint="eastAsia" w:ascii="Times New Roman" w:hAnsi="Times New Roman" w:cs="Times New Roman"/>
                <w:color w:val="auto"/>
                <w:sz w:val="24"/>
              </w:rPr>
              <w:t>参照</w:t>
            </w:r>
            <w:r>
              <w:rPr>
                <w:rFonts w:hint="eastAsia" w:hAnsi="宋体"/>
                <w:sz w:val="24"/>
                <w:lang w:eastAsia="zh-CN"/>
              </w:rPr>
              <w:t>长兴虹溪污水处理有限公司在虹星桥镇北片工业园区中水回用站</w:t>
            </w:r>
            <w:r>
              <w:rPr>
                <w:rFonts w:hint="eastAsia" w:ascii="Times New Roman" w:hAnsi="Times New Roman" w:cs="Times New Roman"/>
                <w:color w:val="auto"/>
                <w:sz w:val="24"/>
              </w:rPr>
              <w:t>设计进水水质要求，</w:t>
            </w:r>
            <w:r>
              <w:rPr>
                <w:rFonts w:hint="eastAsia" w:cs="Times New Roman"/>
                <w:color w:val="auto"/>
                <w:sz w:val="24"/>
                <w:lang w:eastAsia="zh-CN"/>
              </w:rPr>
              <w:t>进水</w:t>
            </w:r>
            <w:r>
              <w:rPr>
                <w:rFonts w:hint="eastAsia" w:ascii="Times New Roman" w:hAnsi="Times New Roman" w:cs="Times New Roman"/>
                <w:color w:val="auto"/>
                <w:sz w:val="24"/>
              </w:rPr>
              <w:t>水质为COD</w:t>
            </w:r>
            <w:r>
              <w:rPr>
                <w:rFonts w:hint="eastAsia" w:ascii="Times New Roman" w:hAnsi="Times New Roman" w:cs="Times New Roman"/>
                <w:color w:val="auto"/>
                <w:sz w:val="24"/>
                <w:vertAlign w:val="subscript"/>
              </w:rPr>
              <w:t>Cr</w:t>
            </w:r>
            <w:r>
              <w:rPr>
                <w:rFonts w:hint="eastAsia" w:cs="Times New Roman"/>
                <w:color w:val="auto"/>
                <w:sz w:val="24"/>
                <w:lang w:val="en-US" w:eastAsia="zh-CN"/>
              </w:rPr>
              <w:t>350</w:t>
            </w:r>
            <w:r>
              <w:rPr>
                <w:rFonts w:hint="eastAsia" w:ascii="Times New Roman" w:hAnsi="Times New Roman" w:cs="Times New Roman"/>
                <w:color w:val="auto"/>
                <w:sz w:val="24"/>
              </w:rPr>
              <w:t>mg/L、SS</w:t>
            </w:r>
            <w:r>
              <w:rPr>
                <w:rFonts w:hint="eastAsia" w:cs="Times New Roman"/>
                <w:color w:val="auto"/>
                <w:sz w:val="24"/>
                <w:lang w:val="en-US" w:eastAsia="zh-CN"/>
              </w:rPr>
              <w:t>250</w:t>
            </w:r>
            <w:r>
              <w:rPr>
                <w:rFonts w:hint="eastAsia" w:ascii="Times New Roman" w:hAnsi="Times New Roman" w:cs="Times New Roman"/>
                <w:color w:val="auto"/>
                <w:sz w:val="24"/>
              </w:rPr>
              <w:t>mg/L、石油类</w:t>
            </w:r>
            <w:r>
              <w:rPr>
                <w:rFonts w:hint="eastAsia" w:cs="Times New Roman"/>
                <w:color w:val="auto"/>
                <w:sz w:val="24"/>
                <w:lang w:val="en-US" w:eastAsia="zh-CN"/>
              </w:rPr>
              <w:t>20</w:t>
            </w:r>
            <w:r>
              <w:rPr>
                <w:rFonts w:hint="eastAsia" w:ascii="Times New Roman" w:hAnsi="Times New Roman" w:cs="Times New Roman"/>
                <w:color w:val="auto"/>
                <w:sz w:val="24"/>
              </w:rPr>
              <w:t>mg/L，则</w:t>
            </w:r>
            <w:r>
              <w:rPr>
                <w:rFonts w:hint="eastAsia" w:cs="Times New Roman"/>
                <w:color w:val="auto"/>
                <w:sz w:val="24"/>
                <w:lang w:eastAsia="zh-CN"/>
              </w:rPr>
              <w:t>织造废水</w:t>
            </w:r>
            <w:r>
              <w:rPr>
                <w:rFonts w:hint="eastAsia" w:ascii="Times New Roman" w:hAnsi="Times New Roman" w:cs="Times New Roman"/>
                <w:color w:val="auto"/>
                <w:sz w:val="24"/>
              </w:rPr>
              <w:t>污染物产生量为COD</w:t>
            </w:r>
            <w:r>
              <w:rPr>
                <w:rFonts w:hint="eastAsia" w:ascii="Times New Roman" w:hAnsi="Times New Roman" w:cs="Times New Roman"/>
                <w:color w:val="auto"/>
                <w:sz w:val="24"/>
                <w:vertAlign w:val="subscript"/>
              </w:rPr>
              <w:t>Cr</w:t>
            </w:r>
            <w:r>
              <w:rPr>
                <w:rFonts w:hint="eastAsia" w:cs="Times New Roman"/>
                <w:color w:val="auto"/>
                <w:sz w:val="24"/>
                <w:lang w:val="en-US" w:eastAsia="zh-CN"/>
              </w:rPr>
              <w:t>72.45</w:t>
            </w:r>
            <w:r>
              <w:rPr>
                <w:rFonts w:hint="eastAsia" w:ascii="Times New Roman" w:hAnsi="Times New Roman" w:cs="Times New Roman"/>
                <w:color w:val="auto"/>
                <w:sz w:val="24"/>
              </w:rPr>
              <w:t>t/a、SS</w:t>
            </w:r>
            <w:r>
              <w:rPr>
                <w:rFonts w:hint="eastAsia" w:cs="Times New Roman"/>
                <w:color w:val="auto"/>
                <w:sz w:val="24"/>
                <w:lang w:val="en-US" w:eastAsia="zh-CN"/>
              </w:rPr>
              <w:t>51.75</w:t>
            </w:r>
            <w:r>
              <w:rPr>
                <w:rFonts w:hint="eastAsia" w:ascii="Times New Roman" w:hAnsi="Times New Roman" w:cs="Times New Roman"/>
                <w:color w:val="auto"/>
                <w:sz w:val="24"/>
              </w:rPr>
              <w:t>t/a、石油类</w:t>
            </w:r>
            <w:r>
              <w:rPr>
                <w:rFonts w:hint="eastAsia" w:cs="Times New Roman"/>
                <w:color w:val="auto"/>
                <w:sz w:val="24"/>
                <w:lang w:val="en-US" w:eastAsia="zh-CN"/>
              </w:rPr>
              <w:t>4.14</w:t>
            </w:r>
            <w:r>
              <w:rPr>
                <w:rFonts w:hint="eastAsia" w:ascii="Times New Roman" w:hAnsi="Times New Roman" w:cs="Times New Roman"/>
                <w:color w:val="auto"/>
                <w:sz w:val="24"/>
              </w:rPr>
              <w:t>t/a。</w:t>
            </w:r>
          </w:p>
          <w:p>
            <w:pPr>
              <w:spacing w:line="500" w:lineRule="exact"/>
              <w:ind w:firstLine="480" w:firstLineChars="200"/>
              <w:rPr>
                <w:rFonts w:hint="eastAsia" w:eastAsia="宋体"/>
                <w:bCs/>
                <w:color w:val="auto"/>
                <w:sz w:val="24"/>
                <w:szCs w:val="28"/>
                <w:lang w:eastAsia="zh-CN"/>
              </w:rPr>
            </w:pPr>
            <w:r>
              <w:rPr>
                <w:rFonts w:hint="eastAsia"/>
                <w:bCs/>
                <w:color w:val="auto"/>
                <w:sz w:val="24"/>
                <w:szCs w:val="28"/>
                <w:lang w:eastAsia="zh-CN"/>
              </w:rPr>
              <w:t>织造废水收集后</w:t>
            </w:r>
            <w:r>
              <w:rPr>
                <w:rFonts w:hint="eastAsia" w:hAnsi="宋体"/>
                <w:bCs/>
                <w:color w:val="auto"/>
                <w:sz w:val="24"/>
                <w:szCs w:val="28"/>
                <w:lang w:eastAsia="zh-CN"/>
              </w:rPr>
              <w:t>排至长兴虹溪污水处理有限公司建设在虹星桥镇北片工业园区的中水回用站处理后回用于本厂织造，不排放。</w:t>
            </w:r>
          </w:p>
          <w:p>
            <w:pPr>
              <w:spacing w:line="500" w:lineRule="exact"/>
              <w:ind w:firstLine="480" w:firstLineChars="200"/>
              <w:rPr>
                <w:bCs/>
                <w:color w:val="auto"/>
                <w:sz w:val="24"/>
                <w:szCs w:val="28"/>
              </w:rPr>
            </w:pPr>
            <w:r>
              <w:rPr>
                <w:rFonts w:hint="eastAsia"/>
                <w:bCs/>
                <w:color w:val="auto"/>
                <w:sz w:val="24"/>
                <w:szCs w:val="28"/>
              </w:rPr>
              <w:t>注：根据《排污许可证申请与核发技术规范 纺织印染工业》（</w:t>
            </w:r>
            <w:r>
              <w:rPr>
                <w:rFonts w:hint="eastAsia"/>
                <w:bCs/>
                <w:color w:val="auto"/>
                <w:sz w:val="24"/>
                <w:szCs w:val="28"/>
                <w:lang w:val="zh-CN"/>
              </w:rPr>
              <w:t xml:space="preserve">HJ </w:t>
            </w:r>
            <w:r>
              <w:rPr>
                <w:rFonts w:hint="eastAsia"/>
                <w:bCs/>
                <w:color w:val="auto"/>
                <w:sz w:val="24"/>
                <w:szCs w:val="28"/>
              </w:rPr>
              <w:t>861</w:t>
            </w:r>
            <w:r>
              <w:rPr>
                <w:rFonts w:hint="eastAsia"/>
                <w:bCs/>
                <w:color w:val="auto"/>
                <w:sz w:val="24"/>
                <w:szCs w:val="28"/>
                <w:lang w:val="zh-CN"/>
              </w:rPr>
              <w:t>-20</w:t>
            </w:r>
            <w:r>
              <w:rPr>
                <w:rFonts w:hint="eastAsia"/>
                <w:bCs/>
                <w:color w:val="auto"/>
                <w:sz w:val="24"/>
                <w:szCs w:val="28"/>
              </w:rPr>
              <w:t>17）中“表3纳入许可管理的废水排放口及污染物项目”可知，污染因子总锑仅适用于含涤纶化纤碱减量工艺的排污单位。本项目主要为喷水织造工艺，不涉及涤纶化纤碱减量工艺，故本项目不进行总锑污染物分析。</w:t>
            </w:r>
          </w:p>
          <w:p>
            <w:pPr>
              <w:spacing w:line="500" w:lineRule="atLeast"/>
              <w:ind w:firstLine="480" w:firstLineChars="200"/>
              <w:rPr>
                <w:bCs/>
                <w:color w:val="auto"/>
                <w:sz w:val="24"/>
                <w:szCs w:val="28"/>
              </w:rPr>
            </w:pPr>
            <w:r>
              <w:rPr>
                <w:bCs/>
                <w:color w:val="auto"/>
                <w:sz w:val="24"/>
                <w:szCs w:val="28"/>
              </w:rPr>
              <w:t>b</w:t>
            </w:r>
            <w:r>
              <w:rPr>
                <w:rFonts w:hAnsi="宋体"/>
                <w:bCs/>
                <w:color w:val="auto"/>
                <w:sz w:val="24"/>
                <w:szCs w:val="28"/>
              </w:rPr>
              <w:t>）码布废水</w:t>
            </w:r>
          </w:p>
          <w:p>
            <w:pPr>
              <w:spacing w:line="500" w:lineRule="atLeast"/>
              <w:ind w:firstLine="480" w:firstLineChars="200"/>
              <w:rPr>
                <w:bCs/>
                <w:sz w:val="24"/>
                <w:szCs w:val="28"/>
              </w:rPr>
            </w:pPr>
            <w:r>
              <w:rPr>
                <w:rFonts w:hAnsi="宋体"/>
                <w:color w:val="auto"/>
                <w:kern w:val="0"/>
                <w:sz w:val="24"/>
              </w:rPr>
              <w:t>本项目</w:t>
            </w:r>
            <w:r>
              <w:rPr>
                <w:rFonts w:hAnsi="宋体"/>
                <w:bCs/>
                <w:color w:val="auto"/>
                <w:sz w:val="24"/>
                <w:szCs w:val="28"/>
              </w:rPr>
              <w:t>化纤丝经喷水织</w:t>
            </w:r>
            <w:r>
              <w:rPr>
                <w:rFonts w:hAnsi="宋体"/>
                <w:bCs/>
                <w:sz w:val="24"/>
                <w:szCs w:val="28"/>
              </w:rPr>
              <w:t>造后经验布收卷</w:t>
            </w:r>
            <w:r>
              <w:rPr>
                <w:rFonts w:hAnsi="宋体"/>
                <w:kern w:val="0"/>
                <w:sz w:val="24"/>
              </w:rPr>
              <w:t>码布入库会产生一定量的渗漏废水，根据企业实际运行的经验数据，码布废水产生量为</w:t>
            </w:r>
            <w:r>
              <w:rPr>
                <w:bCs/>
                <w:sz w:val="24"/>
                <w:szCs w:val="28"/>
              </w:rPr>
              <w:t>0.5t/d</w:t>
            </w:r>
            <w:r>
              <w:rPr>
                <w:rFonts w:hAnsi="宋体"/>
                <w:bCs/>
                <w:sz w:val="24"/>
                <w:szCs w:val="28"/>
              </w:rPr>
              <w:t>（</w:t>
            </w:r>
            <w:r>
              <w:rPr>
                <w:bCs/>
                <w:sz w:val="24"/>
                <w:szCs w:val="28"/>
              </w:rPr>
              <w:t>165t/a</w:t>
            </w:r>
            <w:r>
              <w:rPr>
                <w:rFonts w:hAnsi="宋体"/>
                <w:bCs/>
                <w:sz w:val="24"/>
                <w:szCs w:val="28"/>
              </w:rPr>
              <w:t>）</w:t>
            </w:r>
            <w:r>
              <w:rPr>
                <w:rFonts w:hAnsi="宋体"/>
                <w:kern w:val="0"/>
                <w:sz w:val="24"/>
              </w:rPr>
              <w:t>，</w:t>
            </w:r>
            <w:r>
              <w:rPr>
                <w:rFonts w:hint="eastAsia" w:hAnsi="宋体"/>
                <w:kern w:val="0"/>
                <w:sz w:val="24"/>
                <w:lang w:eastAsia="zh-CN"/>
              </w:rPr>
              <w:t>码布</w:t>
            </w:r>
            <w:r>
              <w:rPr>
                <w:rFonts w:hint="eastAsia" w:ascii="Times New Roman" w:hAnsi="Times New Roman" w:cs="Times New Roman"/>
                <w:sz w:val="24"/>
              </w:rPr>
              <w:t>产生的废水已计入织造废水总水量中，因此不做单独分析，详见</w:t>
            </w:r>
            <w:r>
              <w:rPr>
                <w:rFonts w:hint="eastAsia" w:ascii="Times New Roman" w:hAnsi="Times New Roman" w:cs="Times New Roman"/>
                <w:sz w:val="24"/>
                <w:lang w:eastAsia="zh-CN"/>
              </w:rPr>
              <w:t>上文</w:t>
            </w:r>
            <w:r>
              <w:rPr>
                <w:rFonts w:hint="eastAsia" w:ascii="Times New Roman" w:hAnsi="Times New Roman" w:cs="Times New Roman"/>
                <w:sz w:val="24"/>
              </w:rPr>
              <w:t>“织造废水”分析内容</w:t>
            </w:r>
            <w:r>
              <w:rPr>
                <w:rFonts w:hAnsi="宋体"/>
                <w:bCs/>
                <w:sz w:val="24"/>
                <w:szCs w:val="28"/>
              </w:rPr>
              <w:t>。</w:t>
            </w:r>
          </w:p>
          <w:p>
            <w:pPr>
              <w:spacing w:line="500" w:lineRule="atLeast"/>
              <w:ind w:firstLine="480" w:firstLineChars="200"/>
              <w:rPr>
                <w:bCs/>
                <w:sz w:val="24"/>
                <w:szCs w:val="28"/>
              </w:rPr>
            </w:pPr>
            <w:r>
              <w:rPr>
                <w:bCs/>
                <w:sz w:val="24"/>
                <w:szCs w:val="28"/>
              </w:rPr>
              <w:t>c</w:t>
            </w:r>
            <w:r>
              <w:rPr>
                <w:rFonts w:hAnsi="宋体"/>
                <w:bCs/>
                <w:sz w:val="24"/>
                <w:szCs w:val="28"/>
              </w:rPr>
              <w:t>）</w:t>
            </w:r>
            <w:r>
              <w:rPr>
                <w:rFonts w:hint="eastAsia" w:hAnsi="宋体"/>
                <w:bCs/>
                <w:sz w:val="24"/>
                <w:szCs w:val="28"/>
                <w:lang w:eastAsia="zh-CN"/>
              </w:rPr>
              <w:t>清洗</w:t>
            </w:r>
            <w:r>
              <w:rPr>
                <w:rFonts w:hAnsi="宋体"/>
                <w:bCs/>
                <w:sz w:val="24"/>
                <w:szCs w:val="28"/>
              </w:rPr>
              <w:t>废水</w:t>
            </w:r>
          </w:p>
          <w:p>
            <w:pPr>
              <w:spacing w:line="500" w:lineRule="exact"/>
              <w:ind w:firstLine="480" w:firstLineChars="200"/>
              <w:rPr>
                <w:rFonts w:hint="eastAsia" w:eastAsia="宋体"/>
                <w:bCs/>
                <w:sz w:val="24"/>
                <w:szCs w:val="28"/>
                <w:lang w:eastAsia="zh-CN"/>
              </w:rPr>
            </w:pPr>
            <w:r>
              <w:rPr>
                <w:rFonts w:hint="eastAsia" w:hAnsi="宋体"/>
                <w:bCs/>
                <w:sz w:val="24"/>
                <w:szCs w:val="28"/>
                <w:lang w:eastAsia="zh-CN"/>
              </w:rPr>
              <w:t>为保证织造过程顺畅和对产品质量要求，</w:t>
            </w:r>
            <w:r>
              <w:rPr>
                <w:rFonts w:hAnsi="宋体"/>
                <w:bCs/>
                <w:sz w:val="24"/>
                <w:szCs w:val="28"/>
              </w:rPr>
              <w:t>喷水织机运行时需定期对</w:t>
            </w:r>
            <w:r>
              <w:rPr>
                <w:rFonts w:hint="eastAsia" w:hAnsi="宋体"/>
                <w:bCs/>
                <w:sz w:val="24"/>
                <w:szCs w:val="28"/>
              </w:rPr>
              <w:t>棕</w:t>
            </w:r>
            <w:r>
              <w:rPr>
                <w:rFonts w:hint="eastAsia" w:hAnsi="宋体"/>
                <w:bCs/>
                <w:sz w:val="24"/>
                <w:szCs w:val="28"/>
                <w:lang w:eastAsia="zh-CN"/>
              </w:rPr>
              <w:t>筘</w:t>
            </w:r>
            <w:r>
              <w:rPr>
                <w:rFonts w:hint="eastAsia" w:hAnsi="宋体"/>
                <w:bCs/>
                <w:sz w:val="24"/>
                <w:szCs w:val="28"/>
              </w:rPr>
              <w:t>及滤网</w:t>
            </w:r>
            <w:r>
              <w:rPr>
                <w:rFonts w:hint="eastAsia" w:hAnsi="宋体"/>
                <w:bCs/>
                <w:sz w:val="24"/>
                <w:szCs w:val="28"/>
                <w:lang w:eastAsia="zh-CN"/>
              </w:rPr>
              <w:t>进行清洗（清洗过程不加任何清洗剂）</w:t>
            </w:r>
            <w:r>
              <w:rPr>
                <w:rFonts w:hAnsi="宋体"/>
                <w:bCs/>
                <w:sz w:val="24"/>
                <w:szCs w:val="28"/>
              </w:rPr>
              <w:t>，因此会产生</w:t>
            </w:r>
            <w:r>
              <w:rPr>
                <w:rFonts w:hint="eastAsia" w:hAnsi="宋体"/>
                <w:bCs/>
                <w:sz w:val="24"/>
                <w:szCs w:val="28"/>
                <w:lang w:eastAsia="zh-CN"/>
              </w:rPr>
              <w:t>清洗</w:t>
            </w:r>
            <w:r>
              <w:rPr>
                <w:rFonts w:hAnsi="宋体"/>
                <w:bCs/>
                <w:sz w:val="24"/>
                <w:szCs w:val="28"/>
              </w:rPr>
              <w:t>废水。</w:t>
            </w:r>
            <w:r>
              <w:rPr>
                <w:rFonts w:hint="eastAsia" w:ascii="Times New Roman" w:hAnsi="Times New Roman" w:cs="Times New Roman"/>
                <w:color w:val="auto"/>
                <w:sz w:val="24"/>
                <w:lang w:val="en-US" w:eastAsia="zh-CN"/>
              </w:rPr>
              <w:t>每台喷水织机的清洗水量为50kg/a，则本项目用水量为</w:t>
            </w:r>
            <w:r>
              <w:rPr>
                <w:rFonts w:hint="eastAsia" w:cs="Times New Roman"/>
                <w:color w:val="auto"/>
                <w:sz w:val="24"/>
                <w:lang w:val="en-US" w:eastAsia="zh-CN"/>
              </w:rPr>
              <w:t>17.25</w:t>
            </w:r>
            <w:r>
              <w:rPr>
                <w:rFonts w:hint="eastAsia" w:ascii="Times New Roman" w:hAnsi="Times New Roman" w:cs="Times New Roman"/>
                <w:color w:val="auto"/>
                <w:sz w:val="24"/>
                <w:lang w:val="en-US" w:eastAsia="zh-CN"/>
              </w:rPr>
              <w:t>t/a</w:t>
            </w:r>
            <w:r>
              <w:rPr>
                <w:rFonts w:hint="eastAsia" w:cs="Times New Roman"/>
                <w:color w:val="auto"/>
                <w:sz w:val="24"/>
                <w:lang w:val="en-US" w:eastAsia="zh-CN"/>
              </w:rPr>
              <w:t>，废水量按照80%计，则</w:t>
            </w:r>
            <w:r>
              <w:rPr>
                <w:rFonts w:hint="eastAsia" w:hAnsi="宋体"/>
                <w:bCs/>
                <w:sz w:val="24"/>
                <w:szCs w:val="28"/>
                <w:lang w:eastAsia="zh-CN"/>
              </w:rPr>
              <w:t>清洗</w:t>
            </w:r>
            <w:r>
              <w:rPr>
                <w:rFonts w:hAnsi="宋体"/>
                <w:bCs/>
                <w:sz w:val="24"/>
                <w:szCs w:val="28"/>
              </w:rPr>
              <w:t>废水产生量约为</w:t>
            </w:r>
            <w:r>
              <w:rPr>
                <w:rFonts w:hint="eastAsia"/>
                <w:bCs/>
                <w:sz w:val="24"/>
                <w:szCs w:val="28"/>
                <w:lang w:val="en-US" w:eastAsia="zh-CN"/>
              </w:rPr>
              <w:t>13.8</w:t>
            </w:r>
            <w:r>
              <w:rPr>
                <w:bCs/>
                <w:sz w:val="24"/>
                <w:szCs w:val="28"/>
              </w:rPr>
              <w:t>t/a</w:t>
            </w:r>
            <w:r>
              <w:rPr>
                <w:rFonts w:hAnsi="宋体"/>
                <w:bCs/>
                <w:sz w:val="24"/>
                <w:szCs w:val="28"/>
              </w:rPr>
              <w:t>。</w:t>
            </w:r>
            <w:r>
              <w:rPr>
                <w:rFonts w:hint="eastAsia" w:ascii="Times New Roman" w:hAnsi="Times New Roman" w:cs="Times New Roman"/>
                <w:sz w:val="24"/>
              </w:rPr>
              <w:t>清洗产生的废水已计入织造废水总水量中，因此不做单独分析，详见</w:t>
            </w:r>
            <w:r>
              <w:rPr>
                <w:rFonts w:hint="eastAsia" w:ascii="Times New Roman" w:hAnsi="Times New Roman" w:cs="Times New Roman"/>
                <w:sz w:val="24"/>
                <w:lang w:eastAsia="zh-CN"/>
              </w:rPr>
              <w:t>上文</w:t>
            </w:r>
            <w:r>
              <w:rPr>
                <w:rFonts w:hint="eastAsia" w:ascii="Times New Roman" w:hAnsi="Times New Roman" w:cs="Times New Roman"/>
                <w:sz w:val="24"/>
              </w:rPr>
              <w:t>“织造废水”分析内容</w:t>
            </w:r>
            <w:r>
              <w:rPr>
                <w:rFonts w:hint="eastAsia" w:ascii="Times New Roman" w:hAnsi="Times New Roman" w:cs="Times New Roman"/>
                <w:sz w:val="24"/>
                <w:lang w:eastAsia="zh-CN"/>
              </w:rPr>
              <w:t>。</w:t>
            </w:r>
          </w:p>
          <w:p>
            <w:pPr>
              <w:spacing w:line="500" w:lineRule="atLeast"/>
              <w:ind w:firstLine="480" w:firstLineChars="200"/>
              <w:rPr>
                <w:rFonts w:hint="eastAsia" w:eastAsia="宋体"/>
                <w:bCs/>
                <w:sz w:val="24"/>
                <w:szCs w:val="28"/>
                <w:lang w:eastAsia="zh-CN"/>
              </w:rPr>
            </w:pPr>
            <w:r>
              <w:rPr>
                <w:rFonts w:hint="eastAsia"/>
                <w:bCs/>
                <w:sz w:val="24"/>
                <w:szCs w:val="28"/>
                <w:lang w:val="en-US" w:eastAsia="zh-CN"/>
              </w:rPr>
              <w:t>d</w:t>
            </w:r>
            <w:r>
              <w:rPr>
                <w:rFonts w:hAnsi="宋体"/>
                <w:bCs/>
                <w:sz w:val="24"/>
                <w:szCs w:val="28"/>
              </w:rPr>
              <w:t>）</w:t>
            </w:r>
            <w:r>
              <w:rPr>
                <w:rFonts w:hint="eastAsia" w:hAnsi="宋体"/>
                <w:bCs/>
                <w:sz w:val="24"/>
                <w:szCs w:val="28"/>
                <w:lang w:eastAsia="zh-CN"/>
              </w:rPr>
              <w:t>喷淋补充水</w:t>
            </w:r>
          </w:p>
          <w:p>
            <w:pPr>
              <w:spacing w:line="500" w:lineRule="exact"/>
              <w:ind w:firstLine="480" w:firstLineChars="200"/>
              <w:rPr>
                <w:rFonts w:hint="eastAsia" w:ascii="Times New Roman" w:hAnsi="Times New Roman" w:cs="Times New Roman"/>
                <w:color w:val="auto"/>
                <w:sz w:val="24"/>
                <w:lang w:eastAsia="zh-CN"/>
              </w:rPr>
            </w:pPr>
            <w:r>
              <w:rPr>
                <w:rFonts w:hint="eastAsia" w:hAnsi="宋体"/>
                <w:sz w:val="24"/>
                <w:lang w:eastAsia="zh-CN"/>
              </w:rPr>
              <w:t>本项目设有两套冷却</w:t>
            </w:r>
            <w:r>
              <w:rPr>
                <w:rFonts w:hint="eastAsia" w:hAnsi="宋体"/>
                <w:sz w:val="24"/>
                <w:lang w:val="en-US" w:eastAsia="zh-CN"/>
              </w:rPr>
              <w:t>+</w:t>
            </w:r>
            <w:r>
              <w:rPr>
                <w:rFonts w:hint="eastAsia" w:hAnsi="宋体"/>
                <w:sz w:val="24"/>
                <w:lang w:eastAsia="zh-CN"/>
              </w:rPr>
              <w:t>水喷淋</w:t>
            </w:r>
            <w:r>
              <w:rPr>
                <w:rFonts w:hint="eastAsia" w:hAnsi="宋体"/>
                <w:sz w:val="24"/>
                <w:lang w:val="en-US" w:eastAsia="zh-CN"/>
              </w:rPr>
              <w:t>+工业静电油烟净化装置（TA001、TA002），</w:t>
            </w:r>
            <w:r>
              <w:rPr>
                <w:rFonts w:hint="eastAsia" w:ascii="Times New Roman" w:hAnsi="Times New Roman" w:cs="Times New Roman"/>
                <w:color w:val="auto"/>
                <w:sz w:val="24"/>
              </w:rPr>
              <w:t>根据设计，废气喷淋塔的液气比取</w:t>
            </w:r>
            <w:r>
              <w:rPr>
                <w:rFonts w:hint="eastAsia" w:cs="Times New Roman"/>
                <w:color w:val="auto"/>
                <w:sz w:val="24"/>
                <w:lang w:val="en-US" w:eastAsia="zh-CN"/>
              </w:rPr>
              <w:t>2</w:t>
            </w:r>
            <w:r>
              <w:rPr>
                <w:rFonts w:hint="eastAsia" w:ascii="Times New Roman" w:hAnsi="Times New Roman" w:cs="Times New Roman"/>
                <w:color w:val="auto"/>
                <w:sz w:val="24"/>
              </w:rPr>
              <w:t>L/m</w:t>
            </w:r>
            <w:r>
              <w:rPr>
                <w:rFonts w:hint="eastAsia" w:ascii="Times New Roman" w:hAnsi="Times New Roman" w:cs="Times New Roman"/>
                <w:color w:val="auto"/>
                <w:sz w:val="24"/>
                <w:vertAlign w:val="superscript"/>
              </w:rPr>
              <w:t>3</w:t>
            </w:r>
            <w:r>
              <w:rPr>
                <w:rFonts w:hint="eastAsia" w:ascii="Times New Roman" w:hAnsi="Times New Roman" w:cs="Times New Roman"/>
                <w:color w:val="auto"/>
                <w:sz w:val="24"/>
              </w:rPr>
              <w:t>，废气处理风量</w:t>
            </w:r>
            <w:r>
              <w:rPr>
                <w:rFonts w:hint="eastAsia" w:cs="Times New Roman"/>
                <w:color w:val="auto"/>
                <w:sz w:val="24"/>
                <w:lang w:eastAsia="zh-CN"/>
              </w:rPr>
              <w:t>分别</w:t>
            </w:r>
            <w:r>
              <w:rPr>
                <w:rFonts w:hint="eastAsia" w:ascii="Times New Roman" w:hAnsi="Times New Roman" w:cs="Times New Roman"/>
                <w:color w:val="auto"/>
                <w:sz w:val="24"/>
              </w:rPr>
              <w:t>为</w:t>
            </w:r>
            <w:r>
              <w:rPr>
                <w:rFonts w:hint="eastAsia" w:cs="Times New Roman"/>
                <w:color w:val="auto"/>
                <w:sz w:val="24"/>
                <w:lang w:val="en-US" w:eastAsia="zh-CN"/>
              </w:rPr>
              <w:t>5000</w:t>
            </w:r>
            <w:r>
              <w:rPr>
                <w:rFonts w:hint="eastAsia" w:ascii="Times New Roman" w:hAnsi="Times New Roman" w:cs="Times New Roman"/>
                <w:color w:val="auto"/>
                <w:sz w:val="24"/>
              </w:rPr>
              <w:t>m</w:t>
            </w:r>
            <w:r>
              <w:rPr>
                <w:rFonts w:hint="eastAsia" w:ascii="Times New Roman" w:hAnsi="Times New Roman" w:cs="Times New Roman"/>
                <w:color w:val="auto"/>
                <w:sz w:val="24"/>
                <w:vertAlign w:val="superscript"/>
              </w:rPr>
              <w:t>3</w:t>
            </w:r>
            <w:r>
              <w:rPr>
                <w:rFonts w:hint="eastAsia" w:ascii="Times New Roman" w:hAnsi="Times New Roman" w:cs="Times New Roman"/>
                <w:color w:val="auto"/>
                <w:sz w:val="24"/>
              </w:rPr>
              <w:t>/h</w:t>
            </w:r>
            <w:r>
              <w:rPr>
                <w:rFonts w:hint="eastAsia" w:cs="Times New Roman"/>
                <w:color w:val="auto"/>
                <w:sz w:val="24"/>
                <w:lang w:eastAsia="zh-CN"/>
              </w:rPr>
              <w:t>、</w:t>
            </w:r>
            <w:r>
              <w:rPr>
                <w:rFonts w:hint="eastAsia" w:ascii="Times New Roman" w:hAnsi="Times New Roman" w:cs="Times New Roman"/>
                <w:color w:val="auto"/>
                <w:sz w:val="24"/>
                <w:lang w:val="en-US" w:eastAsia="zh-CN"/>
              </w:rPr>
              <w:t>4000</w:t>
            </w:r>
            <w:r>
              <w:rPr>
                <w:rFonts w:hint="eastAsia" w:ascii="Times New Roman" w:hAnsi="Times New Roman" w:cs="Times New Roman"/>
                <w:color w:val="auto"/>
                <w:sz w:val="24"/>
              </w:rPr>
              <w:t>m</w:t>
            </w:r>
            <w:r>
              <w:rPr>
                <w:rFonts w:hint="eastAsia" w:ascii="Times New Roman" w:hAnsi="Times New Roman" w:cs="Times New Roman"/>
                <w:color w:val="auto"/>
                <w:sz w:val="24"/>
                <w:vertAlign w:val="superscript"/>
              </w:rPr>
              <w:t>3</w:t>
            </w:r>
            <w:r>
              <w:rPr>
                <w:rFonts w:hint="eastAsia" w:ascii="Times New Roman" w:hAnsi="Times New Roman" w:cs="Times New Roman"/>
                <w:color w:val="auto"/>
                <w:sz w:val="24"/>
              </w:rPr>
              <w:t>/h，喷淋循环水量为</w:t>
            </w:r>
            <w:r>
              <w:rPr>
                <w:rFonts w:hint="eastAsia" w:cs="Times New Roman"/>
                <w:color w:val="auto"/>
                <w:sz w:val="24"/>
                <w:lang w:val="en-US" w:eastAsia="zh-CN"/>
              </w:rPr>
              <w:t>2.5</w:t>
            </w:r>
            <w:r>
              <w:rPr>
                <w:rFonts w:hint="eastAsia" w:ascii="Times New Roman" w:hAnsi="Times New Roman" w:cs="Times New Roman"/>
                <w:color w:val="auto"/>
                <w:sz w:val="24"/>
              </w:rPr>
              <w:t>m</w:t>
            </w:r>
            <w:r>
              <w:rPr>
                <w:rFonts w:hint="eastAsia" w:ascii="Times New Roman" w:hAnsi="Times New Roman" w:cs="Times New Roman"/>
                <w:color w:val="auto"/>
                <w:sz w:val="24"/>
                <w:vertAlign w:val="superscript"/>
              </w:rPr>
              <w:t>3</w:t>
            </w:r>
            <w:r>
              <w:rPr>
                <w:rFonts w:hint="eastAsia" w:ascii="Times New Roman" w:hAnsi="Times New Roman" w:cs="Times New Roman"/>
                <w:color w:val="auto"/>
                <w:sz w:val="24"/>
              </w:rPr>
              <w:t>/h</w:t>
            </w:r>
            <w:r>
              <w:rPr>
                <w:rFonts w:hint="eastAsia" w:cs="Times New Roman"/>
                <w:color w:val="auto"/>
                <w:sz w:val="24"/>
                <w:lang w:eastAsia="zh-CN"/>
              </w:rPr>
              <w:t>（</w:t>
            </w:r>
            <w:r>
              <w:rPr>
                <w:rFonts w:hint="eastAsia" w:cs="Times New Roman"/>
                <w:color w:val="auto"/>
                <w:sz w:val="24"/>
                <w:lang w:val="en-US" w:eastAsia="zh-CN"/>
              </w:rPr>
              <w:t>18000</w:t>
            </w:r>
            <w:r>
              <w:rPr>
                <w:rFonts w:hint="eastAsia" w:ascii="Times New Roman" w:hAnsi="Times New Roman" w:cs="Times New Roman"/>
                <w:color w:val="auto"/>
                <w:sz w:val="24"/>
              </w:rPr>
              <w:t>m</w:t>
            </w:r>
            <w:r>
              <w:rPr>
                <w:rFonts w:hint="eastAsia" w:ascii="Times New Roman" w:hAnsi="Times New Roman" w:cs="Times New Roman"/>
                <w:color w:val="auto"/>
                <w:sz w:val="24"/>
                <w:vertAlign w:val="superscript"/>
              </w:rPr>
              <w:t>3</w:t>
            </w:r>
            <w:r>
              <w:rPr>
                <w:rFonts w:hint="eastAsia" w:ascii="Times New Roman" w:hAnsi="Times New Roman" w:cs="Times New Roman"/>
                <w:color w:val="auto"/>
                <w:sz w:val="24"/>
              </w:rPr>
              <w:t>/</w:t>
            </w:r>
            <w:r>
              <w:rPr>
                <w:rFonts w:hint="eastAsia" w:ascii="Times New Roman" w:hAnsi="Times New Roman" w:cs="Times New Roman"/>
                <w:color w:val="auto"/>
                <w:sz w:val="24"/>
                <w:lang w:val="en-US" w:eastAsia="zh-CN"/>
              </w:rPr>
              <w:t>a</w:t>
            </w:r>
            <w:r>
              <w:rPr>
                <w:rFonts w:hint="eastAsia" w:cs="Times New Roman"/>
                <w:color w:val="auto"/>
                <w:sz w:val="24"/>
                <w:lang w:eastAsia="zh-CN"/>
              </w:rPr>
              <w:t>）、</w:t>
            </w:r>
            <w:r>
              <w:rPr>
                <w:rFonts w:hint="eastAsia" w:cs="Times New Roman"/>
                <w:color w:val="auto"/>
                <w:sz w:val="24"/>
                <w:lang w:val="en-US" w:eastAsia="zh-CN"/>
              </w:rPr>
              <w:t>2</w:t>
            </w:r>
            <w:r>
              <w:rPr>
                <w:rFonts w:hint="eastAsia" w:ascii="Times New Roman" w:hAnsi="Times New Roman" w:cs="Times New Roman"/>
                <w:color w:val="auto"/>
                <w:sz w:val="24"/>
              </w:rPr>
              <w:t>m</w:t>
            </w:r>
            <w:r>
              <w:rPr>
                <w:rFonts w:hint="eastAsia" w:ascii="Times New Roman" w:hAnsi="Times New Roman" w:cs="Times New Roman"/>
                <w:color w:val="auto"/>
                <w:sz w:val="24"/>
                <w:vertAlign w:val="superscript"/>
              </w:rPr>
              <w:t>3</w:t>
            </w:r>
            <w:r>
              <w:rPr>
                <w:rFonts w:hint="eastAsia" w:ascii="Times New Roman" w:hAnsi="Times New Roman" w:cs="Times New Roman"/>
                <w:color w:val="auto"/>
                <w:sz w:val="24"/>
              </w:rPr>
              <w:t>/h</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14400</w:t>
            </w:r>
            <w:r>
              <w:rPr>
                <w:rFonts w:hint="eastAsia" w:ascii="Times New Roman" w:hAnsi="Times New Roman" w:cs="Times New Roman"/>
                <w:color w:val="auto"/>
                <w:sz w:val="24"/>
              </w:rPr>
              <w:t>m</w:t>
            </w:r>
            <w:r>
              <w:rPr>
                <w:rFonts w:hint="eastAsia" w:ascii="Times New Roman" w:hAnsi="Times New Roman" w:cs="Times New Roman"/>
                <w:color w:val="auto"/>
                <w:sz w:val="24"/>
                <w:vertAlign w:val="superscript"/>
              </w:rPr>
              <w:t>3</w:t>
            </w:r>
            <w:r>
              <w:rPr>
                <w:rFonts w:hint="eastAsia" w:ascii="Times New Roman" w:hAnsi="Times New Roman" w:cs="Times New Roman"/>
                <w:color w:val="auto"/>
                <w:sz w:val="24"/>
              </w:rPr>
              <w:t>/</w:t>
            </w:r>
            <w:r>
              <w:rPr>
                <w:rFonts w:hint="eastAsia" w:ascii="Times New Roman" w:hAnsi="Times New Roman" w:cs="Times New Roman"/>
                <w:color w:val="auto"/>
                <w:sz w:val="24"/>
                <w:lang w:val="en-US" w:eastAsia="zh-CN"/>
              </w:rPr>
              <w:t>a</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，损耗量按年循环水量的0.05%计，年损耗水量</w:t>
            </w:r>
            <w:r>
              <w:rPr>
                <w:rFonts w:hint="eastAsia" w:cs="Times New Roman"/>
                <w:color w:val="auto"/>
                <w:sz w:val="24"/>
                <w:lang w:eastAsia="zh-CN"/>
              </w:rPr>
              <w:t>共计</w:t>
            </w:r>
            <w:r>
              <w:rPr>
                <w:rFonts w:hint="eastAsia" w:cs="Times New Roman"/>
                <w:color w:val="auto"/>
                <w:sz w:val="24"/>
                <w:lang w:val="en-US" w:eastAsia="zh-CN"/>
              </w:rPr>
              <w:t>16.2</w:t>
            </w:r>
            <w:r>
              <w:rPr>
                <w:rFonts w:hint="eastAsia" w:ascii="Times New Roman" w:hAnsi="Times New Roman" w:cs="Times New Roman"/>
                <w:color w:val="auto"/>
                <w:sz w:val="24"/>
              </w:rPr>
              <w:t>t/a。</w:t>
            </w:r>
            <w:r>
              <w:rPr>
                <w:rFonts w:hint="eastAsia" w:cs="Times New Roman"/>
                <w:color w:val="auto"/>
                <w:sz w:val="24"/>
                <w:lang w:eastAsia="zh-CN"/>
              </w:rPr>
              <w:t>两套处理装置均配备</w:t>
            </w:r>
            <w:r>
              <w:rPr>
                <w:rFonts w:hint="eastAsia" w:cs="Times New Roman"/>
                <w:color w:val="auto"/>
                <w:sz w:val="24"/>
                <w:lang w:val="en-US" w:eastAsia="zh-CN"/>
              </w:rPr>
              <w:t>1个1t的喷淋水箱。</w:t>
            </w:r>
            <w:r>
              <w:rPr>
                <w:rFonts w:hint="eastAsia" w:ascii="Times New Roman" w:hAnsi="Times New Roman" w:cs="Times New Roman"/>
                <w:color w:val="auto"/>
                <w:sz w:val="24"/>
              </w:rPr>
              <w:t>废水定期补充新鲜水循环使用，当循环一定时间后，因</w:t>
            </w:r>
            <w:r>
              <w:rPr>
                <w:rFonts w:hint="eastAsia" w:ascii="Times New Roman" w:hAnsi="Times New Roman" w:cs="Times New Roman"/>
                <w:color w:val="auto"/>
                <w:sz w:val="24"/>
                <w:lang w:val="en-US" w:eastAsia="zh-CN"/>
              </w:rPr>
              <w:t>污染物</w:t>
            </w:r>
            <w:r>
              <w:rPr>
                <w:rFonts w:hint="eastAsia" w:ascii="Times New Roman" w:hAnsi="Times New Roman" w:cs="Times New Roman"/>
                <w:color w:val="auto"/>
                <w:sz w:val="24"/>
              </w:rPr>
              <w:t>浓度过高净化效率下降，不可再次循环使用，循环水池的喷淋水</w:t>
            </w:r>
            <w:r>
              <w:rPr>
                <w:rFonts w:hint="eastAsia" w:ascii="Times New Roman" w:hAnsi="Times New Roman" w:cs="Times New Roman"/>
                <w:color w:val="auto"/>
                <w:sz w:val="24"/>
                <w:lang w:val="en-US" w:eastAsia="zh-CN"/>
              </w:rPr>
              <w:t>每半年更换</w:t>
            </w:r>
            <w:r>
              <w:rPr>
                <w:rFonts w:hint="eastAsia" w:cs="Times New Roman"/>
                <w:color w:val="auto"/>
                <w:sz w:val="24"/>
                <w:lang w:val="en-US" w:eastAsia="zh-CN"/>
              </w:rPr>
              <w:t>一次</w:t>
            </w:r>
            <w:r>
              <w:rPr>
                <w:rFonts w:hint="eastAsia" w:ascii="Times New Roman" w:hAnsi="Times New Roman" w:cs="Times New Roman"/>
                <w:color w:val="auto"/>
                <w:sz w:val="24"/>
                <w:lang w:val="en-US" w:eastAsia="zh-CN"/>
              </w:rPr>
              <w:t>全部喷淋废液，收集的喷淋废液密闭储存，委托有资质的单位处置</w:t>
            </w:r>
            <w:r>
              <w:rPr>
                <w:rFonts w:hint="eastAsia" w:ascii="Times New Roman" w:hAnsi="Times New Roman" w:cs="Times New Roman"/>
                <w:color w:val="auto"/>
                <w:sz w:val="24"/>
                <w:lang w:eastAsia="zh-CN"/>
              </w:rPr>
              <w:t>。</w:t>
            </w:r>
          </w:p>
          <w:p>
            <w:pPr>
              <w:spacing w:line="500" w:lineRule="exact"/>
              <w:ind w:firstLine="480" w:firstLineChars="200"/>
              <w:rPr>
                <w:rFonts w:hint="eastAsia" w:eastAsia="宋体" w:cs="Times New Roman"/>
                <w:snapToGrid w:val="0"/>
                <w:color w:val="auto"/>
                <w:kern w:val="0"/>
                <w:sz w:val="24"/>
                <w:szCs w:val="24"/>
                <w:lang w:val="en-US" w:eastAsia="zh-CN"/>
              </w:rPr>
            </w:pPr>
            <w:r>
              <w:rPr>
                <w:rFonts w:hint="eastAsia" w:ascii="Times New Roman" w:hAnsi="Times New Roman" w:eastAsia="宋体" w:cs="Times New Roman"/>
                <w:snapToGrid w:val="0"/>
                <w:color w:val="auto"/>
                <w:kern w:val="0"/>
                <w:sz w:val="24"/>
                <w:szCs w:val="24"/>
              </w:rPr>
              <w:t>废气经水喷淋降温除尘，去油烟，主要原理是通过惯性作用、截留作用和扩散作用达到处理效果，对水质要求不高，因此喷淋废水经隔油</w:t>
            </w:r>
            <w:r>
              <w:rPr>
                <w:rFonts w:hint="eastAsia" w:ascii="Times New Roman" w:hAnsi="Times New Roman" w:eastAsia="宋体" w:cs="Times New Roman"/>
                <w:snapToGrid w:val="0"/>
                <w:color w:val="auto"/>
                <w:kern w:val="0"/>
                <w:sz w:val="24"/>
                <w:szCs w:val="24"/>
                <w:lang w:val="en-US" w:eastAsia="zh-CN"/>
              </w:rPr>
              <w:t>处理捞取浮油</w:t>
            </w:r>
            <w:r>
              <w:rPr>
                <w:rFonts w:hint="eastAsia" w:eastAsia="宋体" w:cs="Times New Roman"/>
                <w:snapToGrid w:val="0"/>
                <w:color w:val="auto"/>
                <w:kern w:val="0"/>
                <w:sz w:val="24"/>
                <w:szCs w:val="24"/>
                <w:lang w:val="en-US" w:eastAsia="zh-CN"/>
              </w:rPr>
              <w:t>后</w:t>
            </w:r>
            <w:r>
              <w:rPr>
                <w:rFonts w:hint="eastAsia" w:ascii="Times New Roman" w:hAnsi="Times New Roman" w:eastAsia="宋体" w:cs="Times New Roman"/>
                <w:snapToGrid w:val="0"/>
                <w:color w:val="auto"/>
                <w:kern w:val="0"/>
                <w:sz w:val="24"/>
                <w:szCs w:val="24"/>
              </w:rPr>
              <w:t>循环</w:t>
            </w:r>
            <w:r>
              <w:rPr>
                <w:rFonts w:hint="eastAsia" w:eastAsia="宋体" w:cs="Times New Roman"/>
                <w:snapToGrid w:val="0"/>
                <w:color w:val="auto"/>
                <w:kern w:val="0"/>
                <w:sz w:val="24"/>
                <w:szCs w:val="24"/>
                <w:lang w:eastAsia="zh-CN"/>
              </w:rPr>
              <w:t>、定期更换后使用</w:t>
            </w:r>
            <w:r>
              <w:rPr>
                <w:rFonts w:hint="eastAsia" w:ascii="Times New Roman" w:hAnsi="Times New Roman" w:eastAsia="宋体" w:cs="Times New Roman"/>
                <w:snapToGrid w:val="0"/>
                <w:color w:val="auto"/>
                <w:kern w:val="0"/>
                <w:sz w:val="24"/>
                <w:szCs w:val="24"/>
                <w:lang w:val="en-US" w:eastAsia="zh-CN"/>
              </w:rPr>
              <w:t>是可行的</w:t>
            </w:r>
            <w:r>
              <w:rPr>
                <w:rFonts w:hint="eastAsia" w:eastAsia="宋体" w:cs="Times New Roman"/>
                <w:snapToGrid w:val="0"/>
                <w:color w:val="auto"/>
                <w:kern w:val="0"/>
                <w:sz w:val="24"/>
                <w:szCs w:val="24"/>
                <w:lang w:val="en-US" w:eastAsia="zh-CN"/>
              </w:rPr>
              <w:t>。</w:t>
            </w:r>
          </w:p>
          <w:p>
            <w:pPr>
              <w:spacing w:line="500" w:lineRule="atLeast"/>
              <w:ind w:firstLine="480" w:firstLineChars="200"/>
              <w:rPr>
                <w:rFonts w:hint="eastAsia" w:eastAsia="宋体"/>
                <w:bCs/>
                <w:sz w:val="24"/>
                <w:szCs w:val="28"/>
                <w:lang w:eastAsia="zh-CN"/>
              </w:rPr>
            </w:pPr>
            <w:r>
              <w:rPr>
                <w:rFonts w:hint="eastAsia"/>
                <w:bCs/>
                <w:sz w:val="24"/>
                <w:szCs w:val="28"/>
                <w:lang w:val="en-US" w:eastAsia="zh-CN"/>
              </w:rPr>
              <w:t>d</w:t>
            </w:r>
            <w:r>
              <w:rPr>
                <w:rFonts w:hAnsi="宋体"/>
                <w:bCs/>
                <w:sz w:val="24"/>
                <w:szCs w:val="28"/>
              </w:rPr>
              <w:t>）</w:t>
            </w:r>
            <w:r>
              <w:rPr>
                <w:rFonts w:hint="eastAsia" w:hAnsi="宋体"/>
                <w:bCs/>
                <w:sz w:val="24"/>
                <w:szCs w:val="28"/>
                <w:lang w:eastAsia="zh-CN"/>
              </w:rPr>
              <w:t>冷却补充水</w:t>
            </w:r>
          </w:p>
          <w:p>
            <w:pPr>
              <w:spacing w:line="500" w:lineRule="exact"/>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本项目产生的加弹废气</w:t>
            </w:r>
            <w:r>
              <w:rPr>
                <w:rFonts w:hint="eastAsia" w:cs="Times New Roman"/>
                <w:color w:val="auto"/>
                <w:sz w:val="24"/>
                <w:lang w:eastAsia="zh-CN"/>
              </w:rPr>
              <w:t>和有机废气</w:t>
            </w:r>
            <w:r>
              <w:rPr>
                <w:rFonts w:hint="eastAsia" w:ascii="Times New Roman" w:hAnsi="Times New Roman" w:cs="Times New Roman"/>
                <w:color w:val="auto"/>
                <w:sz w:val="24"/>
              </w:rPr>
              <w:t>采用冷却+水喷淋+工业静电油烟净化装置收集处理，其中冷却处理装置需用冷却水对废气进行夹套冷却。该冷却水不和废气直接接触，水质不会产生较大变化，且冷却循环水水质要求不高，可循环使用不外排。只需定期补充自来水，年补充量约</w:t>
            </w:r>
            <w:r>
              <w:rPr>
                <w:rFonts w:hint="eastAsia" w:cs="Times New Roman"/>
                <w:color w:val="auto"/>
                <w:sz w:val="24"/>
                <w:lang w:val="en-US" w:eastAsia="zh-CN"/>
              </w:rPr>
              <w:t>50</w:t>
            </w:r>
            <w:r>
              <w:rPr>
                <w:rFonts w:hint="eastAsia" w:ascii="Times New Roman" w:hAnsi="Times New Roman" w:cs="Times New Roman"/>
                <w:color w:val="auto"/>
                <w:sz w:val="24"/>
              </w:rPr>
              <w:t>t。</w:t>
            </w:r>
          </w:p>
          <w:p>
            <w:pPr>
              <w:spacing w:line="500" w:lineRule="exact"/>
              <w:ind w:firstLine="480" w:firstLineChars="200"/>
              <w:rPr>
                <w:b/>
                <w:bCs/>
                <w:szCs w:val="21"/>
              </w:rPr>
            </w:pPr>
            <w:r>
              <w:rPr>
                <w:rFonts w:hAnsi="宋体"/>
                <w:sz w:val="24"/>
              </w:rPr>
              <w:t>项目废水产生及排放情况见表</w:t>
            </w:r>
            <w:r>
              <w:rPr>
                <w:sz w:val="24"/>
              </w:rPr>
              <w:t>4.3-</w:t>
            </w:r>
            <w:r>
              <w:rPr>
                <w:rFonts w:hint="eastAsia"/>
                <w:sz w:val="24"/>
                <w:lang w:val="en-US" w:eastAsia="zh-CN"/>
              </w:rPr>
              <w:t>4</w:t>
            </w:r>
          </w:p>
          <w:p>
            <w:pPr>
              <w:adjustRightInd w:val="0"/>
              <w:snapToGrid w:val="0"/>
              <w:spacing w:line="460" w:lineRule="exact"/>
              <w:jc w:val="center"/>
              <w:rPr>
                <w:rFonts w:hAnsi="宋体"/>
                <w:b/>
                <w:bCs/>
                <w:szCs w:val="21"/>
              </w:rPr>
            </w:pPr>
          </w:p>
          <w:p>
            <w:pPr>
              <w:adjustRightInd w:val="0"/>
              <w:snapToGrid w:val="0"/>
              <w:spacing w:line="460" w:lineRule="exact"/>
              <w:jc w:val="center"/>
              <w:rPr>
                <w:rFonts w:hAnsi="宋体"/>
                <w:b/>
                <w:bCs/>
                <w:szCs w:val="21"/>
              </w:rPr>
            </w:pPr>
          </w:p>
          <w:p>
            <w:pPr>
              <w:adjustRightInd w:val="0"/>
              <w:snapToGrid w:val="0"/>
              <w:spacing w:line="460" w:lineRule="exact"/>
              <w:jc w:val="center"/>
              <w:rPr>
                <w:rFonts w:hAnsi="宋体"/>
                <w:b/>
                <w:bCs/>
                <w:szCs w:val="21"/>
              </w:rPr>
            </w:pPr>
          </w:p>
          <w:p>
            <w:pPr>
              <w:adjustRightInd w:val="0"/>
              <w:snapToGrid w:val="0"/>
              <w:spacing w:line="460" w:lineRule="exact"/>
              <w:jc w:val="center"/>
              <w:rPr>
                <w:b/>
                <w:bCs/>
                <w:szCs w:val="21"/>
              </w:rPr>
            </w:pPr>
            <w:r>
              <w:rPr>
                <w:rFonts w:hAnsi="宋体"/>
                <w:b/>
                <w:bCs/>
                <w:szCs w:val="21"/>
              </w:rPr>
              <w:t>表</w:t>
            </w:r>
            <w:r>
              <w:rPr>
                <w:b/>
                <w:bCs/>
                <w:szCs w:val="21"/>
              </w:rPr>
              <w:t>4.3-</w:t>
            </w:r>
            <w:r>
              <w:rPr>
                <w:rFonts w:hint="eastAsia"/>
                <w:b/>
                <w:bCs/>
                <w:szCs w:val="21"/>
                <w:lang w:val="en-US" w:eastAsia="zh-CN"/>
              </w:rPr>
              <w:t>4</w:t>
            </w:r>
            <w:r>
              <w:rPr>
                <w:b/>
                <w:bCs/>
                <w:szCs w:val="21"/>
              </w:rPr>
              <w:t xml:space="preserve">  </w:t>
            </w:r>
            <w:r>
              <w:rPr>
                <w:rFonts w:hAnsi="宋体"/>
                <w:b/>
                <w:bCs/>
                <w:szCs w:val="21"/>
              </w:rPr>
              <w:t>废水产生</w:t>
            </w:r>
            <w:r>
              <w:rPr>
                <w:rFonts w:hint="eastAsia" w:hAnsi="宋体"/>
                <w:b/>
                <w:bCs/>
                <w:szCs w:val="21"/>
                <w:lang w:eastAsia="zh-CN"/>
              </w:rPr>
              <w:t>、排放</w:t>
            </w:r>
            <w:r>
              <w:rPr>
                <w:rFonts w:hAnsi="宋体"/>
                <w:b/>
                <w:bCs/>
                <w:szCs w:val="21"/>
              </w:rPr>
              <w:t>情况汇总</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506"/>
              <w:gridCol w:w="1146"/>
              <w:gridCol w:w="1374"/>
              <w:gridCol w:w="1192"/>
              <w:gridCol w:w="1177"/>
              <w:gridCol w:w="1168"/>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restart"/>
                  <w:tcMar>
                    <w:left w:w="51" w:type="dxa"/>
                    <w:right w:w="51" w:type="dxa"/>
                  </w:tcMar>
                  <w:vAlign w:val="center"/>
                </w:tcPr>
                <w:p>
                  <w:pPr>
                    <w:adjustRightInd w:val="0"/>
                    <w:snapToGrid w:val="0"/>
                    <w:jc w:val="center"/>
                    <w:rPr>
                      <w:szCs w:val="21"/>
                    </w:rPr>
                  </w:pPr>
                  <w:r>
                    <w:rPr>
                      <w:rFonts w:hAnsi="宋体"/>
                      <w:szCs w:val="21"/>
                    </w:rPr>
                    <w:t>编号</w:t>
                  </w:r>
                </w:p>
              </w:tc>
              <w:tc>
                <w:tcPr>
                  <w:tcW w:w="1652" w:type="dxa"/>
                  <w:gridSpan w:val="2"/>
                  <w:vMerge w:val="restart"/>
                  <w:tcMar>
                    <w:left w:w="51" w:type="dxa"/>
                    <w:right w:w="51" w:type="dxa"/>
                  </w:tcMar>
                  <w:vAlign w:val="center"/>
                </w:tcPr>
                <w:p>
                  <w:pPr>
                    <w:adjustRightInd w:val="0"/>
                    <w:snapToGrid w:val="0"/>
                    <w:jc w:val="center"/>
                    <w:rPr>
                      <w:szCs w:val="21"/>
                    </w:rPr>
                  </w:pPr>
                  <w:r>
                    <w:rPr>
                      <w:rFonts w:hAnsi="宋体"/>
                      <w:szCs w:val="21"/>
                    </w:rPr>
                    <w:t>污染源</w:t>
                  </w:r>
                </w:p>
              </w:tc>
              <w:tc>
                <w:tcPr>
                  <w:tcW w:w="1374" w:type="dxa"/>
                  <w:vMerge w:val="restart"/>
                  <w:tcMar>
                    <w:left w:w="51" w:type="dxa"/>
                    <w:right w:w="51" w:type="dxa"/>
                  </w:tcMar>
                  <w:vAlign w:val="center"/>
                </w:tcPr>
                <w:p>
                  <w:pPr>
                    <w:adjustRightInd w:val="0"/>
                    <w:snapToGrid w:val="0"/>
                    <w:jc w:val="center"/>
                    <w:rPr>
                      <w:szCs w:val="21"/>
                    </w:rPr>
                  </w:pPr>
                  <w:r>
                    <w:rPr>
                      <w:rFonts w:hAnsi="宋体"/>
                      <w:szCs w:val="21"/>
                    </w:rPr>
                    <w:t>污染因子</w:t>
                  </w:r>
                </w:p>
              </w:tc>
              <w:tc>
                <w:tcPr>
                  <w:tcW w:w="2369" w:type="dxa"/>
                  <w:gridSpan w:val="2"/>
                  <w:tcMar>
                    <w:left w:w="51" w:type="dxa"/>
                    <w:right w:w="51" w:type="dxa"/>
                  </w:tcMar>
                  <w:vAlign w:val="center"/>
                </w:tcPr>
                <w:p>
                  <w:pPr>
                    <w:pStyle w:val="144"/>
                    <w:adjustRightInd w:val="0"/>
                    <w:rPr>
                      <w:sz w:val="21"/>
                      <w:szCs w:val="21"/>
                    </w:rPr>
                  </w:pPr>
                  <w:r>
                    <w:rPr>
                      <w:rFonts w:hAnsi="宋体"/>
                      <w:sz w:val="21"/>
                      <w:szCs w:val="21"/>
                    </w:rPr>
                    <w:t>产生情况</w:t>
                  </w:r>
                </w:p>
              </w:tc>
              <w:tc>
                <w:tcPr>
                  <w:tcW w:w="2336" w:type="dxa"/>
                  <w:gridSpan w:val="2"/>
                  <w:tcMar>
                    <w:left w:w="51" w:type="dxa"/>
                    <w:right w:w="51" w:type="dxa"/>
                  </w:tcMar>
                  <w:vAlign w:val="center"/>
                </w:tcPr>
                <w:p>
                  <w:pPr>
                    <w:pStyle w:val="144"/>
                    <w:adjustRightInd w:val="0"/>
                    <w:rPr>
                      <w:rFonts w:hint="eastAsia" w:hAnsi="宋体" w:eastAsia="宋体"/>
                      <w:sz w:val="21"/>
                      <w:szCs w:val="21"/>
                      <w:lang w:eastAsia="zh-CN"/>
                    </w:rPr>
                  </w:pPr>
                  <w:r>
                    <w:rPr>
                      <w:rFonts w:hint="eastAsia" w:hAnsi="宋体"/>
                      <w:sz w:val="21"/>
                      <w:szCs w:val="21"/>
                      <w:lang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Mar>
                    <w:left w:w="51" w:type="dxa"/>
                    <w:right w:w="51" w:type="dxa"/>
                  </w:tcMar>
                  <w:vAlign w:val="center"/>
                </w:tcPr>
                <w:p>
                  <w:pPr>
                    <w:adjustRightInd w:val="0"/>
                    <w:snapToGrid w:val="0"/>
                    <w:jc w:val="center"/>
                    <w:rPr>
                      <w:szCs w:val="21"/>
                    </w:rPr>
                  </w:pPr>
                </w:p>
              </w:tc>
              <w:tc>
                <w:tcPr>
                  <w:tcW w:w="1652" w:type="dxa"/>
                  <w:gridSpan w:val="2"/>
                  <w:vMerge w:val="continue"/>
                  <w:tcMar>
                    <w:left w:w="51" w:type="dxa"/>
                    <w:right w:w="51" w:type="dxa"/>
                  </w:tcMar>
                  <w:vAlign w:val="center"/>
                </w:tcPr>
                <w:p>
                  <w:pPr>
                    <w:adjustRightInd w:val="0"/>
                    <w:snapToGrid w:val="0"/>
                    <w:jc w:val="center"/>
                    <w:rPr>
                      <w:szCs w:val="21"/>
                    </w:rPr>
                  </w:pPr>
                </w:p>
              </w:tc>
              <w:tc>
                <w:tcPr>
                  <w:tcW w:w="1374" w:type="dxa"/>
                  <w:vMerge w:val="continue"/>
                  <w:tcMar>
                    <w:left w:w="51" w:type="dxa"/>
                    <w:right w:w="51" w:type="dxa"/>
                  </w:tcMar>
                  <w:vAlign w:val="center"/>
                </w:tcPr>
                <w:p>
                  <w:pPr>
                    <w:adjustRightInd w:val="0"/>
                    <w:snapToGrid w:val="0"/>
                    <w:jc w:val="center"/>
                    <w:rPr>
                      <w:szCs w:val="21"/>
                    </w:rPr>
                  </w:pPr>
                </w:p>
              </w:tc>
              <w:tc>
                <w:tcPr>
                  <w:tcW w:w="1192" w:type="dxa"/>
                  <w:tcMar>
                    <w:left w:w="51" w:type="dxa"/>
                    <w:right w:w="51" w:type="dxa"/>
                  </w:tcMar>
                  <w:vAlign w:val="center"/>
                </w:tcPr>
                <w:p>
                  <w:pPr>
                    <w:pStyle w:val="144"/>
                    <w:adjustRightInd w:val="0"/>
                    <w:rPr>
                      <w:sz w:val="21"/>
                      <w:szCs w:val="21"/>
                    </w:rPr>
                  </w:pPr>
                  <w:r>
                    <w:rPr>
                      <w:rFonts w:hAnsi="宋体"/>
                      <w:sz w:val="21"/>
                      <w:szCs w:val="21"/>
                    </w:rPr>
                    <w:t>产生浓度</w:t>
                  </w:r>
                </w:p>
              </w:tc>
              <w:tc>
                <w:tcPr>
                  <w:tcW w:w="1177" w:type="dxa"/>
                  <w:tcMar>
                    <w:left w:w="51" w:type="dxa"/>
                    <w:right w:w="51" w:type="dxa"/>
                  </w:tcMar>
                  <w:vAlign w:val="center"/>
                </w:tcPr>
                <w:p>
                  <w:pPr>
                    <w:pStyle w:val="144"/>
                    <w:adjustRightInd w:val="0"/>
                    <w:rPr>
                      <w:sz w:val="21"/>
                      <w:szCs w:val="21"/>
                    </w:rPr>
                  </w:pPr>
                  <w:r>
                    <w:rPr>
                      <w:rFonts w:hAnsi="宋体"/>
                      <w:sz w:val="21"/>
                      <w:szCs w:val="21"/>
                    </w:rPr>
                    <w:t>产生量</w:t>
                  </w:r>
                </w:p>
              </w:tc>
              <w:tc>
                <w:tcPr>
                  <w:tcW w:w="1168" w:type="dxa"/>
                  <w:tcMar>
                    <w:left w:w="51" w:type="dxa"/>
                    <w:right w:w="51" w:type="dxa"/>
                  </w:tcMar>
                  <w:vAlign w:val="center"/>
                </w:tcPr>
                <w:p>
                  <w:pPr>
                    <w:pStyle w:val="144"/>
                    <w:adjustRightInd w:val="0"/>
                    <w:rPr>
                      <w:rFonts w:hint="eastAsia" w:hAnsi="宋体" w:eastAsia="宋体"/>
                      <w:sz w:val="21"/>
                      <w:szCs w:val="21"/>
                      <w:lang w:eastAsia="zh-CN"/>
                    </w:rPr>
                  </w:pPr>
                  <w:r>
                    <w:rPr>
                      <w:rFonts w:hint="eastAsia" w:hAnsi="宋体"/>
                      <w:sz w:val="21"/>
                      <w:szCs w:val="21"/>
                      <w:lang w:eastAsia="zh-CN"/>
                    </w:rPr>
                    <w:t>排放浓度</w:t>
                  </w:r>
                </w:p>
              </w:tc>
              <w:tc>
                <w:tcPr>
                  <w:tcW w:w="1168" w:type="dxa"/>
                  <w:tcMar>
                    <w:left w:w="51" w:type="dxa"/>
                    <w:right w:w="51" w:type="dxa"/>
                  </w:tcMar>
                  <w:vAlign w:val="center"/>
                </w:tcPr>
                <w:p>
                  <w:pPr>
                    <w:pStyle w:val="144"/>
                    <w:adjustRightInd w:val="0"/>
                    <w:rPr>
                      <w:rFonts w:hint="eastAsia" w:hAnsi="宋体" w:eastAsia="宋体"/>
                      <w:sz w:val="21"/>
                      <w:szCs w:val="21"/>
                      <w:lang w:eastAsia="zh-CN"/>
                    </w:rPr>
                  </w:pPr>
                  <w:r>
                    <w:rPr>
                      <w:rFonts w:hint="eastAsia" w:hAnsi="宋体"/>
                      <w:sz w:val="21"/>
                      <w:szCs w:val="21"/>
                      <w:lang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Mar>
                    <w:left w:w="51" w:type="dxa"/>
                    <w:right w:w="51" w:type="dxa"/>
                  </w:tcMar>
                  <w:vAlign w:val="center"/>
                </w:tcPr>
                <w:p>
                  <w:pPr>
                    <w:adjustRightInd w:val="0"/>
                    <w:snapToGrid w:val="0"/>
                    <w:jc w:val="center"/>
                    <w:rPr>
                      <w:szCs w:val="21"/>
                    </w:rPr>
                  </w:pPr>
                </w:p>
              </w:tc>
              <w:tc>
                <w:tcPr>
                  <w:tcW w:w="1652" w:type="dxa"/>
                  <w:gridSpan w:val="2"/>
                  <w:vMerge w:val="continue"/>
                  <w:tcMar>
                    <w:left w:w="51" w:type="dxa"/>
                    <w:right w:w="51" w:type="dxa"/>
                  </w:tcMar>
                  <w:vAlign w:val="center"/>
                </w:tcPr>
                <w:p>
                  <w:pPr>
                    <w:adjustRightInd w:val="0"/>
                    <w:snapToGrid w:val="0"/>
                    <w:jc w:val="center"/>
                    <w:rPr>
                      <w:szCs w:val="21"/>
                    </w:rPr>
                  </w:pPr>
                </w:p>
              </w:tc>
              <w:tc>
                <w:tcPr>
                  <w:tcW w:w="1374" w:type="dxa"/>
                  <w:vMerge w:val="continue"/>
                  <w:tcMar>
                    <w:left w:w="51" w:type="dxa"/>
                    <w:right w:w="51" w:type="dxa"/>
                  </w:tcMar>
                  <w:vAlign w:val="center"/>
                </w:tcPr>
                <w:p>
                  <w:pPr>
                    <w:adjustRightInd w:val="0"/>
                    <w:snapToGrid w:val="0"/>
                    <w:jc w:val="center"/>
                    <w:rPr>
                      <w:szCs w:val="21"/>
                    </w:rPr>
                  </w:pPr>
                </w:p>
              </w:tc>
              <w:tc>
                <w:tcPr>
                  <w:tcW w:w="1192" w:type="dxa"/>
                  <w:tcMar>
                    <w:left w:w="51" w:type="dxa"/>
                    <w:right w:w="51" w:type="dxa"/>
                  </w:tcMar>
                  <w:vAlign w:val="center"/>
                </w:tcPr>
                <w:p>
                  <w:pPr>
                    <w:adjustRightInd w:val="0"/>
                    <w:snapToGrid w:val="0"/>
                    <w:jc w:val="center"/>
                    <w:rPr>
                      <w:szCs w:val="21"/>
                    </w:rPr>
                  </w:pPr>
                  <w:r>
                    <w:rPr>
                      <w:szCs w:val="21"/>
                    </w:rPr>
                    <w:t>mg/L</w:t>
                  </w:r>
                </w:p>
              </w:tc>
              <w:tc>
                <w:tcPr>
                  <w:tcW w:w="1177" w:type="dxa"/>
                  <w:tcMar>
                    <w:left w:w="51" w:type="dxa"/>
                    <w:right w:w="51" w:type="dxa"/>
                  </w:tcMar>
                  <w:vAlign w:val="center"/>
                </w:tcPr>
                <w:p>
                  <w:pPr>
                    <w:adjustRightInd w:val="0"/>
                    <w:snapToGrid w:val="0"/>
                    <w:jc w:val="center"/>
                    <w:rPr>
                      <w:szCs w:val="21"/>
                    </w:rPr>
                  </w:pPr>
                  <w:r>
                    <w:rPr>
                      <w:szCs w:val="21"/>
                    </w:rPr>
                    <w:t>t/a</w:t>
                  </w:r>
                </w:p>
              </w:tc>
              <w:tc>
                <w:tcPr>
                  <w:tcW w:w="1168" w:type="dxa"/>
                  <w:tcMar>
                    <w:left w:w="51" w:type="dxa"/>
                    <w:right w:w="51" w:type="dxa"/>
                  </w:tcMar>
                  <w:vAlign w:val="center"/>
                </w:tcPr>
                <w:p>
                  <w:pPr>
                    <w:adjustRightInd w:val="0"/>
                    <w:snapToGrid w:val="0"/>
                    <w:jc w:val="center"/>
                    <w:rPr>
                      <w:szCs w:val="21"/>
                    </w:rPr>
                  </w:pPr>
                  <w:r>
                    <w:rPr>
                      <w:szCs w:val="21"/>
                    </w:rPr>
                    <w:t>mg/L</w:t>
                  </w:r>
                </w:p>
              </w:tc>
              <w:tc>
                <w:tcPr>
                  <w:tcW w:w="1168" w:type="dxa"/>
                  <w:tcMar>
                    <w:left w:w="51" w:type="dxa"/>
                    <w:right w:w="51" w:type="dxa"/>
                  </w:tcMar>
                  <w:vAlign w:val="center"/>
                </w:tcPr>
                <w:p>
                  <w:pPr>
                    <w:pStyle w:val="3"/>
                    <w:ind w:left="0" w:leftChars="0" w:firstLine="0" w:firstLineChars="0"/>
                    <w:jc w:val="center"/>
                    <w:rPr>
                      <w:rFonts w:hint="default" w:eastAsia="宋体"/>
                      <w:lang w:val="en-US" w:eastAsia="zh-CN"/>
                    </w:rPr>
                  </w:pPr>
                  <w:r>
                    <w:rPr>
                      <w:rFonts w:hint="eastAsia"/>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restart"/>
                  <w:tcMar>
                    <w:left w:w="51" w:type="dxa"/>
                    <w:right w:w="51" w:type="dxa"/>
                  </w:tcMar>
                  <w:vAlign w:val="center"/>
                </w:tcPr>
                <w:p>
                  <w:pPr>
                    <w:adjustRightInd w:val="0"/>
                    <w:snapToGrid w:val="0"/>
                    <w:jc w:val="center"/>
                    <w:rPr>
                      <w:szCs w:val="21"/>
                    </w:rPr>
                  </w:pPr>
                  <w:r>
                    <w:rPr>
                      <w:szCs w:val="21"/>
                    </w:rPr>
                    <w:t>1</w:t>
                  </w:r>
                </w:p>
              </w:tc>
              <w:tc>
                <w:tcPr>
                  <w:tcW w:w="1652" w:type="dxa"/>
                  <w:gridSpan w:val="2"/>
                  <w:vMerge w:val="restart"/>
                  <w:tcMar>
                    <w:left w:w="51" w:type="dxa"/>
                    <w:right w:w="51" w:type="dxa"/>
                  </w:tcMar>
                  <w:vAlign w:val="center"/>
                </w:tcPr>
                <w:p>
                  <w:pPr>
                    <w:pStyle w:val="23"/>
                    <w:adjustRightInd w:val="0"/>
                    <w:snapToGrid w:val="0"/>
                    <w:jc w:val="center"/>
                    <w:rPr>
                      <w:rFonts w:ascii="Times New Roman" w:hAnsi="Times New Roman"/>
                      <w:sz w:val="21"/>
                      <w:szCs w:val="21"/>
                    </w:rPr>
                  </w:pPr>
                  <w:r>
                    <w:rPr>
                      <w:rFonts w:ascii="Times New Roman" w:hAnsi="宋体"/>
                      <w:sz w:val="21"/>
                      <w:szCs w:val="21"/>
                    </w:rPr>
                    <w:t>生活污水</w:t>
                  </w:r>
                </w:p>
              </w:tc>
              <w:tc>
                <w:tcPr>
                  <w:tcW w:w="1374" w:type="dxa"/>
                  <w:tcMar>
                    <w:left w:w="51" w:type="dxa"/>
                    <w:right w:w="51" w:type="dxa"/>
                  </w:tcMar>
                  <w:vAlign w:val="center"/>
                </w:tcPr>
                <w:p>
                  <w:pPr>
                    <w:adjustRightInd w:val="0"/>
                    <w:snapToGrid w:val="0"/>
                    <w:jc w:val="center"/>
                    <w:rPr>
                      <w:szCs w:val="21"/>
                    </w:rPr>
                  </w:pPr>
                  <w:r>
                    <w:rPr>
                      <w:rFonts w:hAnsi="宋体"/>
                      <w:szCs w:val="21"/>
                    </w:rPr>
                    <w:t>废水量</w:t>
                  </w:r>
                </w:p>
              </w:tc>
              <w:tc>
                <w:tcPr>
                  <w:tcW w:w="1192" w:type="dxa"/>
                  <w:tcMar>
                    <w:left w:w="51" w:type="dxa"/>
                    <w:right w:w="51" w:type="dxa"/>
                  </w:tcMar>
                  <w:vAlign w:val="center"/>
                </w:tcPr>
                <w:p>
                  <w:pPr>
                    <w:widowControl/>
                    <w:adjustRightInd w:val="0"/>
                    <w:snapToGrid w:val="0"/>
                    <w:jc w:val="center"/>
                    <w:rPr>
                      <w:kern w:val="0"/>
                      <w:szCs w:val="21"/>
                    </w:rPr>
                  </w:pPr>
                  <w:r>
                    <w:rPr>
                      <w:szCs w:val="21"/>
                    </w:rPr>
                    <w:t>/</w:t>
                  </w:r>
                </w:p>
              </w:tc>
              <w:tc>
                <w:tcPr>
                  <w:tcW w:w="1177" w:type="dxa"/>
                  <w:tcMar>
                    <w:left w:w="51" w:type="dxa"/>
                    <w:right w:w="51" w:type="dxa"/>
                  </w:tcMar>
                  <w:vAlign w:val="center"/>
                </w:tcPr>
                <w:p>
                  <w:pPr>
                    <w:adjustRightInd w:val="0"/>
                    <w:snapToGrid w:val="0"/>
                    <w:jc w:val="center"/>
                    <w:rPr>
                      <w:rFonts w:hint="default" w:eastAsia="宋体"/>
                      <w:kern w:val="0"/>
                      <w:szCs w:val="21"/>
                      <w:lang w:val="en-US" w:eastAsia="zh-CN"/>
                    </w:rPr>
                  </w:pPr>
                  <w:r>
                    <w:rPr>
                      <w:rFonts w:hint="eastAsia"/>
                      <w:kern w:val="0"/>
                      <w:szCs w:val="21"/>
                      <w:lang w:val="en-US" w:eastAsia="zh-CN"/>
                    </w:rPr>
                    <w:t>1200</w:t>
                  </w:r>
                </w:p>
              </w:tc>
              <w:tc>
                <w:tcPr>
                  <w:tcW w:w="1168" w:type="dxa"/>
                  <w:tcMar>
                    <w:left w:w="51" w:type="dxa"/>
                    <w:right w:w="51" w:type="dxa"/>
                  </w:tcMar>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1168"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Mar>
                    <w:left w:w="51" w:type="dxa"/>
                    <w:right w:w="51" w:type="dxa"/>
                  </w:tcMar>
                  <w:vAlign w:val="center"/>
                </w:tcPr>
                <w:p>
                  <w:pPr>
                    <w:adjustRightInd w:val="0"/>
                    <w:snapToGrid w:val="0"/>
                    <w:jc w:val="center"/>
                    <w:rPr>
                      <w:szCs w:val="21"/>
                    </w:rPr>
                  </w:pPr>
                </w:p>
              </w:tc>
              <w:tc>
                <w:tcPr>
                  <w:tcW w:w="1652" w:type="dxa"/>
                  <w:gridSpan w:val="2"/>
                  <w:vMerge w:val="continue"/>
                  <w:tcMar>
                    <w:left w:w="51" w:type="dxa"/>
                    <w:right w:w="51" w:type="dxa"/>
                  </w:tcMar>
                  <w:vAlign w:val="center"/>
                </w:tcPr>
                <w:p>
                  <w:pPr>
                    <w:pStyle w:val="23"/>
                    <w:adjustRightInd w:val="0"/>
                    <w:snapToGrid w:val="0"/>
                    <w:jc w:val="center"/>
                    <w:rPr>
                      <w:rFonts w:ascii="Times New Roman" w:hAnsi="Times New Roman"/>
                      <w:sz w:val="21"/>
                      <w:szCs w:val="21"/>
                    </w:rPr>
                  </w:pPr>
                </w:p>
              </w:tc>
              <w:tc>
                <w:tcPr>
                  <w:tcW w:w="1374" w:type="dxa"/>
                  <w:tcMar>
                    <w:left w:w="51" w:type="dxa"/>
                    <w:right w:w="51" w:type="dxa"/>
                  </w:tcMar>
                  <w:vAlign w:val="center"/>
                </w:tcPr>
                <w:p>
                  <w:pPr>
                    <w:adjustRightInd w:val="0"/>
                    <w:snapToGrid w:val="0"/>
                    <w:jc w:val="center"/>
                    <w:rPr>
                      <w:szCs w:val="21"/>
                    </w:rPr>
                  </w:pPr>
                  <w:r>
                    <w:rPr>
                      <w:bCs/>
                      <w:szCs w:val="21"/>
                    </w:rPr>
                    <w:t>COD</w:t>
                  </w:r>
                  <w:r>
                    <w:rPr>
                      <w:bCs/>
                      <w:szCs w:val="21"/>
                      <w:vertAlign w:val="subscript"/>
                    </w:rPr>
                    <w:t>Cr</w:t>
                  </w:r>
                </w:p>
              </w:tc>
              <w:tc>
                <w:tcPr>
                  <w:tcW w:w="1192"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300</w:t>
                  </w:r>
                </w:p>
              </w:tc>
              <w:tc>
                <w:tcPr>
                  <w:tcW w:w="1177"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0.36</w:t>
                  </w:r>
                </w:p>
              </w:tc>
              <w:tc>
                <w:tcPr>
                  <w:tcW w:w="1168"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100</w:t>
                  </w:r>
                </w:p>
              </w:tc>
              <w:tc>
                <w:tcPr>
                  <w:tcW w:w="1168"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Mar>
                    <w:left w:w="51" w:type="dxa"/>
                    <w:right w:w="51" w:type="dxa"/>
                  </w:tcMar>
                  <w:vAlign w:val="center"/>
                </w:tcPr>
                <w:p>
                  <w:pPr>
                    <w:adjustRightInd w:val="0"/>
                    <w:snapToGrid w:val="0"/>
                    <w:jc w:val="center"/>
                    <w:rPr>
                      <w:szCs w:val="21"/>
                    </w:rPr>
                  </w:pPr>
                </w:p>
              </w:tc>
              <w:tc>
                <w:tcPr>
                  <w:tcW w:w="1652" w:type="dxa"/>
                  <w:gridSpan w:val="2"/>
                  <w:vMerge w:val="continue"/>
                  <w:tcMar>
                    <w:left w:w="51" w:type="dxa"/>
                    <w:right w:w="51" w:type="dxa"/>
                  </w:tcMar>
                  <w:vAlign w:val="center"/>
                </w:tcPr>
                <w:p>
                  <w:pPr>
                    <w:pStyle w:val="23"/>
                    <w:adjustRightInd w:val="0"/>
                    <w:snapToGrid w:val="0"/>
                    <w:jc w:val="center"/>
                    <w:rPr>
                      <w:rFonts w:ascii="Times New Roman" w:hAnsi="Times New Roman"/>
                      <w:sz w:val="21"/>
                      <w:szCs w:val="21"/>
                    </w:rPr>
                  </w:pPr>
                </w:p>
              </w:tc>
              <w:tc>
                <w:tcPr>
                  <w:tcW w:w="1374" w:type="dxa"/>
                  <w:tcMar>
                    <w:left w:w="51" w:type="dxa"/>
                    <w:right w:w="51" w:type="dxa"/>
                  </w:tcMar>
                  <w:vAlign w:val="center"/>
                </w:tcPr>
                <w:p>
                  <w:pPr>
                    <w:adjustRightInd w:val="0"/>
                    <w:snapToGrid w:val="0"/>
                    <w:jc w:val="center"/>
                    <w:rPr>
                      <w:szCs w:val="21"/>
                    </w:rPr>
                  </w:pPr>
                  <w:r>
                    <w:rPr>
                      <w:szCs w:val="21"/>
                    </w:rPr>
                    <w:t>NH</w:t>
                  </w:r>
                  <w:r>
                    <w:rPr>
                      <w:szCs w:val="21"/>
                      <w:vertAlign w:val="subscript"/>
                    </w:rPr>
                    <w:t>3</w:t>
                  </w:r>
                  <w:r>
                    <w:rPr>
                      <w:szCs w:val="21"/>
                    </w:rPr>
                    <w:t>-N</w:t>
                  </w:r>
                </w:p>
              </w:tc>
              <w:tc>
                <w:tcPr>
                  <w:tcW w:w="1192"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30</w:t>
                  </w:r>
                </w:p>
              </w:tc>
              <w:tc>
                <w:tcPr>
                  <w:tcW w:w="1177"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0.036</w:t>
                  </w:r>
                </w:p>
              </w:tc>
              <w:tc>
                <w:tcPr>
                  <w:tcW w:w="1168"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25（15）*</w:t>
                  </w:r>
                </w:p>
              </w:tc>
              <w:tc>
                <w:tcPr>
                  <w:tcW w:w="1168"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restart"/>
                  <w:tcMar>
                    <w:left w:w="51" w:type="dxa"/>
                    <w:right w:w="51" w:type="dxa"/>
                  </w:tcMar>
                  <w:vAlign w:val="center"/>
                </w:tcPr>
                <w:p>
                  <w:pPr>
                    <w:adjustRightInd w:val="0"/>
                    <w:snapToGrid w:val="0"/>
                    <w:jc w:val="center"/>
                    <w:rPr>
                      <w:szCs w:val="21"/>
                    </w:rPr>
                  </w:pPr>
                  <w:r>
                    <w:rPr>
                      <w:szCs w:val="21"/>
                    </w:rPr>
                    <w:t>2</w:t>
                  </w:r>
                </w:p>
              </w:tc>
              <w:tc>
                <w:tcPr>
                  <w:tcW w:w="506" w:type="dxa"/>
                  <w:vMerge w:val="restart"/>
                  <w:tcMar>
                    <w:left w:w="51" w:type="dxa"/>
                    <w:right w:w="51" w:type="dxa"/>
                  </w:tcMar>
                  <w:vAlign w:val="center"/>
                </w:tcPr>
                <w:p>
                  <w:pPr>
                    <w:pStyle w:val="23"/>
                    <w:adjustRightInd w:val="0"/>
                    <w:snapToGrid w:val="0"/>
                    <w:jc w:val="center"/>
                    <w:rPr>
                      <w:rFonts w:ascii="Times New Roman" w:hAnsi="Times New Roman"/>
                      <w:sz w:val="21"/>
                      <w:szCs w:val="21"/>
                    </w:rPr>
                  </w:pPr>
                  <w:r>
                    <w:rPr>
                      <w:rFonts w:ascii="Times New Roman" w:hAnsi="宋体"/>
                      <w:sz w:val="21"/>
                      <w:szCs w:val="21"/>
                    </w:rPr>
                    <w:t>生产废水</w:t>
                  </w:r>
                </w:p>
              </w:tc>
              <w:tc>
                <w:tcPr>
                  <w:tcW w:w="1146" w:type="dxa"/>
                  <w:vMerge w:val="restart"/>
                  <w:tcMar>
                    <w:left w:w="51" w:type="dxa"/>
                    <w:right w:w="51" w:type="dxa"/>
                  </w:tcMar>
                  <w:vAlign w:val="center"/>
                </w:tcPr>
                <w:p>
                  <w:pPr>
                    <w:pStyle w:val="23"/>
                    <w:adjustRightInd w:val="0"/>
                    <w:snapToGrid w:val="0"/>
                    <w:jc w:val="center"/>
                    <w:rPr>
                      <w:rFonts w:hint="eastAsia" w:ascii="Times New Roman" w:hAnsi="Times New Roman" w:eastAsia="宋体"/>
                      <w:color w:val="auto"/>
                      <w:sz w:val="21"/>
                      <w:szCs w:val="21"/>
                      <w:lang w:eastAsia="zh-CN"/>
                    </w:rPr>
                  </w:pPr>
                  <w:r>
                    <w:rPr>
                      <w:rFonts w:ascii="Times New Roman" w:hAnsi="宋体"/>
                      <w:color w:val="auto"/>
                      <w:sz w:val="21"/>
                      <w:szCs w:val="21"/>
                    </w:rPr>
                    <w:t>织造废水</w:t>
                  </w:r>
                  <w:r>
                    <w:rPr>
                      <w:rFonts w:hint="eastAsia" w:ascii="Times New Roman" w:hAnsi="宋体"/>
                      <w:color w:val="auto"/>
                      <w:sz w:val="21"/>
                      <w:szCs w:val="21"/>
                      <w:lang w:eastAsia="zh-CN"/>
                    </w:rPr>
                    <w:t>、码布废水、清洗废水</w:t>
                  </w:r>
                </w:p>
              </w:tc>
              <w:tc>
                <w:tcPr>
                  <w:tcW w:w="1374" w:type="dxa"/>
                  <w:tcMar>
                    <w:left w:w="51" w:type="dxa"/>
                    <w:right w:w="51" w:type="dxa"/>
                  </w:tcMar>
                  <w:vAlign w:val="center"/>
                </w:tcPr>
                <w:p>
                  <w:pPr>
                    <w:adjustRightInd w:val="0"/>
                    <w:snapToGrid w:val="0"/>
                    <w:jc w:val="center"/>
                    <w:rPr>
                      <w:color w:val="auto"/>
                      <w:szCs w:val="21"/>
                    </w:rPr>
                  </w:pPr>
                  <w:r>
                    <w:rPr>
                      <w:rFonts w:hAnsi="宋体"/>
                      <w:color w:val="auto"/>
                      <w:szCs w:val="21"/>
                    </w:rPr>
                    <w:t>废水量</w:t>
                  </w:r>
                </w:p>
              </w:tc>
              <w:tc>
                <w:tcPr>
                  <w:tcW w:w="1192" w:type="dxa"/>
                  <w:tcMar>
                    <w:left w:w="51" w:type="dxa"/>
                    <w:right w:w="51" w:type="dxa"/>
                  </w:tcMar>
                  <w:vAlign w:val="center"/>
                </w:tcPr>
                <w:p>
                  <w:pPr>
                    <w:adjustRightInd w:val="0"/>
                    <w:snapToGrid w:val="0"/>
                    <w:jc w:val="center"/>
                    <w:rPr>
                      <w:color w:val="auto"/>
                      <w:szCs w:val="21"/>
                    </w:rPr>
                  </w:pPr>
                  <w:r>
                    <w:rPr>
                      <w:color w:val="auto"/>
                      <w:szCs w:val="21"/>
                    </w:rPr>
                    <w:t>/</w:t>
                  </w:r>
                </w:p>
              </w:tc>
              <w:tc>
                <w:tcPr>
                  <w:tcW w:w="1177" w:type="dxa"/>
                  <w:tcMar>
                    <w:left w:w="51" w:type="dxa"/>
                    <w:right w:w="51" w:type="dxa"/>
                  </w:tcMar>
                  <w:vAlign w:val="center"/>
                </w:tcPr>
                <w:p>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207000</w:t>
                  </w:r>
                </w:p>
              </w:tc>
              <w:tc>
                <w:tcPr>
                  <w:tcW w:w="2336" w:type="dxa"/>
                  <w:gridSpan w:val="2"/>
                  <w:vMerge w:val="restart"/>
                  <w:tcMar>
                    <w:left w:w="51" w:type="dxa"/>
                    <w:right w:w="51" w:type="dxa"/>
                  </w:tcMar>
                  <w:vAlign w:val="center"/>
                </w:tcPr>
                <w:p>
                  <w:pPr>
                    <w:widowControl/>
                    <w:adjustRightInd w:val="0"/>
                    <w:snapToGrid w:val="0"/>
                    <w:jc w:val="center"/>
                    <w:rPr>
                      <w:color w:val="auto"/>
                      <w:kern w:val="0"/>
                      <w:szCs w:val="21"/>
                    </w:rPr>
                  </w:pPr>
                  <w:r>
                    <w:rPr>
                      <w:rFonts w:hint="eastAsia"/>
                      <w:color w:val="auto"/>
                      <w:kern w:val="0"/>
                      <w:szCs w:val="21"/>
                    </w:rPr>
                    <w:t>织造废水收集后该排至长兴虹溪污水处理有限公司建设在虹星桥镇北片工业园区的中水回用站处理后回用于本厂织造，不排放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Mar>
                    <w:left w:w="51" w:type="dxa"/>
                    <w:right w:w="51" w:type="dxa"/>
                  </w:tcMar>
                  <w:vAlign w:val="center"/>
                </w:tcPr>
                <w:p>
                  <w:pPr>
                    <w:adjustRightInd w:val="0"/>
                    <w:snapToGrid w:val="0"/>
                    <w:jc w:val="center"/>
                    <w:rPr>
                      <w:szCs w:val="21"/>
                    </w:rPr>
                  </w:pPr>
                </w:p>
              </w:tc>
              <w:tc>
                <w:tcPr>
                  <w:tcW w:w="506" w:type="dxa"/>
                  <w:vMerge w:val="continue"/>
                  <w:tcMar>
                    <w:left w:w="51" w:type="dxa"/>
                    <w:right w:w="51" w:type="dxa"/>
                  </w:tcMar>
                  <w:vAlign w:val="center"/>
                </w:tcPr>
                <w:p>
                  <w:pPr>
                    <w:pStyle w:val="23"/>
                    <w:adjustRightInd w:val="0"/>
                    <w:snapToGrid w:val="0"/>
                    <w:jc w:val="center"/>
                    <w:rPr>
                      <w:rFonts w:ascii="Times New Roman" w:hAnsi="Times New Roman"/>
                      <w:sz w:val="21"/>
                      <w:szCs w:val="21"/>
                    </w:rPr>
                  </w:pPr>
                </w:p>
              </w:tc>
              <w:tc>
                <w:tcPr>
                  <w:tcW w:w="1146" w:type="dxa"/>
                  <w:vMerge w:val="continue"/>
                  <w:tcMar>
                    <w:left w:w="51" w:type="dxa"/>
                    <w:right w:w="51" w:type="dxa"/>
                  </w:tcMar>
                  <w:vAlign w:val="center"/>
                </w:tcPr>
                <w:p>
                  <w:pPr>
                    <w:pStyle w:val="23"/>
                    <w:adjustRightInd w:val="0"/>
                    <w:snapToGrid w:val="0"/>
                    <w:jc w:val="center"/>
                    <w:rPr>
                      <w:rFonts w:ascii="Times New Roman" w:hAnsi="Times New Roman"/>
                      <w:color w:val="auto"/>
                      <w:sz w:val="21"/>
                      <w:szCs w:val="21"/>
                    </w:rPr>
                  </w:pPr>
                </w:p>
              </w:tc>
              <w:tc>
                <w:tcPr>
                  <w:tcW w:w="1374" w:type="dxa"/>
                  <w:tcMar>
                    <w:left w:w="51" w:type="dxa"/>
                    <w:right w:w="51" w:type="dxa"/>
                  </w:tcMar>
                  <w:vAlign w:val="center"/>
                </w:tcPr>
                <w:p>
                  <w:pPr>
                    <w:adjustRightInd w:val="0"/>
                    <w:snapToGrid w:val="0"/>
                    <w:jc w:val="center"/>
                    <w:rPr>
                      <w:color w:val="auto"/>
                      <w:szCs w:val="21"/>
                      <w:highlight w:val="none"/>
                    </w:rPr>
                  </w:pPr>
                  <w:r>
                    <w:rPr>
                      <w:color w:val="auto"/>
                      <w:szCs w:val="21"/>
                      <w:highlight w:val="none"/>
                    </w:rPr>
                    <w:t>COD</w:t>
                  </w:r>
                  <w:r>
                    <w:rPr>
                      <w:color w:val="auto"/>
                      <w:szCs w:val="21"/>
                      <w:highlight w:val="none"/>
                      <w:vertAlign w:val="subscript"/>
                    </w:rPr>
                    <w:t>Cr</w:t>
                  </w:r>
                </w:p>
              </w:tc>
              <w:tc>
                <w:tcPr>
                  <w:tcW w:w="1192" w:type="dxa"/>
                  <w:tcMar>
                    <w:left w:w="51" w:type="dxa"/>
                    <w:right w:w="51" w:type="dxa"/>
                  </w:tcMar>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350</w:t>
                  </w:r>
                </w:p>
              </w:tc>
              <w:tc>
                <w:tcPr>
                  <w:tcW w:w="1177" w:type="dxa"/>
                  <w:tcMar>
                    <w:left w:w="51" w:type="dxa"/>
                    <w:right w:w="51" w:type="dxa"/>
                  </w:tcMar>
                  <w:vAlign w:val="center"/>
                </w:tcPr>
                <w:p>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72.45</w:t>
                  </w:r>
                </w:p>
              </w:tc>
              <w:tc>
                <w:tcPr>
                  <w:tcW w:w="2336" w:type="dxa"/>
                  <w:gridSpan w:val="2"/>
                  <w:vMerge w:val="continue"/>
                  <w:tcMar>
                    <w:left w:w="51" w:type="dxa"/>
                    <w:right w:w="51" w:type="dxa"/>
                  </w:tcMar>
                  <w:vAlign w:val="center"/>
                </w:tcPr>
                <w:p>
                  <w:pPr>
                    <w:widowControl/>
                    <w:adjustRightInd w:val="0"/>
                    <w:snapToGrid w:val="0"/>
                    <w:jc w:val="center"/>
                    <w:rPr>
                      <w:rFonts w:hint="eastAsia"/>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Mar>
                    <w:left w:w="51" w:type="dxa"/>
                    <w:right w:w="51" w:type="dxa"/>
                  </w:tcMar>
                  <w:vAlign w:val="center"/>
                </w:tcPr>
                <w:p>
                  <w:pPr>
                    <w:adjustRightInd w:val="0"/>
                    <w:snapToGrid w:val="0"/>
                    <w:jc w:val="center"/>
                    <w:rPr>
                      <w:szCs w:val="21"/>
                    </w:rPr>
                  </w:pPr>
                </w:p>
              </w:tc>
              <w:tc>
                <w:tcPr>
                  <w:tcW w:w="506" w:type="dxa"/>
                  <w:vMerge w:val="continue"/>
                  <w:tcMar>
                    <w:left w:w="51" w:type="dxa"/>
                    <w:right w:w="51" w:type="dxa"/>
                  </w:tcMar>
                  <w:vAlign w:val="center"/>
                </w:tcPr>
                <w:p>
                  <w:pPr>
                    <w:pStyle w:val="23"/>
                    <w:adjustRightInd w:val="0"/>
                    <w:snapToGrid w:val="0"/>
                    <w:jc w:val="center"/>
                    <w:rPr>
                      <w:rFonts w:ascii="Times New Roman" w:hAnsi="Times New Roman"/>
                      <w:sz w:val="21"/>
                      <w:szCs w:val="21"/>
                    </w:rPr>
                  </w:pPr>
                </w:p>
              </w:tc>
              <w:tc>
                <w:tcPr>
                  <w:tcW w:w="1146" w:type="dxa"/>
                  <w:vMerge w:val="continue"/>
                  <w:tcMar>
                    <w:left w:w="51" w:type="dxa"/>
                    <w:right w:w="51" w:type="dxa"/>
                  </w:tcMar>
                  <w:vAlign w:val="center"/>
                </w:tcPr>
                <w:p>
                  <w:pPr>
                    <w:pStyle w:val="23"/>
                    <w:adjustRightInd w:val="0"/>
                    <w:snapToGrid w:val="0"/>
                    <w:jc w:val="center"/>
                    <w:rPr>
                      <w:rFonts w:ascii="Times New Roman" w:hAnsi="Times New Roman"/>
                      <w:color w:val="auto"/>
                      <w:sz w:val="21"/>
                      <w:szCs w:val="21"/>
                    </w:rPr>
                  </w:pPr>
                </w:p>
              </w:tc>
              <w:tc>
                <w:tcPr>
                  <w:tcW w:w="1374" w:type="dxa"/>
                  <w:tcMar>
                    <w:left w:w="51" w:type="dxa"/>
                    <w:right w:w="51" w:type="dxa"/>
                  </w:tcMar>
                  <w:vAlign w:val="center"/>
                </w:tcPr>
                <w:p>
                  <w:pPr>
                    <w:adjustRightInd w:val="0"/>
                    <w:snapToGrid w:val="0"/>
                    <w:jc w:val="center"/>
                    <w:rPr>
                      <w:color w:val="auto"/>
                      <w:szCs w:val="21"/>
                    </w:rPr>
                  </w:pPr>
                  <w:r>
                    <w:rPr>
                      <w:color w:val="auto"/>
                      <w:szCs w:val="21"/>
                    </w:rPr>
                    <w:t>SS</w:t>
                  </w:r>
                </w:p>
              </w:tc>
              <w:tc>
                <w:tcPr>
                  <w:tcW w:w="1192" w:type="dxa"/>
                  <w:tcMar>
                    <w:left w:w="51" w:type="dxa"/>
                    <w:right w:w="51" w:type="dxa"/>
                  </w:tcMar>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250</w:t>
                  </w:r>
                </w:p>
              </w:tc>
              <w:tc>
                <w:tcPr>
                  <w:tcW w:w="1177" w:type="dxa"/>
                  <w:tcMar>
                    <w:left w:w="51" w:type="dxa"/>
                    <w:right w:w="51" w:type="dxa"/>
                  </w:tcMar>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51.75</w:t>
                  </w:r>
                </w:p>
              </w:tc>
              <w:tc>
                <w:tcPr>
                  <w:tcW w:w="2336" w:type="dxa"/>
                  <w:gridSpan w:val="2"/>
                  <w:vMerge w:val="continue"/>
                  <w:tcMar>
                    <w:left w:w="51" w:type="dxa"/>
                    <w:right w:w="51" w:type="dxa"/>
                  </w:tcMar>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Mar>
                    <w:left w:w="51" w:type="dxa"/>
                    <w:right w:w="51" w:type="dxa"/>
                  </w:tcMar>
                  <w:vAlign w:val="center"/>
                </w:tcPr>
                <w:p>
                  <w:pPr>
                    <w:adjustRightInd w:val="0"/>
                    <w:snapToGrid w:val="0"/>
                    <w:jc w:val="center"/>
                    <w:rPr>
                      <w:szCs w:val="21"/>
                    </w:rPr>
                  </w:pPr>
                </w:p>
              </w:tc>
              <w:tc>
                <w:tcPr>
                  <w:tcW w:w="506" w:type="dxa"/>
                  <w:vMerge w:val="continue"/>
                  <w:tcMar>
                    <w:left w:w="51" w:type="dxa"/>
                    <w:right w:w="51" w:type="dxa"/>
                  </w:tcMar>
                  <w:vAlign w:val="center"/>
                </w:tcPr>
                <w:p>
                  <w:pPr>
                    <w:pStyle w:val="23"/>
                    <w:adjustRightInd w:val="0"/>
                    <w:snapToGrid w:val="0"/>
                    <w:jc w:val="center"/>
                    <w:rPr>
                      <w:rFonts w:ascii="Times New Roman" w:hAnsi="Times New Roman"/>
                      <w:sz w:val="21"/>
                      <w:szCs w:val="21"/>
                    </w:rPr>
                  </w:pPr>
                </w:p>
              </w:tc>
              <w:tc>
                <w:tcPr>
                  <w:tcW w:w="1146" w:type="dxa"/>
                  <w:vMerge w:val="continue"/>
                  <w:tcMar>
                    <w:left w:w="51" w:type="dxa"/>
                    <w:right w:w="51" w:type="dxa"/>
                  </w:tcMar>
                  <w:vAlign w:val="center"/>
                </w:tcPr>
                <w:p>
                  <w:pPr>
                    <w:pStyle w:val="23"/>
                    <w:adjustRightInd w:val="0"/>
                    <w:snapToGrid w:val="0"/>
                    <w:jc w:val="center"/>
                    <w:rPr>
                      <w:rFonts w:ascii="Times New Roman" w:hAnsi="Times New Roman"/>
                      <w:color w:val="auto"/>
                      <w:sz w:val="21"/>
                      <w:szCs w:val="21"/>
                    </w:rPr>
                  </w:pPr>
                </w:p>
              </w:tc>
              <w:tc>
                <w:tcPr>
                  <w:tcW w:w="1374" w:type="dxa"/>
                  <w:tcMar>
                    <w:left w:w="51" w:type="dxa"/>
                    <w:right w:w="51" w:type="dxa"/>
                  </w:tcMar>
                  <w:vAlign w:val="center"/>
                </w:tcPr>
                <w:p>
                  <w:pPr>
                    <w:adjustRightInd w:val="0"/>
                    <w:snapToGrid w:val="0"/>
                    <w:jc w:val="center"/>
                    <w:rPr>
                      <w:color w:val="auto"/>
                      <w:szCs w:val="21"/>
                    </w:rPr>
                  </w:pPr>
                  <w:r>
                    <w:rPr>
                      <w:rFonts w:hAnsi="宋体"/>
                      <w:color w:val="auto"/>
                      <w:szCs w:val="21"/>
                    </w:rPr>
                    <w:t>石油类</w:t>
                  </w:r>
                </w:p>
              </w:tc>
              <w:tc>
                <w:tcPr>
                  <w:tcW w:w="1192" w:type="dxa"/>
                  <w:tcMar>
                    <w:left w:w="51" w:type="dxa"/>
                    <w:right w:w="51" w:type="dxa"/>
                  </w:tcMar>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20</w:t>
                  </w:r>
                </w:p>
              </w:tc>
              <w:tc>
                <w:tcPr>
                  <w:tcW w:w="1177" w:type="dxa"/>
                  <w:tcMar>
                    <w:left w:w="51" w:type="dxa"/>
                    <w:right w:w="51" w:type="dxa"/>
                  </w:tcMar>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4.14</w:t>
                  </w:r>
                </w:p>
              </w:tc>
              <w:tc>
                <w:tcPr>
                  <w:tcW w:w="2336" w:type="dxa"/>
                  <w:gridSpan w:val="2"/>
                  <w:vMerge w:val="continue"/>
                  <w:tcMar>
                    <w:left w:w="51" w:type="dxa"/>
                    <w:right w:w="51" w:type="dxa"/>
                  </w:tcMar>
                  <w:vAlign w:val="center"/>
                </w:tcPr>
                <w:p>
                  <w:pPr>
                    <w:adjustRightInd w:val="0"/>
                    <w:snapToGrid w:val="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tcMar>
                    <w:left w:w="51" w:type="dxa"/>
                    <w:right w:w="51" w:type="dxa"/>
                  </w:tcMar>
                  <w:vAlign w:val="center"/>
                </w:tcPr>
                <w:p>
                  <w:pPr>
                    <w:adjustRightInd w:val="0"/>
                    <w:snapToGrid w:val="0"/>
                    <w:jc w:val="center"/>
                    <w:rPr>
                      <w:rFonts w:hint="eastAsia" w:eastAsia="宋体"/>
                      <w:szCs w:val="21"/>
                      <w:lang w:val="en-US" w:eastAsia="zh-CN"/>
                    </w:rPr>
                  </w:pPr>
                  <w:r>
                    <w:rPr>
                      <w:rFonts w:hint="eastAsia"/>
                      <w:szCs w:val="21"/>
                      <w:lang w:val="en-US" w:eastAsia="zh-CN"/>
                    </w:rPr>
                    <w:t>3</w:t>
                  </w:r>
                </w:p>
              </w:tc>
              <w:tc>
                <w:tcPr>
                  <w:tcW w:w="1652" w:type="dxa"/>
                  <w:gridSpan w:val="2"/>
                  <w:tcMar>
                    <w:left w:w="51" w:type="dxa"/>
                    <w:right w:w="51" w:type="dxa"/>
                  </w:tcMar>
                  <w:vAlign w:val="center"/>
                </w:tcPr>
                <w:p>
                  <w:pPr>
                    <w:pStyle w:val="23"/>
                    <w:adjustRightInd w:val="0"/>
                    <w:snapToGrid w:val="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喷淋补充水</w:t>
                  </w:r>
                </w:p>
              </w:tc>
              <w:tc>
                <w:tcPr>
                  <w:tcW w:w="1374" w:type="dxa"/>
                  <w:tcMar>
                    <w:left w:w="51" w:type="dxa"/>
                    <w:right w:w="51" w:type="dxa"/>
                  </w:tcMar>
                  <w:vAlign w:val="center"/>
                </w:tcPr>
                <w:p>
                  <w:pPr>
                    <w:adjustRightInd w:val="0"/>
                    <w:snapToGrid w:val="0"/>
                    <w:jc w:val="center"/>
                    <w:rPr>
                      <w:rFonts w:hint="eastAsia" w:hAnsi="宋体" w:eastAsia="宋体"/>
                      <w:color w:val="auto"/>
                      <w:szCs w:val="21"/>
                      <w:lang w:eastAsia="zh-CN"/>
                    </w:rPr>
                  </w:pPr>
                  <w:r>
                    <w:rPr>
                      <w:rFonts w:hint="eastAsia" w:hAnsi="宋体"/>
                      <w:color w:val="auto"/>
                      <w:szCs w:val="21"/>
                      <w:lang w:eastAsia="zh-CN"/>
                    </w:rPr>
                    <w:t>补充水量</w:t>
                  </w:r>
                </w:p>
              </w:tc>
              <w:tc>
                <w:tcPr>
                  <w:tcW w:w="1192" w:type="dxa"/>
                  <w:tcMar>
                    <w:left w:w="51" w:type="dxa"/>
                    <w:right w:w="51" w:type="dxa"/>
                  </w:tcMar>
                  <w:vAlign w:val="center"/>
                </w:tcPr>
                <w:p>
                  <w:pPr>
                    <w:adjustRightInd w:val="0"/>
                    <w:snapToGrid w:val="0"/>
                    <w:jc w:val="center"/>
                    <w:rPr>
                      <w:rFonts w:hint="default"/>
                      <w:color w:val="auto"/>
                      <w:szCs w:val="21"/>
                      <w:lang w:val="en-US" w:eastAsia="zh-CN"/>
                    </w:rPr>
                  </w:pPr>
                  <w:r>
                    <w:rPr>
                      <w:rFonts w:hint="eastAsia"/>
                      <w:color w:val="auto"/>
                      <w:szCs w:val="21"/>
                      <w:lang w:val="en-US" w:eastAsia="zh-CN"/>
                    </w:rPr>
                    <w:t>/</w:t>
                  </w:r>
                </w:p>
              </w:tc>
              <w:tc>
                <w:tcPr>
                  <w:tcW w:w="1177" w:type="dxa"/>
                  <w:tcMar>
                    <w:left w:w="51" w:type="dxa"/>
                    <w:right w:w="51" w:type="dxa"/>
                  </w:tcMar>
                  <w:vAlign w:val="center"/>
                </w:tcPr>
                <w:p>
                  <w:pPr>
                    <w:adjustRightInd w:val="0"/>
                    <w:snapToGrid w:val="0"/>
                    <w:jc w:val="center"/>
                    <w:rPr>
                      <w:rFonts w:hint="default"/>
                      <w:color w:val="auto"/>
                      <w:szCs w:val="21"/>
                      <w:lang w:val="en-US" w:eastAsia="zh-CN"/>
                    </w:rPr>
                  </w:pPr>
                  <w:r>
                    <w:rPr>
                      <w:rFonts w:hint="eastAsia"/>
                      <w:color w:val="auto"/>
                      <w:szCs w:val="21"/>
                      <w:lang w:val="en-US" w:eastAsia="zh-CN"/>
                    </w:rPr>
                    <w:t>16.2</w:t>
                  </w:r>
                </w:p>
              </w:tc>
              <w:tc>
                <w:tcPr>
                  <w:tcW w:w="2336" w:type="dxa"/>
                  <w:gridSpan w:val="2"/>
                  <w:tcMar>
                    <w:left w:w="51" w:type="dxa"/>
                    <w:right w:w="51" w:type="dxa"/>
                  </w:tcMar>
                  <w:vAlign w:val="center"/>
                </w:tcPr>
                <w:p>
                  <w:pPr>
                    <w:adjustRightInd w:val="0"/>
                    <w:snapToGrid w:val="0"/>
                    <w:jc w:val="center"/>
                    <w:rPr>
                      <w:rFonts w:hint="eastAsia" w:eastAsia="宋体"/>
                      <w:color w:val="auto"/>
                      <w:szCs w:val="21"/>
                      <w:lang w:eastAsia="zh-CN"/>
                    </w:rPr>
                  </w:pPr>
                  <w:r>
                    <w:rPr>
                      <w:rFonts w:hint="eastAsia"/>
                      <w:color w:val="auto"/>
                      <w:szCs w:val="21"/>
                      <w:lang w:eastAsia="zh-CN"/>
                    </w:rPr>
                    <w:t>定期补充，循环使用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tcMar>
                    <w:left w:w="51" w:type="dxa"/>
                    <w:right w:w="51" w:type="dxa"/>
                  </w:tcMar>
                  <w:vAlign w:val="center"/>
                </w:tcPr>
                <w:p>
                  <w:pPr>
                    <w:adjustRightInd w:val="0"/>
                    <w:snapToGrid w:val="0"/>
                    <w:jc w:val="center"/>
                    <w:rPr>
                      <w:rFonts w:hint="eastAsia" w:eastAsia="宋体"/>
                      <w:szCs w:val="21"/>
                      <w:lang w:val="en-US" w:eastAsia="zh-CN"/>
                    </w:rPr>
                  </w:pPr>
                  <w:r>
                    <w:rPr>
                      <w:rFonts w:hint="eastAsia"/>
                      <w:szCs w:val="21"/>
                      <w:lang w:val="en-US" w:eastAsia="zh-CN"/>
                    </w:rPr>
                    <w:t>4</w:t>
                  </w:r>
                </w:p>
              </w:tc>
              <w:tc>
                <w:tcPr>
                  <w:tcW w:w="1652" w:type="dxa"/>
                  <w:gridSpan w:val="2"/>
                  <w:tcMar>
                    <w:left w:w="51" w:type="dxa"/>
                    <w:right w:w="51" w:type="dxa"/>
                  </w:tcMar>
                  <w:vAlign w:val="center"/>
                </w:tcPr>
                <w:p>
                  <w:pPr>
                    <w:pStyle w:val="23"/>
                    <w:adjustRightInd w:val="0"/>
                    <w:snapToGrid w:val="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冷却补充水</w:t>
                  </w:r>
                </w:p>
              </w:tc>
              <w:tc>
                <w:tcPr>
                  <w:tcW w:w="1374" w:type="dxa"/>
                  <w:tcMar>
                    <w:left w:w="51" w:type="dxa"/>
                    <w:right w:w="51" w:type="dxa"/>
                  </w:tcMar>
                  <w:vAlign w:val="center"/>
                </w:tcPr>
                <w:p>
                  <w:pPr>
                    <w:adjustRightInd w:val="0"/>
                    <w:snapToGrid w:val="0"/>
                    <w:jc w:val="center"/>
                    <w:rPr>
                      <w:rFonts w:hint="eastAsia" w:hAnsi="宋体" w:eastAsia="宋体"/>
                      <w:color w:val="auto"/>
                      <w:szCs w:val="21"/>
                      <w:lang w:eastAsia="zh-CN"/>
                    </w:rPr>
                  </w:pPr>
                  <w:r>
                    <w:rPr>
                      <w:rFonts w:hint="eastAsia" w:hAnsi="宋体"/>
                      <w:color w:val="auto"/>
                      <w:szCs w:val="21"/>
                      <w:lang w:eastAsia="zh-CN"/>
                    </w:rPr>
                    <w:t>补充水量</w:t>
                  </w:r>
                </w:p>
              </w:tc>
              <w:tc>
                <w:tcPr>
                  <w:tcW w:w="1192" w:type="dxa"/>
                  <w:tcMar>
                    <w:left w:w="51" w:type="dxa"/>
                    <w:right w:w="51" w:type="dxa"/>
                  </w:tcMar>
                  <w:vAlign w:val="center"/>
                </w:tcPr>
                <w:p>
                  <w:pPr>
                    <w:adjustRightInd w:val="0"/>
                    <w:snapToGrid w:val="0"/>
                    <w:jc w:val="center"/>
                    <w:rPr>
                      <w:rFonts w:hint="default"/>
                      <w:color w:val="auto"/>
                      <w:szCs w:val="21"/>
                      <w:lang w:val="en-US" w:eastAsia="zh-CN"/>
                    </w:rPr>
                  </w:pPr>
                  <w:r>
                    <w:rPr>
                      <w:rFonts w:hint="eastAsia"/>
                      <w:color w:val="auto"/>
                      <w:szCs w:val="21"/>
                      <w:lang w:val="en-US" w:eastAsia="zh-CN"/>
                    </w:rPr>
                    <w:t>/</w:t>
                  </w:r>
                </w:p>
              </w:tc>
              <w:tc>
                <w:tcPr>
                  <w:tcW w:w="1177" w:type="dxa"/>
                  <w:tcMar>
                    <w:left w:w="51" w:type="dxa"/>
                    <w:right w:w="51" w:type="dxa"/>
                  </w:tcMar>
                  <w:vAlign w:val="center"/>
                </w:tcPr>
                <w:p>
                  <w:pPr>
                    <w:adjustRightInd w:val="0"/>
                    <w:snapToGrid w:val="0"/>
                    <w:jc w:val="center"/>
                    <w:rPr>
                      <w:rFonts w:hint="default"/>
                      <w:color w:val="auto"/>
                      <w:szCs w:val="21"/>
                      <w:lang w:val="en-US" w:eastAsia="zh-CN"/>
                    </w:rPr>
                  </w:pPr>
                  <w:r>
                    <w:rPr>
                      <w:rFonts w:hint="eastAsia"/>
                      <w:color w:val="auto"/>
                      <w:szCs w:val="21"/>
                      <w:lang w:val="en-US" w:eastAsia="zh-CN"/>
                    </w:rPr>
                    <w:t>50</w:t>
                  </w:r>
                </w:p>
              </w:tc>
              <w:tc>
                <w:tcPr>
                  <w:tcW w:w="2336" w:type="dxa"/>
                  <w:gridSpan w:val="2"/>
                  <w:tcMar>
                    <w:left w:w="51" w:type="dxa"/>
                    <w:right w:w="51" w:type="dxa"/>
                  </w:tcMar>
                  <w:vAlign w:val="center"/>
                </w:tcPr>
                <w:p>
                  <w:pPr>
                    <w:adjustRightInd w:val="0"/>
                    <w:snapToGrid w:val="0"/>
                    <w:jc w:val="center"/>
                    <w:rPr>
                      <w:rFonts w:hint="eastAsia"/>
                      <w:color w:val="auto"/>
                      <w:szCs w:val="21"/>
                    </w:rPr>
                  </w:pPr>
                  <w:r>
                    <w:rPr>
                      <w:rFonts w:hint="eastAsia"/>
                      <w:color w:val="auto"/>
                      <w:szCs w:val="21"/>
                      <w:lang w:eastAsia="zh-CN"/>
                    </w:rPr>
                    <w:t>定期补充，循环使用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1" w:type="dxa"/>
                  <w:gridSpan w:val="3"/>
                  <w:vMerge w:val="restart"/>
                  <w:tcMar>
                    <w:left w:w="51" w:type="dxa"/>
                    <w:right w:w="51" w:type="dxa"/>
                  </w:tcMar>
                  <w:vAlign w:val="center"/>
                </w:tcPr>
                <w:p>
                  <w:pPr>
                    <w:pStyle w:val="23"/>
                    <w:adjustRightInd w:val="0"/>
                    <w:snapToGrid w:val="0"/>
                    <w:jc w:val="center"/>
                    <w:rPr>
                      <w:rFonts w:ascii="Times New Roman" w:hAnsi="Times New Roman"/>
                      <w:sz w:val="21"/>
                      <w:szCs w:val="21"/>
                    </w:rPr>
                  </w:pPr>
                  <w:r>
                    <w:rPr>
                      <w:rFonts w:ascii="Times New Roman" w:hAnsi="宋体"/>
                      <w:sz w:val="21"/>
                      <w:szCs w:val="21"/>
                    </w:rPr>
                    <w:t>合计</w:t>
                  </w:r>
                </w:p>
              </w:tc>
              <w:tc>
                <w:tcPr>
                  <w:tcW w:w="1374" w:type="dxa"/>
                  <w:tcMar>
                    <w:left w:w="51" w:type="dxa"/>
                    <w:right w:w="51" w:type="dxa"/>
                  </w:tcMar>
                  <w:vAlign w:val="center"/>
                </w:tcPr>
                <w:p>
                  <w:pPr>
                    <w:adjustRightInd w:val="0"/>
                    <w:snapToGrid w:val="0"/>
                    <w:jc w:val="center"/>
                    <w:rPr>
                      <w:szCs w:val="21"/>
                    </w:rPr>
                  </w:pPr>
                  <w:r>
                    <w:rPr>
                      <w:rFonts w:hAnsi="宋体"/>
                      <w:szCs w:val="21"/>
                    </w:rPr>
                    <w:t>废水量</w:t>
                  </w:r>
                </w:p>
              </w:tc>
              <w:tc>
                <w:tcPr>
                  <w:tcW w:w="1192" w:type="dxa"/>
                  <w:tcMar>
                    <w:left w:w="51" w:type="dxa"/>
                    <w:right w:w="51" w:type="dxa"/>
                  </w:tcMar>
                  <w:vAlign w:val="center"/>
                </w:tcPr>
                <w:p>
                  <w:pPr>
                    <w:pStyle w:val="144"/>
                    <w:adjustRightInd w:val="0"/>
                    <w:rPr>
                      <w:sz w:val="21"/>
                      <w:szCs w:val="21"/>
                    </w:rPr>
                  </w:pPr>
                  <w:r>
                    <w:rPr>
                      <w:sz w:val="21"/>
                      <w:szCs w:val="21"/>
                    </w:rPr>
                    <w:t>/</w:t>
                  </w:r>
                </w:p>
              </w:tc>
              <w:tc>
                <w:tcPr>
                  <w:tcW w:w="1177" w:type="dxa"/>
                  <w:tcMar>
                    <w:left w:w="51" w:type="dxa"/>
                    <w:right w:w="51" w:type="dxa"/>
                  </w:tcMar>
                  <w:vAlign w:val="center"/>
                </w:tcPr>
                <w:p>
                  <w:pPr>
                    <w:widowControl/>
                    <w:adjustRightInd w:val="0"/>
                    <w:snapToGrid w:val="0"/>
                    <w:jc w:val="center"/>
                    <w:rPr>
                      <w:rFonts w:hint="default" w:eastAsia="宋体"/>
                      <w:kern w:val="0"/>
                      <w:szCs w:val="21"/>
                      <w:lang w:val="en-US" w:eastAsia="zh-CN"/>
                    </w:rPr>
                  </w:pPr>
                  <w:r>
                    <w:rPr>
                      <w:rFonts w:hint="eastAsia"/>
                      <w:kern w:val="0"/>
                      <w:szCs w:val="21"/>
                      <w:lang w:val="en-US" w:eastAsia="zh-CN"/>
                    </w:rPr>
                    <w:t>208200</w:t>
                  </w:r>
                </w:p>
              </w:tc>
              <w:tc>
                <w:tcPr>
                  <w:tcW w:w="1168" w:type="dxa"/>
                  <w:tcMar>
                    <w:left w:w="51" w:type="dxa"/>
                    <w:right w:w="51" w:type="dxa"/>
                  </w:tcMar>
                  <w:vAlign w:val="center"/>
                </w:tcPr>
                <w:p>
                  <w:pPr>
                    <w:widowControl/>
                    <w:adjustRightInd w:val="0"/>
                    <w:snapToGrid w:val="0"/>
                    <w:jc w:val="center"/>
                    <w:rPr>
                      <w:rFonts w:hint="eastAsia" w:eastAsia="宋体"/>
                      <w:kern w:val="0"/>
                      <w:szCs w:val="21"/>
                      <w:lang w:val="en-US" w:eastAsia="zh-CN"/>
                    </w:rPr>
                  </w:pPr>
                  <w:r>
                    <w:rPr>
                      <w:rFonts w:hint="eastAsia"/>
                      <w:kern w:val="0"/>
                      <w:szCs w:val="21"/>
                      <w:lang w:val="en-US" w:eastAsia="zh-CN"/>
                    </w:rPr>
                    <w:t>/</w:t>
                  </w:r>
                </w:p>
              </w:tc>
              <w:tc>
                <w:tcPr>
                  <w:tcW w:w="1168" w:type="dxa"/>
                  <w:tcMar>
                    <w:left w:w="51" w:type="dxa"/>
                    <w:right w:w="51" w:type="dxa"/>
                  </w:tcMar>
                  <w:vAlign w:val="center"/>
                </w:tcPr>
                <w:p>
                  <w:pPr>
                    <w:widowControl/>
                    <w:adjustRightInd w:val="0"/>
                    <w:snapToGrid w:val="0"/>
                    <w:jc w:val="center"/>
                    <w:rPr>
                      <w:rFonts w:hint="default" w:eastAsia="宋体"/>
                      <w:kern w:val="0"/>
                      <w:szCs w:val="21"/>
                      <w:lang w:val="en-US" w:eastAsia="zh-CN"/>
                    </w:rPr>
                  </w:pPr>
                  <w:r>
                    <w:rPr>
                      <w:rFonts w:hint="eastAsia"/>
                      <w:kern w:val="0"/>
                      <w:szCs w:val="21"/>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1" w:type="dxa"/>
                  <w:gridSpan w:val="3"/>
                  <w:vMerge w:val="continue"/>
                  <w:tcMar>
                    <w:left w:w="51" w:type="dxa"/>
                    <w:right w:w="51" w:type="dxa"/>
                  </w:tcMar>
                  <w:vAlign w:val="center"/>
                </w:tcPr>
                <w:p>
                  <w:pPr>
                    <w:pStyle w:val="23"/>
                    <w:adjustRightInd w:val="0"/>
                    <w:snapToGrid w:val="0"/>
                    <w:jc w:val="center"/>
                    <w:rPr>
                      <w:rFonts w:ascii="Times New Roman" w:hAnsi="Times New Roman"/>
                      <w:sz w:val="21"/>
                      <w:szCs w:val="21"/>
                    </w:rPr>
                  </w:pPr>
                </w:p>
              </w:tc>
              <w:tc>
                <w:tcPr>
                  <w:tcW w:w="1374" w:type="dxa"/>
                  <w:tcMar>
                    <w:left w:w="51" w:type="dxa"/>
                    <w:right w:w="51" w:type="dxa"/>
                  </w:tcMar>
                  <w:vAlign w:val="center"/>
                </w:tcPr>
                <w:p>
                  <w:pPr>
                    <w:adjustRightInd w:val="0"/>
                    <w:snapToGrid w:val="0"/>
                    <w:jc w:val="center"/>
                    <w:rPr>
                      <w:szCs w:val="21"/>
                    </w:rPr>
                  </w:pPr>
                  <w:r>
                    <w:rPr>
                      <w:bCs/>
                      <w:szCs w:val="21"/>
                    </w:rPr>
                    <w:t>COD</w:t>
                  </w:r>
                  <w:r>
                    <w:rPr>
                      <w:bCs/>
                      <w:szCs w:val="21"/>
                      <w:vertAlign w:val="subscript"/>
                    </w:rPr>
                    <w:t>Cr</w:t>
                  </w:r>
                </w:p>
              </w:tc>
              <w:tc>
                <w:tcPr>
                  <w:tcW w:w="1192" w:type="dxa"/>
                  <w:tcMar>
                    <w:left w:w="51" w:type="dxa"/>
                    <w:right w:w="51" w:type="dxa"/>
                  </w:tcMar>
                  <w:vAlign w:val="center"/>
                </w:tcPr>
                <w:p>
                  <w:pPr>
                    <w:pStyle w:val="144"/>
                    <w:adjustRightInd w:val="0"/>
                    <w:rPr>
                      <w:sz w:val="21"/>
                      <w:szCs w:val="21"/>
                    </w:rPr>
                  </w:pPr>
                  <w:r>
                    <w:rPr>
                      <w:sz w:val="21"/>
                      <w:szCs w:val="21"/>
                    </w:rPr>
                    <w:t>/</w:t>
                  </w:r>
                </w:p>
              </w:tc>
              <w:tc>
                <w:tcPr>
                  <w:tcW w:w="1177" w:type="dxa"/>
                  <w:tcMar>
                    <w:left w:w="51" w:type="dxa"/>
                    <w:right w:w="51" w:type="dxa"/>
                  </w:tcMar>
                  <w:vAlign w:val="center"/>
                </w:tcPr>
                <w:p>
                  <w:pPr>
                    <w:widowControl/>
                    <w:adjustRightInd w:val="0"/>
                    <w:snapToGrid w:val="0"/>
                    <w:jc w:val="center"/>
                    <w:rPr>
                      <w:rFonts w:hint="default" w:eastAsia="宋体"/>
                      <w:kern w:val="0"/>
                      <w:szCs w:val="21"/>
                      <w:lang w:val="en-US" w:eastAsia="zh-CN"/>
                    </w:rPr>
                  </w:pPr>
                  <w:r>
                    <w:rPr>
                      <w:rFonts w:hint="eastAsia"/>
                      <w:kern w:val="0"/>
                      <w:szCs w:val="21"/>
                      <w:lang w:val="en-US" w:eastAsia="zh-CN"/>
                    </w:rPr>
                    <w:t>72.81</w:t>
                  </w:r>
                </w:p>
              </w:tc>
              <w:tc>
                <w:tcPr>
                  <w:tcW w:w="1168" w:type="dxa"/>
                  <w:tcMar>
                    <w:left w:w="51" w:type="dxa"/>
                    <w:right w:w="51" w:type="dxa"/>
                  </w:tcMar>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100</w:t>
                  </w:r>
                </w:p>
              </w:tc>
              <w:tc>
                <w:tcPr>
                  <w:tcW w:w="1168" w:type="dxa"/>
                  <w:tcMar>
                    <w:left w:w="51" w:type="dxa"/>
                    <w:right w:w="51" w:type="dxa"/>
                  </w:tcMar>
                  <w:vAlign w:val="center"/>
                </w:tcPr>
                <w:p>
                  <w:pPr>
                    <w:widowControl/>
                    <w:adjustRightInd w:val="0"/>
                    <w:snapToGrid w:val="0"/>
                    <w:jc w:val="center"/>
                    <w:rPr>
                      <w:rFonts w:hint="default"/>
                      <w:kern w:val="0"/>
                      <w:szCs w:val="21"/>
                      <w:lang w:val="en-US" w:eastAsia="zh-CN"/>
                    </w:rPr>
                  </w:pPr>
                  <w:r>
                    <w:rPr>
                      <w:rFonts w:hint="eastAsia"/>
                      <w:kern w:val="0"/>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1" w:type="dxa"/>
                  <w:gridSpan w:val="3"/>
                  <w:vMerge w:val="continue"/>
                  <w:tcMar>
                    <w:left w:w="51" w:type="dxa"/>
                    <w:right w:w="51" w:type="dxa"/>
                  </w:tcMar>
                  <w:vAlign w:val="center"/>
                </w:tcPr>
                <w:p>
                  <w:pPr>
                    <w:pStyle w:val="23"/>
                    <w:adjustRightInd w:val="0"/>
                    <w:snapToGrid w:val="0"/>
                    <w:jc w:val="center"/>
                    <w:rPr>
                      <w:rFonts w:ascii="Times New Roman" w:hAnsi="Times New Roman"/>
                      <w:sz w:val="21"/>
                      <w:szCs w:val="21"/>
                    </w:rPr>
                  </w:pPr>
                </w:p>
              </w:tc>
              <w:tc>
                <w:tcPr>
                  <w:tcW w:w="1374" w:type="dxa"/>
                  <w:tcMar>
                    <w:left w:w="51" w:type="dxa"/>
                    <w:right w:w="51" w:type="dxa"/>
                  </w:tcMar>
                  <w:vAlign w:val="center"/>
                </w:tcPr>
                <w:p>
                  <w:pPr>
                    <w:adjustRightInd w:val="0"/>
                    <w:snapToGrid w:val="0"/>
                    <w:jc w:val="center"/>
                    <w:rPr>
                      <w:szCs w:val="21"/>
                    </w:rPr>
                  </w:pPr>
                  <w:r>
                    <w:rPr>
                      <w:szCs w:val="21"/>
                    </w:rPr>
                    <w:t>NH</w:t>
                  </w:r>
                  <w:r>
                    <w:rPr>
                      <w:szCs w:val="21"/>
                      <w:vertAlign w:val="subscript"/>
                    </w:rPr>
                    <w:t>3</w:t>
                  </w:r>
                  <w:r>
                    <w:rPr>
                      <w:szCs w:val="21"/>
                    </w:rPr>
                    <w:t>-N</w:t>
                  </w:r>
                </w:p>
              </w:tc>
              <w:tc>
                <w:tcPr>
                  <w:tcW w:w="1192" w:type="dxa"/>
                  <w:tcMar>
                    <w:left w:w="51" w:type="dxa"/>
                    <w:right w:w="51" w:type="dxa"/>
                  </w:tcMar>
                  <w:vAlign w:val="center"/>
                </w:tcPr>
                <w:p>
                  <w:pPr>
                    <w:pStyle w:val="144"/>
                    <w:adjustRightInd w:val="0"/>
                    <w:rPr>
                      <w:sz w:val="21"/>
                      <w:szCs w:val="21"/>
                    </w:rPr>
                  </w:pPr>
                  <w:r>
                    <w:rPr>
                      <w:sz w:val="21"/>
                      <w:szCs w:val="21"/>
                    </w:rPr>
                    <w:t>/</w:t>
                  </w:r>
                </w:p>
              </w:tc>
              <w:tc>
                <w:tcPr>
                  <w:tcW w:w="1177"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0.036</w:t>
                  </w:r>
                </w:p>
              </w:tc>
              <w:tc>
                <w:tcPr>
                  <w:tcW w:w="1168" w:type="dxa"/>
                  <w:tcMar>
                    <w:left w:w="51" w:type="dxa"/>
                    <w:right w:w="51" w:type="dxa"/>
                  </w:tcMar>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25（15）*</w:t>
                  </w:r>
                </w:p>
              </w:tc>
              <w:tc>
                <w:tcPr>
                  <w:tcW w:w="1168" w:type="dxa"/>
                  <w:tcMar>
                    <w:left w:w="51" w:type="dxa"/>
                    <w:right w:w="51" w:type="dxa"/>
                  </w:tcMar>
                  <w:vAlign w:val="center"/>
                </w:tcPr>
                <w:p>
                  <w:pPr>
                    <w:adjustRightInd w:val="0"/>
                    <w:snapToGrid w:val="0"/>
                    <w:jc w:val="center"/>
                    <w:rPr>
                      <w:rFonts w:hint="default" w:eastAsia="宋体"/>
                      <w:szCs w:val="21"/>
                      <w:lang w:val="en-US" w:eastAsia="zh-CN"/>
                    </w:rPr>
                  </w:pPr>
                  <w:r>
                    <w:rPr>
                      <w:rFonts w:hint="eastAsia"/>
                      <w:szCs w:val="21"/>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1" w:type="dxa"/>
                  <w:gridSpan w:val="3"/>
                  <w:vMerge w:val="continue"/>
                  <w:tcMar>
                    <w:left w:w="51" w:type="dxa"/>
                    <w:right w:w="51" w:type="dxa"/>
                  </w:tcMar>
                  <w:vAlign w:val="center"/>
                </w:tcPr>
                <w:p>
                  <w:pPr>
                    <w:pStyle w:val="23"/>
                    <w:adjustRightInd w:val="0"/>
                    <w:snapToGrid w:val="0"/>
                    <w:jc w:val="center"/>
                    <w:rPr>
                      <w:rFonts w:ascii="Times New Roman" w:hAnsi="Times New Roman"/>
                      <w:sz w:val="21"/>
                      <w:szCs w:val="21"/>
                    </w:rPr>
                  </w:pPr>
                </w:p>
              </w:tc>
              <w:tc>
                <w:tcPr>
                  <w:tcW w:w="1374" w:type="dxa"/>
                  <w:tcMar>
                    <w:left w:w="51" w:type="dxa"/>
                    <w:right w:w="51" w:type="dxa"/>
                  </w:tcMar>
                  <w:vAlign w:val="center"/>
                </w:tcPr>
                <w:p>
                  <w:pPr>
                    <w:adjustRightInd w:val="0"/>
                    <w:snapToGrid w:val="0"/>
                    <w:jc w:val="center"/>
                    <w:rPr>
                      <w:szCs w:val="21"/>
                    </w:rPr>
                  </w:pPr>
                  <w:r>
                    <w:rPr>
                      <w:szCs w:val="21"/>
                    </w:rPr>
                    <w:t>SS</w:t>
                  </w:r>
                </w:p>
              </w:tc>
              <w:tc>
                <w:tcPr>
                  <w:tcW w:w="1192" w:type="dxa"/>
                  <w:tcMar>
                    <w:left w:w="51" w:type="dxa"/>
                    <w:right w:w="51" w:type="dxa"/>
                  </w:tcMar>
                  <w:vAlign w:val="center"/>
                </w:tcPr>
                <w:p>
                  <w:pPr>
                    <w:pStyle w:val="144"/>
                    <w:adjustRightInd w:val="0"/>
                    <w:rPr>
                      <w:sz w:val="21"/>
                      <w:szCs w:val="21"/>
                    </w:rPr>
                  </w:pPr>
                  <w:r>
                    <w:rPr>
                      <w:sz w:val="21"/>
                      <w:szCs w:val="21"/>
                    </w:rPr>
                    <w:t>/</w:t>
                  </w:r>
                </w:p>
              </w:tc>
              <w:tc>
                <w:tcPr>
                  <w:tcW w:w="1177" w:type="dxa"/>
                  <w:tcMar>
                    <w:left w:w="51" w:type="dxa"/>
                    <w:right w:w="51" w:type="dxa"/>
                  </w:tcMar>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51.75</w:t>
                  </w:r>
                </w:p>
              </w:tc>
              <w:tc>
                <w:tcPr>
                  <w:tcW w:w="1168" w:type="dxa"/>
                  <w:tcMar>
                    <w:left w:w="51" w:type="dxa"/>
                    <w:right w:w="51" w:type="dxa"/>
                  </w:tcMar>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1168" w:type="dxa"/>
                  <w:tcMar>
                    <w:left w:w="51" w:type="dxa"/>
                    <w:right w:w="51" w:type="dxa"/>
                  </w:tcMar>
                  <w:vAlign w:val="center"/>
                </w:tcPr>
                <w:p>
                  <w:pPr>
                    <w:adjustRightInd w:val="0"/>
                    <w:snapToGrid w:val="0"/>
                    <w:jc w:val="center"/>
                    <w:rPr>
                      <w:rFonts w:hint="eastAsia" w:eastAsia="宋体"/>
                      <w:szCs w:val="21"/>
                      <w:lang w:val="en-US"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1" w:type="dxa"/>
                  <w:gridSpan w:val="3"/>
                  <w:vMerge w:val="continue"/>
                  <w:tcMar>
                    <w:left w:w="51" w:type="dxa"/>
                    <w:right w:w="51" w:type="dxa"/>
                  </w:tcMar>
                  <w:vAlign w:val="center"/>
                </w:tcPr>
                <w:p>
                  <w:pPr>
                    <w:pStyle w:val="23"/>
                    <w:adjustRightInd w:val="0"/>
                    <w:snapToGrid w:val="0"/>
                    <w:jc w:val="center"/>
                    <w:rPr>
                      <w:rFonts w:ascii="Times New Roman" w:hAnsi="Times New Roman"/>
                      <w:sz w:val="21"/>
                      <w:szCs w:val="21"/>
                    </w:rPr>
                  </w:pPr>
                </w:p>
              </w:tc>
              <w:tc>
                <w:tcPr>
                  <w:tcW w:w="1374" w:type="dxa"/>
                  <w:tcMar>
                    <w:left w:w="51" w:type="dxa"/>
                    <w:right w:w="51" w:type="dxa"/>
                  </w:tcMar>
                  <w:vAlign w:val="center"/>
                </w:tcPr>
                <w:p>
                  <w:pPr>
                    <w:adjustRightInd w:val="0"/>
                    <w:snapToGrid w:val="0"/>
                    <w:jc w:val="center"/>
                    <w:rPr>
                      <w:szCs w:val="21"/>
                    </w:rPr>
                  </w:pPr>
                  <w:r>
                    <w:rPr>
                      <w:rFonts w:hAnsi="宋体"/>
                      <w:szCs w:val="21"/>
                    </w:rPr>
                    <w:t>石油类</w:t>
                  </w:r>
                </w:p>
              </w:tc>
              <w:tc>
                <w:tcPr>
                  <w:tcW w:w="1192" w:type="dxa"/>
                  <w:tcMar>
                    <w:left w:w="51" w:type="dxa"/>
                    <w:right w:w="51" w:type="dxa"/>
                  </w:tcMar>
                  <w:vAlign w:val="center"/>
                </w:tcPr>
                <w:p>
                  <w:pPr>
                    <w:pStyle w:val="144"/>
                    <w:adjustRightInd w:val="0"/>
                    <w:rPr>
                      <w:sz w:val="21"/>
                      <w:szCs w:val="21"/>
                    </w:rPr>
                  </w:pPr>
                  <w:r>
                    <w:rPr>
                      <w:sz w:val="21"/>
                      <w:szCs w:val="21"/>
                    </w:rPr>
                    <w:t>/</w:t>
                  </w:r>
                </w:p>
              </w:tc>
              <w:tc>
                <w:tcPr>
                  <w:tcW w:w="1177" w:type="dxa"/>
                  <w:tcMar>
                    <w:left w:w="51" w:type="dxa"/>
                    <w:right w:w="51" w:type="dxa"/>
                  </w:tcMar>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4.14</w:t>
                  </w:r>
                </w:p>
              </w:tc>
              <w:tc>
                <w:tcPr>
                  <w:tcW w:w="1168" w:type="dxa"/>
                  <w:tcMar>
                    <w:left w:w="51" w:type="dxa"/>
                    <w:right w:w="51" w:type="dxa"/>
                  </w:tcMar>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1168" w:type="dxa"/>
                  <w:tcMar>
                    <w:left w:w="51" w:type="dxa"/>
                    <w:right w:w="51" w:type="dxa"/>
                  </w:tcMar>
                  <w:vAlign w:val="center"/>
                </w:tcPr>
                <w:p>
                  <w:pPr>
                    <w:adjustRightInd w:val="0"/>
                    <w:snapToGrid w:val="0"/>
                    <w:jc w:val="center"/>
                    <w:rPr>
                      <w:rFonts w:hint="eastAsia" w:eastAsia="宋体"/>
                      <w:szCs w:val="21"/>
                      <w:lang w:val="en-US" w:eastAsia="zh-CN"/>
                    </w:rPr>
                  </w:pPr>
                  <w:r>
                    <w:rPr>
                      <w:rFonts w:hint="eastAsia"/>
                      <w:szCs w:val="21"/>
                      <w:lang w:val="en-US" w:eastAsia="zh-CN"/>
                    </w:rPr>
                    <w:t>/</w:t>
                  </w:r>
                </w:p>
              </w:tc>
            </w:tr>
          </w:tbl>
          <w:p>
            <w:pPr>
              <w:adjustRightInd w:val="0"/>
              <w:snapToGrid w:val="0"/>
              <w:spacing w:line="500" w:lineRule="exact"/>
              <w:rPr>
                <w:b/>
                <w:bCs/>
                <w:color w:val="auto"/>
                <w:sz w:val="24"/>
              </w:rPr>
            </w:pPr>
            <w:r>
              <w:rPr>
                <w:b/>
                <w:bCs/>
                <w:color w:val="auto"/>
                <w:sz w:val="24"/>
              </w:rPr>
              <w:t>4.3.</w:t>
            </w:r>
            <w:r>
              <w:rPr>
                <w:rFonts w:hint="eastAsia"/>
                <w:b/>
                <w:bCs/>
                <w:color w:val="auto"/>
                <w:sz w:val="24"/>
                <w:lang w:val="en-US" w:eastAsia="zh-CN"/>
              </w:rPr>
              <w:t xml:space="preserve">2 </w:t>
            </w:r>
            <w:r>
              <w:rPr>
                <w:rFonts w:hAnsi="宋体"/>
                <w:b/>
                <w:bCs/>
                <w:color w:val="auto"/>
                <w:sz w:val="24"/>
              </w:rPr>
              <w:t>污水处理厂可行性说明</w:t>
            </w:r>
          </w:p>
          <w:p>
            <w:pPr>
              <w:adjustRightInd w:val="0"/>
              <w:snapToGrid w:val="0"/>
              <w:spacing w:line="500" w:lineRule="exact"/>
              <w:ind w:firstLine="480" w:firstLineChars="200"/>
              <w:rPr>
                <w:rFonts w:hint="eastAsia" w:hAnsi="宋体" w:eastAsia="宋体"/>
                <w:sz w:val="24"/>
                <w:lang w:eastAsia="zh-CN"/>
              </w:rPr>
            </w:pPr>
            <w:r>
              <w:rPr>
                <w:rFonts w:hint="eastAsia" w:hAnsi="宋体"/>
                <w:sz w:val="24"/>
                <w:lang w:eastAsia="zh-CN"/>
              </w:rPr>
              <w:t>本项目生活污水经化粪池预处理后由当地农村生活污水终端系统处理达标后排放，污染物排放执行《农村生活污水集中处理设施水污染物排放标准》中相关标准；生产废水收集后排至长兴虹溪污水处理有限公司建设在虹星桥镇北片工业园区的中水回用站处理后回用于本厂织造，不排放。</w:t>
            </w:r>
          </w:p>
          <w:p>
            <w:pPr>
              <w:adjustRightInd w:val="0"/>
              <w:snapToGrid w:val="0"/>
              <w:spacing w:line="500" w:lineRule="exact"/>
              <w:ind w:firstLine="480" w:firstLineChars="200"/>
              <w:rPr>
                <w:rFonts w:hint="eastAsia" w:eastAsia="宋体"/>
                <w:sz w:val="24"/>
                <w:lang w:eastAsia="zh-CN"/>
              </w:rPr>
            </w:pPr>
            <w:r>
              <w:rPr>
                <w:rFonts w:hAnsi="宋体"/>
                <w:sz w:val="24"/>
              </w:rPr>
              <w:t>（</w:t>
            </w:r>
            <w:r>
              <w:rPr>
                <w:sz w:val="24"/>
              </w:rPr>
              <w:t>1</w:t>
            </w:r>
            <w:r>
              <w:rPr>
                <w:rFonts w:hAnsi="宋体"/>
                <w:sz w:val="24"/>
              </w:rPr>
              <w:t>）</w:t>
            </w:r>
            <w:r>
              <w:rPr>
                <w:rFonts w:hint="eastAsia" w:hAnsi="宋体"/>
                <w:sz w:val="24"/>
                <w:lang w:eastAsia="zh-CN"/>
              </w:rPr>
              <w:t>长兴虹溪污水处理有限公司</w:t>
            </w:r>
            <w:r>
              <w:rPr>
                <w:rFonts w:hint="eastAsia" w:hAnsi="宋体"/>
                <w:sz w:val="24"/>
              </w:rPr>
              <w:t>虹星桥镇北片工业园区的中水回用站</w:t>
            </w:r>
            <w:r>
              <w:rPr>
                <w:rFonts w:hint="eastAsia" w:hAnsi="宋体"/>
                <w:sz w:val="24"/>
                <w:lang w:eastAsia="zh-CN"/>
              </w:rPr>
              <w:t>简介</w:t>
            </w:r>
          </w:p>
          <w:p>
            <w:pPr>
              <w:pStyle w:val="16"/>
              <w:spacing w:line="500" w:lineRule="exact"/>
              <w:ind w:firstLine="480" w:firstLineChars="200"/>
              <w:rPr>
                <w:rFonts w:hint="default" w:eastAsia="宋体"/>
                <w:b w:val="0"/>
                <w:bCs w:val="0"/>
                <w:lang w:val="en-US" w:eastAsia="zh-CN"/>
              </w:rPr>
            </w:pPr>
            <w:r>
              <w:rPr>
                <w:rFonts w:hint="eastAsia" w:hAnsi="宋体"/>
                <w:b w:val="0"/>
                <w:bCs w:val="0"/>
              </w:rPr>
              <w:t xml:space="preserve">长兴虹溪污水处理有限公司位于长兴县虹星桥镇龙从村、厚全村，2013 年 </w:t>
            </w:r>
            <w:r>
              <w:rPr>
                <w:rFonts w:hint="eastAsia" w:hAnsi="宋体"/>
                <w:b w:val="0"/>
                <w:bCs w:val="0"/>
                <w:lang w:val="en-US" w:eastAsia="zh-CN"/>
              </w:rPr>
              <w:t>5</w:t>
            </w:r>
            <w:r>
              <w:rPr>
                <w:rFonts w:hint="eastAsia" w:hAnsi="宋体"/>
                <w:b w:val="0"/>
                <w:bCs w:val="0"/>
              </w:rPr>
              <w:t>月，企业委托浙江商达环保有限公司承担《长兴虹溪污水处理有限公司虹星桥镇1.5 万吨中水回用工程环境影响书》的编制工作，2013 年 6 月 21 日长兴县环境保护局以长环管[2013]536 号文件对该新建项目予以批复；该项目于 2018 年 8 月24 日通过环保竣工验收（长环许验[2018]37 号）。企业现有员工 10 人，年工作360 天（24 小时制）</w:t>
            </w:r>
            <w:r>
              <w:rPr>
                <w:rFonts w:hint="eastAsia" w:hAnsi="宋体"/>
                <w:b w:val="0"/>
                <w:bCs w:val="0"/>
                <w:lang w:eastAsia="zh-CN"/>
              </w:rPr>
              <w:t>。虹星桥镇镇北中水回用站沿线铺设管网 5.73 公里（包括中水管网 2.8 公里，中水管网从中水回用站出发，沿着道路，敷设至各喷水织机厂，管网工程管径为DN80－DN300；污水工程将收集工业园区企业污水沿道路至中水回用站，管径为 DN300－DN800，铺设污水管网 2.8 公里；铺设补水工程在最近的取水点建设泵站，将水输送至中水回用站中，经处理再进行回用，补水工程管长 0.13 公里，管径为 DN150）。北片中水回用站采用“气浮</w:t>
            </w:r>
            <w:r>
              <w:rPr>
                <w:rFonts w:hint="eastAsia" w:hAnsi="宋体"/>
                <w:b w:val="0"/>
                <w:bCs w:val="0"/>
                <w:lang w:val="en-US" w:eastAsia="zh-CN"/>
              </w:rPr>
              <w:t>+混凝</w:t>
            </w:r>
            <w:r>
              <w:rPr>
                <w:rFonts w:hint="eastAsia" w:hAnsi="宋体"/>
                <w:b w:val="0"/>
                <w:bCs w:val="0"/>
                <w:lang w:eastAsia="zh-CN"/>
              </w:rPr>
              <w:t>”处理工艺，日处理水量为</w:t>
            </w:r>
            <w:r>
              <w:rPr>
                <w:rFonts w:hint="eastAsia" w:hAnsi="宋体"/>
                <w:b w:val="0"/>
                <w:bCs w:val="0"/>
                <w:lang w:val="en-US" w:eastAsia="zh-CN"/>
              </w:rPr>
              <w:t>1万t/d。处理工艺见图4.3-2。</w:t>
            </w:r>
          </w:p>
          <w:p>
            <w:pPr>
              <w:pStyle w:val="16"/>
              <w:jc w:val="center"/>
            </w:pPr>
            <w:r>
              <w:drawing>
                <wp:inline distT="0" distB="0" distL="114300" distR="114300">
                  <wp:extent cx="4861560" cy="4640580"/>
                  <wp:effectExtent l="0" t="0" r="0" b="762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40"/>
                          <a:stretch>
                            <a:fillRect/>
                          </a:stretch>
                        </pic:blipFill>
                        <pic:spPr>
                          <a:xfrm>
                            <a:off x="0" y="0"/>
                            <a:ext cx="4861560" cy="4640580"/>
                          </a:xfrm>
                          <a:prstGeom prst="rect">
                            <a:avLst/>
                          </a:prstGeom>
                          <a:noFill/>
                          <a:ln>
                            <a:noFill/>
                          </a:ln>
                        </pic:spPr>
                      </pic:pic>
                    </a:graphicData>
                  </a:graphic>
                </wp:inline>
              </w:drawing>
            </w:r>
          </w:p>
          <w:p>
            <w:pPr>
              <w:pStyle w:val="16"/>
              <w:jc w:val="center"/>
            </w:pPr>
          </w:p>
          <w:p>
            <w:pPr>
              <w:pStyle w:val="16"/>
              <w:spacing w:line="460" w:lineRule="exact"/>
              <w:jc w:val="center"/>
              <w:rPr>
                <w:sz w:val="21"/>
                <w:szCs w:val="21"/>
              </w:rPr>
            </w:pPr>
            <w:r>
              <w:rPr>
                <w:rFonts w:hAnsi="宋体"/>
                <w:sz w:val="21"/>
                <w:szCs w:val="21"/>
              </w:rPr>
              <w:t>图</w:t>
            </w:r>
            <w:r>
              <w:rPr>
                <w:sz w:val="21"/>
                <w:szCs w:val="21"/>
              </w:rPr>
              <w:t>4.3-</w:t>
            </w:r>
            <w:r>
              <w:rPr>
                <w:rFonts w:hint="eastAsia"/>
                <w:sz w:val="21"/>
                <w:szCs w:val="21"/>
                <w:lang w:val="en-US" w:eastAsia="zh-CN"/>
              </w:rPr>
              <w:t>1</w:t>
            </w:r>
            <w:r>
              <w:rPr>
                <w:sz w:val="21"/>
                <w:szCs w:val="21"/>
              </w:rPr>
              <w:t xml:space="preserve">  </w:t>
            </w:r>
            <w:r>
              <w:rPr>
                <w:rFonts w:hint="eastAsia"/>
                <w:sz w:val="21"/>
                <w:szCs w:val="21"/>
                <w:u w:val="single"/>
              </w:rPr>
              <w:t>长兴虹溪污水处理有限公司虹星桥镇北片工业园区中水回用站</w:t>
            </w:r>
            <w:r>
              <w:rPr>
                <w:rFonts w:hAnsi="宋体"/>
                <w:sz w:val="21"/>
                <w:szCs w:val="21"/>
                <w:u w:val="single"/>
              </w:rPr>
              <w:t>工艺流程示意图</w:t>
            </w:r>
          </w:p>
          <w:p>
            <w:pPr>
              <w:widowControl/>
              <w:spacing w:line="500" w:lineRule="exact"/>
              <w:ind w:firstLine="480" w:firstLineChars="200"/>
              <w:jc w:val="left"/>
              <w:rPr>
                <w:b/>
                <w:sz w:val="24"/>
              </w:rPr>
            </w:pPr>
            <w:r>
              <w:rPr>
                <w:rFonts w:hint="eastAsia" w:hAnsi="宋体"/>
                <w:sz w:val="24"/>
              </w:rPr>
              <w:t>虹星桥镇北片工业园区中水回用站</w:t>
            </w:r>
            <w:r>
              <w:rPr>
                <w:rFonts w:hAnsi="宋体"/>
                <w:sz w:val="24"/>
              </w:rPr>
              <w:t>设计进出水水质见表</w:t>
            </w:r>
            <w:r>
              <w:rPr>
                <w:sz w:val="24"/>
              </w:rPr>
              <w:t>4.3-</w:t>
            </w:r>
            <w:r>
              <w:rPr>
                <w:rFonts w:hint="eastAsia"/>
                <w:sz w:val="24"/>
                <w:lang w:val="en-US" w:eastAsia="zh-CN"/>
              </w:rPr>
              <w:t>5</w:t>
            </w:r>
            <w:r>
              <w:rPr>
                <w:rFonts w:hAnsi="宋体"/>
                <w:sz w:val="24"/>
              </w:rPr>
              <w:t>。</w:t>
            </w:r>
          </w:p>
          <w:p>
            <w:pPr>
              <w:adjustRightInd w:val="0"/>
              <w:snapToGrid w:val="0"/>
              <w:spacing w:line="460" w:lineRule="exact"/>
              <w:ind w:firstLine="406" w:firstLineChars="200"/>
              <w:jc w:val="center"/>
              <w:rPr>
                <w:rFonts w:hAnsi="宋体"/>
                <w:b/>
                <w:bCs/>
                <w:spacing w:val="-4"/>
                <w:szCs w:val="21"/>
              </w:rPr>
            </w:pPr>
          </w:p>
          <w:p>
            <w:pPr>
              <w:adjustRightInd w:val="0"/>
              <w:snapToGrid w:val="0"/>
              <w:spacing w:line="460" w:lineRule="exact"/>
              <w:ind w:firstLine="406" w:firstLineChars="200"/>
              <w:jc w:val="center"/>
              <w:rPr>
                <w:rFonts w:hAnsi="宋体"/>
                <w:b/>
                <w:bCs/>
                <w:spacing w:val="-4"/>
                <w:szCs w:val="21"/>
              </w:rPr>
            </w:pPr>
          </w:p>
          <w:p>
            <w:pPr>
              <w:adjustRightInd w:val="0"/>
              <w:snapToGrid w:val="0"/>
              <w:spacing w:line="460" w:lineRule="exact"/>
              <w:ind w:firstLine="406" w:firstLineChars="200"/>
              <w:jc w:val="center"/>
              <w:rPr>
                <w:rFonts w:hAnsi="宋体"/>
                <w:b/>
                <w:bCs/>
                <w:spacing w:val="-4"/>
                <w:szCs w:val="21"/>
              </w:rPr>
            </w:pPr>
          </w:p>
          <w:p>
            <w:pPr>
              <w:adjustRightInd w:val="0"/>
              <w:snapToGrid w:val="0"/>
              <w:spacing w:line="460" w:lineRule="exact"/>
              <w:ind w:firstLine="406" w:firstLineChars="200"/>
              <w:jc w:val="center"/>
              <w:rPr>
                <w:rFonts w:hAnsi="宋体"/>
                <w:b/>
                <w:bCs/>
                <w:spacing w:val="-4"/>
                <w:szCs w:val="21"/>
              </w:rPr>
            </w:pPr>
          </w:p>
          <w:p>
            <w:pPr>
              <w:adjustRightInd w:val="0"/>
              <w:snapToGrid w:val="0"/>
              <w:spacing w:line="460" w:lineRule="exact"/>
              <w:ind w:firstLine="406" w:firstLineChars="200"/>
              <w:jc w:val="center"/>
              <w:rPr>
                <w:b/>
                <w:bCs/>
                <w:spacing w:val="-4"/>
                <w:szCs w:val="21"/>
              </w:rPr>
            </w:pPr>
            <w:r>
              <w:rPr>
                <w:rFonts w:hAnsi="宋体"/>
                <w:b/>
                <w:bCs/>
                <w:spacing w:val="-4"/>
                <w:szCs w:val="21"/>
              </w:rPr>
              <w:t>表</w:t>
            </w:r>
            <w:r>
              <w:rPr>
                <w:b/>
                <w:bCs/>
                <w:spacing w:val="-4"/>
                <w:szCs w:val="21"/>
              </w:rPr>
              <w:t>4.3-</w:t>
            </w:r>
            <w:r>
              <w:rPr>
                <w:rFonts w:hint="eastAsia"/>
                <w:b/>
                <w:bCs/>
                <w:spacing w:val="-4"/>
                <w:szCs w:val="21"/>
                <w:lang w:val="en-US" w:eastAsia="zh-CN"/>
              </w:rPr>
              <w:t xml:space="preserve">5 </w:t>
            </w:r>
            <w:r>
              <w:rPr>
                <w:rFonts w:hint="eastAsia"/>
                <w:b/>
                <w:bCs/>
                <w:spacing w:val="-4"/>
                <w:szCs w:val="21"/>
              </w:rPr>
              <w:t>虹星桥镇北片工业园区中水回用站</w:t>
            </w:r>
            <w:r>
              <w:rPr>
                <w:rFonts w:hAnsi="宋体"/>
                <w:b/>
                <w:bCs/>
                <w:spacing w:val="-4"/>
                <w:szCs w:val="21"/>
              </w:rPr>
              <w:t>设计进</w:t>
            </w:r>
            <w:r>
              <w:rPr>
                <w:rFonts w:hint="eastAsia" w:hAnsi="宋体"/>
                <w:b/>
                <w:bCs/>
                <w:spacing w:val="-4"/>
                <w:szCs w:val="21"/>
                <w:lang w:eastAsia="zh-CN"/>
              </w:rPr>
              <w:t>、出</w:t>
            </w:r>
            <w:r>
              <w:rPr>
                <w:rFonts w:hAnsi="宋体"/>
                <w:b/>
                <w:bCs/>
                <w:spacing w:val="-4"/>
                <w:szCs w:val="21"/>
              </w:rPr>
              <w:t>水水质</w:t>
            </w:r>
          </w:p>
          <w:p>
            <w:pPr>
              <w:jc w:val="right"/>
              <w:rPr>
                <w:b/>
                <w:szCs w:val="21"/>
              </w:rPr>
            </w:pPr>
            <w:r>
              <w:rPr>
                <w:szCs w:val="21"/>
              </w:rPr>
              <w:t>单位：mg/L（除pH外）</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120"/>
              <w:gridCol w:w="1369"/>
              <w:gridCol w:w="1370"/>
              <w:gridCol w:w="137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0" w:type="dxa"/>
                  <w:vAlign w:val="center"/>
                </w:tcPr>
                <w:p>
                  <w:pPr>
                    <w:jc w:val="center"/>
                    <w:rPr>
                      <w:b w:val="0"/>
                      <w:bCs/>
                      <w:spacing w:val="0"/>
                      <w:sz w:val="21"/>
                      <w:szCs w:val="21"/>
                    </w:rPr>
                  </w:pPr>
                  <w:r>
                    <w:rPr>
                      <w:b w:val="0"/>
                      <w:bCs/>
                      <w:spacing w:val="0"/>
                      <w:sz w:val="21"/>
                      <w:szCs w:val="21"/>
                    </w:rPr>
                    <w:t>水质指标</w:t>
                  </w:r>
                </w:p>
              </w:tc>
              <w:tc>
                <w:tcPr>
                  <w:tcW w:w="1335" w:type="dxa"/>
                  <w:vAlign w:val="center"/>
                </w:tcPr>
                <w:p>
                  <w:pPr>
                    <w:jc w:val="center"/>
                    <w:rPr>
                      <w:sz w:val="21"/>
                      <w:szCs w:val="21"/>
                    </w:rPr>
                  </w:pPr>
                  <w:r>
                    <w:rPr>
                      <w:sz w:val="21"/>
                      <w:szCs w:val="21"/>
                    </w:rPr>
                    <w:t>pH</w:t>
                  </w:r>
                </w:p>
              </w:tc>
              <w:tc>
                <w:tcPr>
                  <w:tcW w:w="1643" w:type="dxa"/>
                  <w:vAlign w:val="center"/>
                </w:tcPr>
                <w:p>
                  <w:pPr>
                    <w:jc w:val="center"/>
                    <w:rPr>
                      <w:sz w:val="21"/>
                      <w:szCs w:val="21"/>
                    </w:rPr>
                  </w:pPr>
                  <w:r>
                    <w:rPr>
                      <w:sz w:val="21"/>
                      <w:szCs w:val="21"/>
                    </w:rPr>
                    <w:t>COD</w:t>
                  </w:r>
                  <w:r>
                    <w:rPr>
                      <w:sz w:val="21"/>
                      <w:szCs w:val="21"/>
                      <w:vertAlign w:val="subscript"/>
                    </w:rPr>
                    <w:t>Cr</w:t>
                  </w:r>
                </w:p>
              </w:tc>
              <w:tc>
                <w:tcPr>
                  <w:tcW w:w="1645" w:type="dxa"/>
                  <w:vAlign w:val="center"/>
                </w:tcPr>
                <w:p>
                  <w:pPr>
                    <w:jc w:val="center"/>
                    <w:rPr>
                      <w:sz w:val="21"/>
                      <w:szCs w:val="21"/>
                      <w:highlight w:val="none"/>
                    </w:rPr>
                  </w:pPr>
                  <w:r>
                    <w:rPr>
                      <w:sz w:val="21"/>
                      <w:szCs w:val="21"/>
                      <w:highlight w:val="none"/>
                    </w:rPr>
                    <w:t>SS</w:t>
                  </w:r>
                </w:p>
              </w:tc>
              <w:tc>
                <w:tcPr>
                  <w:tcW w:w="1647" w:type="dxa"/>
                  <w:vAlign w:val="center"/>
                </w:tcPr>
                <w:p>
                  <w:pPr>
                    <w:pStyle w:val="117"/>
                    <w:rPr>
                      <w:rFonts w:hint="eastAsia" w:eastAsia="宋体"/>
                      <w:bCs/>
                      <w:spacing w:val="0"/>
                      <w:sz w:val="21"/>
                      <w:szCs w:val="21"/>
                      <w:lang w:val="en-US" w:eastAsia="zh-CN"/>
                    </w:rPr>
                  </w:pPr>
                  <w:r>
                    <w:rPr>
                      <w:rFonts w:hint="eastAsia"/>
                      <w:bCs/>
                      <w:spacing w:val="0"/>
                      <w:sz w:val="21"/>
                      <w:szCs w:val="21"/>
                      <w:lang w:eastAsia="zh-CN"/>
                    </w:rPr>
                    <w:t>氨氮</w:t>
                  </w:r>
                </w:p>
              </w:tc>
              <w:tc>
                <w:tcPr>
                  <w:tcW w:w="1647" w:type="dxa"/>
                  <w:vAlign w:val="center"/>
                </w:tcPr>
                <w:p>
                  <w:pPr>
                    <w:pStyle w:val="117"/>
                    <w:rPr>
                      <w:rFonts w:hint="default"/>
                      <w:bCs/>
                      <w:spacing w:val="0"/>
                      <w:sz w:val="21"/>
                      <w:szCs w:val="21"/>
                      <w:lang w:val="en-US" w:eastAsia="zh-CN"/>
                    </w:rPr>
                  </w:pPr>
                  <w:r>
                    <w:rPr>
                      <w:rFonts w:hint="eastAsia"/>
                      <w:bCs/>
                      <w:spacing w:val="0"/>
                      <w:sz w:val="21"/>
                      <w:szCs w:val="21"/>
                      <w:lang w:eastAsia="zh-CN"/>
                    </w:rPr>
                    <w:t>色度（倍）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0" w:type="dxa"/>
                  <w:vAlign w:val="center"/>
                </w:tcPr>
                <w:p>
                  <w:pPr>
                    <w:adjustRightInd w:val="0"/>
                    <w:snapToGrid w:val="0"/>
                    <w:jc w:val="center"/>
                    <w:rPr>
                      <w:rFonts w:hint="eastAsia" w:eastAsia="宋体"/>
                      <w:b w:val="0"/>
                      <w:bCs/>
                      <w:spacing w:val="0"/>
                      <w:sz w:val="21"/>
                      <w:szCs w:val="21"/>
                      <w:lang w:eastAsia="zh-CN"/>
                    </w:rPr>
                  </w:pPr>
                  <w:r>
                    <w:rPr>
                      <w:rFonts w:hint="eastAsia"/>
                      <w:b w:val="0"/>
                      <w:bCs/>
                      <w:spacing w:val="0"/>
                      <w:sz w:val="21"/>
                      <w:szCs w:val="21"/>
                      <w:lang w:eastAsia="zh-CN"/>
                    </w:rPr>
                    <w:t>进水水质</w:t>
                  </w:r>
                </w:p>
              </w:tc>
              <w:tc>
                <w:tcPr>
                  <w:tcW w:w="1335" w:type="dxa"/>
                  <w:vAlign w:val="center"/>
                </w:tcPr>
                <w:p>
                  <w:pPr>
                    <w:jc w:val="center"/>
                    <w:rPr>
                      <w:sz w:val="21"/>
                      <w:szCs w:val="21"/>
                    </w:rPr>
                  </w:pPr>
                  <w:r>
                    <w:rPr>
                      <w:sz w:val="21"/>
                      <w:szCs w:val="21"/>
                    </w:rPr>
                    <w:t>6～9</w:t>
                  </w:r>
                </w:p>
              </w:tc>
              <w:tc>
                <w:tcPr>
                  <w:tcW w:w="1643" w:type="dxa"/>
                  <w:vAlign w:val="center"/>
                </w:tcPr>
                <w:p>
                  <w:pPr>
                    <w:jc w:val="center"/>
                    <w:rPr>
                      <w:rFonts w:hint="default" w:eastAsia="宋体"/>
                      <w:sz w:val="21"/>
                      <w:szCs w:val="21"/>
                      <w:lang w:val="en-US" w:eastAsia="zh-CN"/>
                    </w:rPr>
                  </w:pPr>
                  <w:r>
                    <w:rPr>
                      <w:sz w:val="21"/>
                      <w:szCs w:val="21"/>
                    </w:rPr>
                    <w:t>≤</w:t>
                  </w:r>
                  <w:r>
                    <w:rPr>
                      <w:rFonts w:hint="eastAsia"/>
                      <w:sz w:val="21"/>
                      <w:szCs w:val="21"/>
                      <w:lang w:val="en-US" w:eastAsia="zh-CN"/>
                    </w:rPr>
                    <w:t>350</w:t>
                  </w:r>
                </w:p>
              </w:tc>
              <w:tc>
                <w:tcPr>
                  <w:tcW w:w="1645" w:type="dxa"/>
                  <w:vAlign w:val="center"/>
                </w:tcPr>
                <w:p>
                  <w:pPr>
                    <w:jc w:val="center"/>
                    <w:rPr>
                      <w:rFonts w:hint="default" w:eastAsia="宋体"/>
                      <w:sz w:val="21"/>
                      <w:szCs w:val="21"/>
                      <w:highlight w:val="none"/>
                      <w:lang w:val="en-US" w:eastAsia="zh-CN"/>
                    </w:rPr>
                  </w:pPr>
                  <w:r>
                    <w:rPr>
                      <w:sz w:val="21"/>
                      <w:szCs w:val="21"/>
                      <w:highlight w:val="none"/>
                    </w:rPr>
                    <w:t>≤</w:t>
                  </w:r>
                  <w:r>
                    <w:rPr>
                      <w:rFonts w:hint="eastAsia"/>
                      <w:sz w:val="21"/>
                      <w:szCs w:val="21"/>
                      <w:highlight w:val="none"/>
                      <w:lang w:val="en-US" w:eastAsia="zh-CN"/>
                    </w:rPr>
                    <w:t>250</w:t>
                  </w:r>
                </w:p>
              </w:tc>
              <w:tc>
                <w:tcPr>
                  <w:tcW w:w="1647" w:type="dxa"/>
                  <w:vAlign w:val="center"/>
                </w:tcPr>
                <w:p>
                  <w:pPr>
                    <w:snapToGrid w:val="0"/>
                    <w:jc w:val="center"/>
                    <w:rPr>
                      <w:rFonts w:hint="default" w:eastAsia="宋体"/>
                      <w:sz w:val="21"/>
                      <w:szCs w:val="21"/>
                      <w:lang w:val="en-US" w:eastAsia="zh-CN"/>
                    </w:rPr>
                  </w:pPr>
                  <w:r>
                    <w:rPr>
                      <w:sz w:val="21"/>
                      <w:szCs w:val="21"/>
                    </w:rPr>
                    <w:t>≤</w:t>
                  </w:r>
                  <w:r>
                    <w:rPr>
                      <w:rFonts w:hint="eastAsia"/>
                      <w:sz w:val="21"/>
                      <w:szCs w:val="21"/>
                      <w:lang w:val="en-US" w:eastAsia="zh-CN"/>
                    </w:rPr>
                    <w:t>5</w:t>
                  </w:r>
                </w:p>
              </w:tc>
              <w:tc>
                <w:tcPr>
                  <w:tcW w:w="1647" w:type="dxa"/>
                  <w:vAlign w:val="center"/>
                </w:tcPr>
                <w:p>
                  <w:pPr>
                    <w:snapToGrid w:val="0"/>
                    <w:jc w:val="center"/>
                    <w:rPr>
                      <w:rFonts w:hint="default" w:eastAsia="宋体"/>
                      <w:sz w:val="21"/>
                      <w:szCs w:val="21"/>
                      <w:lang w:val="en-US" w:eastAsia="zh-CN"/>
                    </w:rPr>
                  </w:pPr>
                  <w:r>
                    <w:rPr>
                      <w:sz w:val="21"/>
                      <w:szCs w:val="21"/>
                    </w:rPr>
                    <w:t>≤</w:t>
                  </w:r>
                  <w:r>
                    <w:rPr>
                      <w:rFonts w:hint="eastAsia"/>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0" w:type="dxa"/>
                  <w:vAlign w:val="center"/>
                </w:tcPr>
                <w:p>
                  <w:pPr>
                    <w:adjustRightInd w:val="0"/>
                    <w:snapToGrid w:val="0"/>
                    <w:jc w:val="center"/>
                    <w:rPr>
                      <w:rFonts w:hint="eastAsia"/>
                      <w:b w:val="0"/>
                      <w:bCs/>
                      <w:spacing w:val="0"/>
                      <w:sz w:val="21"/>
                      <w:szCs w:val="21"/>
                      <w:lang w:eastAsia="zh-CN"/>
                    </w:rPr>
                  </w:pPr>
                  <w:r>
                    <w:rPr>
                      <w:rFonts w:hint="eastAsia"/>
                      <w:b w:val="0"/>
                      <w:bCs/>
                      <w:spacing w:val="0"/>
                      <w:sz w:val="21"/>
                      <w:szCs w:val="21"/>
                      <w:lang w:eastAsia="zh-CN"/>
                    </w:rPr>
                    <w:t>出水水质</w:t>
                  </w:r>
                </w:p>
              </w:tc>
              <w:tc>
                <w:tcPr>
                  <w:tcW w:w="1335" w:type="dxa"/>
                  <w:vAlign w:val="center"/>
                </w:tcPr>
                <w:p>
                  <w:pPr>
                    <w:jc w:val="center"/>
                    <w:rPr>
                      <w:sz w:val="21"/>
                      <w:szCs w:val="21"/>
                    </w:rPr>
                  </w:pPr>
                  <w:r>
                    <w:rPr>
                      <w:sz w:val="21"/>
                      <w:szCs w:val="21"/>
                    </w:rPr>
                    <w:t>6～9</w:t>
                  </w:r>
                </w:p>
              </w:tc>
              <w:tc>
                <w:tcPr>
                  <w:tcW w:w="1643" w:type="dxa"/>
                  <w:vAlign w:val="center"/>
                </w:tcPr>
                <w:p>
                  <w:pPr>
                    <w:jc w:val="center"/>
                    <w:rPr>
                      <w:rFonts w:hint="default" w:eastAsia="宋体"/>
                      <w:sz w:val="21"/>
                      <w:szCs w:val="21"/>
                      <w:lang w:val="en-US" w:eastAsia="zh-CN"/>
                    </w:rPr>
                  </w:pPr>
                  <w:r>
                    <w:rPr>
                      <w:sz w:val="21"/>
                      <w:szCs w:val="21"/>
                    </w:rPr>
                    <w:t>≤</w:t>
                  </w:r>
                  <w:r>
                    <w:rPr>
                      <w:rFonts w:hint="eastAsia"/>
                      <w:sz w:val="21"/>
                      <w:szCs w:val="21"/>
                      <w:lang w:val="en-US" w:eastAsia="zh-CN"/>
                    </w:rPr>
                    <w:t>150</w:t>
                  </w:r>
                </w:p>
              </w:tc>
              <w:tc>
                <w:tcPr>
                  <w:tcW w:w="1645" w:type="dxa"/>
                  <w:vAlign w:val="center"/>
                </w:tcPr>
                <w:p>
                  <w:pPr>
                    <w:jc w:val="center"/>
                    <w:rPr>
                      <w:rFonts w:hint="default" w:eastAsia="宋体"/>
                      <w:sz w:val="21"/>
                      <w:szCs w:val="21"/>
                      <w:highlight w:val="none"/>
                      <w:lang w:val="en-US" w:eastAsia="zh-CN"/>
                    </w:rPr>
                  </w:pPr>
                  <w:r>
                    <w:rPr>
                      <w:sz w:val="21"/>
                      <w:szCs w:val="21"/>
                      <w:highlight w:val="none"/>
                    </w:rPr>
                    <w:t>≤</w:t>
                  </w:r>
                  <w:r>
                    <w:rPr>
                      <w:rFonts w:hint="eastAsia"/>
                      <w:sz w:val="21"/>
                      <w:szCs w:val="21"/>
                      <w:highlight w:val="none"/>
                      <w:lang w:val="en-US" w:eastAsia="zh-CN"/>
                    </w:rPr>
                    <w:t>70</w:t>
                  </w:r>
                </w:p>
              </w:tc>
              <w:tc>
                <w:tcPr>
                  <w:tcW w:w="1647" w:type="dxa"/>
                  <w:vAlign w:val="center"/>
                </w:tcPr>
                <w:p>
                  <w:pPr>
                    <w:snapToGrid w:val="0"/>
                    <w:jc w:val="center"/>
                    <w:rPr>
                      <w:rFonts w:hint="default" w:eastAsia="宋体"/>
                      <w:sz w:val="21"/>
                      <w:szCs w:val="21"/>
                      <w:lang w:val="en-US" w:eastAsia="zh-CN"/>
                    </w:rPr>
                  </w:pPr>
                  <w:r>
                    <w:rPr>
                      <w:rFonts w:hint="eastAsia"/>
                      <w:sz w:val="21"/>
                      <w:szCs w:val="21"/>
                      <w:lang w:val="en-US" w:eastAsia="zh-CN"/>
                    </w:rPr>
                    <w:t>-</w:t>
                  </w:r>
                </w:p>
              </w:tc>
              <w:tc>
                <w:tcPr>
                  <w:tcW w:w="1647" w:type="dxa"/>
                  <w:vAlign w:val="center"/>
                </w:tcPr>
                <w:p>
                  <w:pPr>
                    <w:snapToGrid w:val="0"/>
                    <w:jc w:val="center"/>
                    <w:rPr>
                      <w:rFonts w:hint="default" w:eastAsia="宋体"/>
                      <w:sz w:val="21"/>
                      <w:szCs w:val="21"/>
                      <w:lang w:val="en-US" w:eastAsia="zh-CN"/>
                    </w:rPr>
                  </w:pPr>
                  <w:r>
                    <w:rPr>
                      <w:sz w:val="21"/>
                      <w:szCs w:val="21"/>
                    </w:rPr>
                    <w:t>≤</w:t>
                  </w:r>
                  <w:r>
                    <w:rPr>
                      <w:rFonts w:hint="eastAsia"/>
                      <w:sz w:val="21"/>
                      <w:szCs w:val="21"/>
                      <w:lang w:val="en-US" w:eastAsia="zh-CN"/>
                    </w:rPr>
                    <w:t>50</w:t>
                  </w:r>
                </w:p>
              </w:tc>
            </w:tr>
          </w:tbl>
          <w:p>
            <w:pPr>
              <w:adjustRightInd w:val="0"/>
              <w:snapToGrid w:val="0"/>
              <w:spacing w:line="500" w:lineRule="exact"/>
              <w:ind w:firstLine="480" w:firstLineChars="200"/>
              <w:rPr>
                <w:color w:val="auto"/>
                <w:sz w:val="24"/>
              </w:rPr>
            </w:pPr>
            <w:r>
              <w:rPr>
                <w:rFonts w:hAnsi="宋体"/>
                <w:color w:val="auto"/>
                <w:sz w:val="24"/>
              </w:rPr>
              <w:t>（</w:t>
            </w:r>
            <w:r>
              <w:rPr>
                <w:color w:val="auto"/>
                <w:sz w:val="24"/>
              </w:rPr>
              <w:t>2</w:t>
            </w:r>
            <w:r>
              <w:rPr>
                <w:rFonts w:hAnsi="宋体"/>
                <w:color w:val="auto"/>
                <w:sz w:val="24"/>
              </w:rPr>
              <w:t>）污水处理厂对本项目废水可接纳性分析</w:t>
            </w:r>
          </w:p>
          <w:p>
            <w:pPr>
              <w:spacing w:line="500" w:lineRule="exact"/>
              <w:ind w:firstLine="480" w:firstLineChars="200"/>
              <w:textAlignment w:val="center"/>
              <w:rPr>
                <w:rFonts w:ascii="Times New Roman" w:hAnsi="Times New Roman" w:eastAsia="宋体" w:cs="Times New Roman"/>
                <w:snapToGrid w:val="0"/>
                <w:kern w:val="0"/>
                <w:sz w:val="24"/>
                <w:szCs w:val="24"/>
              </w:rPr>
            </w:pPr>
            <w:r>
              <w:rPr>
                <w:rFonts w:hint="eastAsia" w:ascii="Times New Roman" w:hAnsi="Times New Roman" w:eastAsia="宋体" w:cs="Times New Roman"/>
                <w:snapToGrid w:val="0"/>
                <w:kern w:val="0"/>
                <w:sz w:val="24"/>
                <w:szCs w:val="24"/>
              </w:rPr>
              <w:t>本项目位于虹星桥镇工业园区，在长兴虹溪污水处理有限公司虹星桥镇镇</w:t>
            </w:r>
            <w:r>
              <w:rPr>
                <w:rFonts w:hint="eastAsia" w:ascii="Times New Roman" w:hAnsi="Times New Roman" w:eastAsia="宋体" w:cs="Times New Roman"/>
                <w:snapToGrid w:val="0"/>
                <w:kern w:val="0"/>
                <w:sz w:val="24"/>
                <w:szCs w:val="24"/>
                <w:lang w:eastAsia="zh-CN"/>
              </w:rPr>
              <w:t>北</w:t>
            </w:r>
            <w:r>
              <w:rPr>
                <w:rFonts w:hint="eastAsia" w:ascii="Times New Roman" w:hAnsi="Times New Roman" w:eastAsia="宋体" w:cs="Times New Roman"/>
                <w:snapToGrid w:val="0"/>
                <w:kern w:val="0"/>
                <w:sz w:val="24"/>
                <w:szCs w:val="24"/>
              </w:rPr>
              <w:t>中水回用站截污范围内。虹星桥镇</w:t>
            </w:r>
            <w:r>
              <w:rPr>
                <w:rFonts w:hint="eastAsia" w:ascii="Times New Roman" w:hAnsi="Times New Roman" w:eastAsia="宋体" w:cs="Times New Roman"/>
                <w:snapToGrid w:val="0"/>
                <w:kern w:val="0"/>
                <w:sz w:val="24"/>
                <w:szCs w:val="24"/>
                <w:lang w:eastAsia="zh-CN"/>
              </w:rPr>
              <w:t>北片</w:t>
            </w:r>
            <w:r>
              <w:rPr>
                <w:rFonts w:hint="eastAsia" w:ascii="Times New Roman" w:hAnsi="Times New Roman" w:eastAsia="宋体" w:cs="Times New Roman"/>
                <w:snapToGrid w:val="0"/>
                <w:kern w:val="0"/>
                <w:sz w:val="24"/>
                <w:szCs w:val="24"/>
              </w:rPr>
              <w:t>中水回用站设计处理能力为</w:t>
            </w:r>
            <w:r>
              <w:rPr>
                <w:rFonts w:hint="eastAsia" w:ascii="Times New Roman" w:hAnsi="Times New Roman" w:eastAsia="宋体" w:cs="Times New Roman"/>
                <w:snapToGrid w:val="0"/>
                <w:kern w:val="0"/>
                <w:sz w:val="24"/>
                <w:szCs w:val="24"/>
                <w:lang w:val="en-US" w:eastAsia="zh-CN"/>
              </w:rPr>
              <w:t>10000</w:t>
            </w:r>
            <w:r>
              <w:rPr>
                <w:rFonts w:hint="eastAsia" w:ascii="Times New Roman" w:hAnsi="Times New Roman" w:eastAsia="宋体" w:cs="Times New Roman"/>
                <w:snapToGrid w:val="0"/>
                <w:kern w:val="0"/>
                <w:sz w:val="24"/>
                <w:szCs w:val="24"/>
              </w:rPr>
              <w:t>t/d，</w:t>
            </w:r>
            <w:r>
              <w:rPr>
                <w:rFonts w:hint="eastAsia" w:ascii="Times New Roman" w:hAnsi="Times New Roman" w:eastAsia="宋体" w:cs="Times New Roman"/>
                <w:snapToGrid w:val="0"/>
                <w:kern w:val="0"/>
                <w:sz w:val="24"/>
                <w:szCs w:val="24"/>
                <w:lang w:eastAsia="zh-CN"/>
              </w:rPr>
              <w:t>余量应有</w:t>
            </w:r>
            <w:r>
              <w:rPr>
                <w:rFonts w:hint="eastAsia" w:ascii="Times New Roman" w:hAnsi="Times New Roman" w:eastAsia="宋体" w:cs="Times New Roman"/>
                <w:snapToGrid w:val="0"/>
                <w:kern w:val="0"/>
                <w:sz w:val="24"/>
                <w:szCs w:val="24"/>
                <w:lang w:val="en-US" w:eastAsia="zh-CN"/>
              </w:rPr>
              <w:t>2000t/d，</w:t>
            </w:r>
            <w:r>
              <w:rPr>
                <w:rFonts w:hint="eastAsia" w:ascii="Times New Roman" w:hAnsi="Times New Roman" w:eastAsia="宋体" w:cs="Times New Roman"/>
                <w:snapToGrid w:val="0"/>
                <w:kern w:val="0"/>
                <w:sz w:val="24"/>
                <w:szCs w:val="24"/>
                <w:lang w:eastAsia="zh-CN"/>
              </w:rPr>
              <w:t>有</w:t>
            </w:r>
            <w:r>
              <w:rPr>
                <w:rFonts w:hint="eastAsia" w:ascii="Times New Roman" w:hAnsi="Times New Roman" w:eastAsia="宋体" w:cs="Times New Roman"/>
                <w:snapToGrid w:val="0"/>
                <w:kern w:val="0"/>
                <w:sz w:val="24"/>
                <w:szCs w:val="24"/>
              </w:rPr>
              <w:t>本项目织造废水的产生量为</w:t>
            </w:r>
            <w:r>
              <w:rPr>
                <w:rFonts w:hint="eastAsia" w:ascii="Times New Roman" w:hAnsi="Times New Roman" w:eastAsia="宋体" w:cs="Times New Roman"/>
                <w:snapToGrid w:val="0"/>
                <w:kern w:val="0"/>
                <w:sz w:val="24"/>
                <w:szCs w:val="24"/>
                <w:lang w:val="en-US" w:eastAsia="zh-CN"/>
              </w:rPr>
              <w:t>207000</w:t>
            </w:r>
            <w:r>
              <w:rPr>
                <w:rFonts w:hint="eastAsia" w:ascii="Times New Roman" w:hAnsi="Times New Roman" w:eastAsia="宋体" w:cs="Times New Roman"/>
                <w:snapToGrid w:val="0"/>
                <w:kern w:val="0"/>
                <w:sz w:val="24"/>
                <w:szCs w:val="24"/>
              </w:rPr>
              <w:t>t/a，则每天产生生产废水</w:t>
            </w:r>
            <w:r>
              <w:rPr>
                <w:rFonts w:hint="eastAsia" w:ascii="Times New Roman" w:hAnsi="Times New Roman" w:eastAsia="宋体" w:cs="Times New Roman"/>
                <w:snapToGrid w:val="0"/>
                <w:kern w:val="0"/>
                <w:sz w:val="24"/>
                <w:szCs w:val="24"/>
                <w:lang w:val="en-US" w:eastAsia="zh-CN"/>
              </w:rPr>
              <w:t>690</w:t>
            </w:r>
            <w:r>
              <w:rPr>
                <w:rFonts w:hint="eastAsia" w:ascii="Times New Roman" w:hAnsi="Times New Roman" w:eastAsia="宋体" w:cs="Times New Roman"/>
                <w:snapToGrid w:val="0"/>
                <w:kern w:val="0"/>
                <w:sz w:val="24"/>
                <w:szCs w:val="24"/>
              </w:rPr>
              <w:t>t，</w:t>
            </w:r>
            <w:r>
              <w:rPr>
                <w:rFonts w:hint="eastAsia" w:ascii="Times New Roman" w:hAnsi="Times New Roman" w:eastAsia="宋体" w:cs="Times New Roman"/>
                <w:snapToGrid w:val="0"/>
                <w:kern w:val="0"/>
                <w:sz w:val="24"/>
                <w:szCs w:val="24"/>
                <w:lang w:eastAsia="zh-CN"/>
              </w:rPr>
              <w:t>占余量的</w:t>
            </w:r>
            <w:r>
              <w:rPr>
                <w:rFonts w:hint="eastAsia" w:ascii="Times New Roman" w:hAnsi="Times New Roman" w:eastAsia="宋体" w:cs="Times New Roman"/>
                <w:snapToGrid w:val="0"/>
                <w:kern w:val="0"/>
                <w:sz w:val="24"/>
                <w:szCs w:val="24"/>
                <w:lang w:val="en-US" w:eastAsia="zh-CN"/>
              </w:rPr>
              <w:t>34.5%，</w:t>
            </w:r>
            <w:r>
              <w:rPr>
                <w:rFonts w:hint="eastAsia" w:ascii="Times New Roman" w:hAnsi="Times New Roman" w:eastAsia="宋体" w:cs="Times New Roman"/>
                <w:snapToGrid w:val="0"/>
                <w:kern w:val="0"/>
                <w:sz w:val="24"/>
                <w:szCs w:val="24"/>
              </w:rPr>
              <w:t>虹星桥镇镇南中水回用站现有余量</w:t>
            </w:r>
            <w:r>
              <w:rPr>
                <w:rFonts w:hint="eastAsia" w:ascii="Times New Roman" w:hAnsi="Times New Roman" w:eastAsia="宋体" w:cs="Times New Roman"/>
                <w:snapToGrid w:val="0"/>
                <w:kern w:val="0"/>
                <w:sz w:val="24"/>
                <w:szCs w:val="24"/>
                <w:lang w:eastAsia="zh-CN"/>
              </w:rPr>
              <w:t>可满足</w:t>
            </w:r>
            <w:r>
              <w:rPr>
                <w:rFonts w:hint="eastAsia" w:ascii="Times New Roman" w:hAnsi="Times New Roman" w:eastAsia="宋体" w:cs="Times New Roman"/>
                <w:snapToGrid w:val="0"/>
                <w:kern w:val="0"/>
                <w:sz w:val="24"/>
                <w:szCs w:val="24"/>
              </w:rPr>
              <w:t>处理本项目纳管的生产废水，且本项目废水水质简单，不会对</w:t>
            </w:r>
            <w:r>
              <w:rPr>
                <w:rFonts w:hint="eastAsia" w:ascii="Times New Roman" w:hAnsi="Times New Roman" w:eastAsia="宋体" w:cs="Times New Roman"/>
                <w:snapToGrid w:val="0"/>
                <w:kern w:val="0"/>
                <w:sz w:val="24"/>
                <w:szCs w:val="24"/>
                <w:lang w:eastAsia="zh-CN"/>
              </w:rPr>
              <w:t>回用</w:t>
            </w:r>
            <w:r>
              <w:rPr>
                <w:rFonts w:hint="eastAsia" w:ascii="Times New Roman" w:hAnsi="Times New Roman" w:eastAsia="宋体" w:cs="Times New Roman"/>
                <w:snapToGrid w:val="0"/>
                <w:kern w:val="0"/>
                <w:sz w:val="24"/>
                <w:szCs w:val="24"/>
              </w:rPr>
              <w:t>处理设施造成水质和水量的冲击负荷。综上所述，本项目生产废水纳管至虹星桥镇镇南中水回用站可行。</w:t>
            </w:r>
          </w:p>
          <w:p>
            <w:pPr>
              <w:spacing w:line="500" w:lineRule="exact"/>
              <w:ind w:firstLine="480" w:firstLineChars="200"/>
              <w:textAlignment w:val="center"/>
              <w:rPr>
                <w:b/>
                <w:bCs/>
                <w:color w:val="auto"/>
                <w:sz w:val="24"/>
              </w:rPr>
            </w:pPr>
            <w:r>
              <w:rPr>
                <w:rFonts w:hint="eastAsia" w:ascii="Times New Roman" w:hAnsi="Times New Roman" w:eastAsia="宋体" w:cs="Times New Roman"/>
                <w:snapToGrid w:val="0"/>
                <w:kern w:val="0"/>
                <w:sz w:val="24"/>
                <w:szCs w:val="24"/>
                <w:lang w:eastAsia="zh-CN"/>
              </w:rPr>
              <w:t>根据</w:t>
            </w:r>
            <w:r>
              <w:rPr>
                <w:rFonts w:hint="eastAsia" w:ascii="Times New Roman" w:hAnsi="Times New Roman" w:eastAsia="宋体" w:cs="Times New Roman"/>
                <w:snapToGrid w:val="0"/>
                <w:kern w:val="0"/>
                <w:sz w:val="24"/>
                <w:szCs w:val="24"/>
              </w:rPr>
              <w:t>《长兴县纺织印染行业长效管理办法》中制定的回用水质要求达到COD</w:t>
            </w:r>
            <w:r>
              <w:rPr>
                <w:rFonts w:hint="eastAsia" w:ascii="Times New Roman" w:hAnsi="Times New Roman" w:eastAsia="宋体" w:cs="Times New Roman"/>
                <w:snapToGrid w:val="0"/>
                <w:kern w:val="0"/>
                <w:sz w:val="24"/>
                <w:szCs w:val="24"/>
                <w:vertAlign w:val="subscript"/>
              </w:rPr>
              <w:t>Cr</w:t>
            </w:r>
            <w:r>
              <w:rPr>
                <w:rFonts w:hint="eastAsia" w:ascii="Times New Roman" w:hAnsi="Times New Roman" w:eastAsia="宋体" w:cs="Times New Roman"/>
                <w:snapToGrid w:val="0"/>
                <w:kern w:val="0"/>
                <w:sz w:val="24"/>
                <w:szCs w:val="24"/>
              </w:rPr>
              <w:t>≤150mg/L、SS≤70mg/L。</w:t>
            </w:r>
            <w:r>
              <w:rPr>
                <w:rFonts w:hint="eastAsia" w:ascii="Times New Roman" w:hAnsi="Times New Roman" w:eastAsia="宋体" w:cs="Times New Roman"/>
                <w:snapToGrid w:val="0"/>
                <w:kern w:val="0"/>
                <w:sz w:val="24"/>
                <w:szCs w:val="24"/>
                <w:lang w:eastAsia="zh-CN"/>
              </w:rPr>
              <w:t>从</w:t>
            </w:r>
            <w:r>
              <w:rPr>
                <w:rFonts w:hint="eastAsia" w:ascii="Times New Roman" w:hAnsi="Times New Roman" w:eastAsia="宋体" w:cs="Times New Roman"/>
                <w:snapToGrid w:val="0"/>
                <w:kern w:val="0"/>
                <w:sz w:val="24"/>
                <w:szCs w:val="24"/>
              </w:rPr>
              <w:t>虹星桥镇镇南中水回用站设计进出水水质可知，再生水能达到回用标准，可以满足喷水织造用水要求。</w:t>
            </w:r>
            <w:r>
              <w:rPr>
                <w:rFonts w:hint="eastAsia" w:cs="Times New Roman"/>
                <w:snapToGrid w:val="0"/>
                <w:kern w:val="0"/>
                <w:sz w:val="24"/>
                <w:szCs w:val="24"/>
                <w:lang w:eastAsia="zh-CN"/>
              </w:rPr>
              <w:t>生产中</w:t>
            </w:r>
            <w:r>
              <w:rPr>
                <w:rFonts w:hint="eastAsia" w:ascii="Times New Roman" w:hAnsi="Times New Roman" w:eastAsia="宋体" w:cs="Times New Roman"/>
                <w:snapToGrid w:val="0"/>
                <w:kern w:val="0"/>
                <w:sz w:val="24"/>
                <w:szCs w:val="24"/>
              </w:rPr>
              <w:t>还需添加自来水</w:t>
            </w:r>
            <w:r>
              <w:rPr>
                <w:rFonts w:hint="eastAsia" w:cs="Times New Roman"/>
                <w:snapToGrid w:val="0"/>
                <w:kern w:val="0"/>
                <w:sz w:val="24"/>
                <w:szCs w:val="24"/>
                <w:lang w:eastAsia="zh-CN"/>
              </w:rPr>
              <w:t>作为补充</w:t>
            </w:r>
            <w:r>
              <w:rPr>
                <w:rFonts w:hint="eastAsia" w:ascii="Times New Roman" w:hAnsi="Times New Roman" w:eastAsia="宋体" w:cs="Times New Roman"/>
                <w:snapToGrid w:val="0"/>
                <w:kern w:val="0"/>
                <w:sz w:val="24"/>
                <w:szCs w:val="24"/>
              </w:rPr>
              <w:t>。故虹星桥镇</w:t>
            </w:r>
            <w:r>
              <w:rPr>
                <w:rFonts w:hint="eastAsia" w:ascii="Times New Roman" w:hAnsi="Times New Roman" w:eastAsia="宋体" w:cs="Times New Roman"/>
                <w:snapToGrid w:val="0"/>
                <w:kern w:val="0"/>
                <w:sz w:val="24"/>
                <w:szCs w:val="24"/>
                <w:lang w:eastAsia="zh-CN"/>
              </w:rPr>
              <w:t>北片</w:t>
            </w:r>
            <w:r>
              <w:rPr>
                <w:rFonts w:hint="eastAsia" w:ascii="Times New Roman" w:hAnsi="Times New Roman" w:eastAsia="宋体" w:cs="Times New Roman"/>
                <w:snapToGrid w:val="0"/>
                <w:kern w:val="0"/>
                <w:sz w:val="24"/>
                <w:szCs w:val="24"/>
              </w:rPr>
              <w:t>中水回用站提供的再生水能满足企业回用要求，再生水回用于生产可行。</w:t>
            </w:r>
          </w:p>
          <w:p>
            <w:pPr>
              <w:spacing w:line="500" w:lineRule="exact"/>
              <w:rPr>
                <w:rFonts w:ascii="Times New Roman" w:hAnsi="Times New Roman" w:eastAsia="宋体" w:cs="Times New Roman"/>
                <w:b/>
                <w:bCs/>
                <w:sz w:val="24"/>
                <w:szCs w:val="24"/>
              </w:rPr>
            </w:pPr>
            <w:r>
              <w:rPr>
                <w:rFonts w:hint="eastAsia" w:cs="Times New Roman"/>
                <w:b/>
                <w:kern w:val="0"/>
                <w:sz w:val="24"/>
                <w:szCs w:val="24"/>
                <w:lang w:val="en-US" w:eastAsia="zh-CN"/>
              </w:rPr>
              <w:t>4.3.3</w:t>
            </w:r>
            <w:r>
              <w:rPr>
                <w:rFonts w:hint="eastAsia" w:ascii="Times New Roman" w:hAnsi="Times New Roman" w:eastAsia="宋体" w:cs="Times New Roman"/>
                <w:b/>
                <w:kern w:val="0"/>
                <w:sz w:val="24"/>
                <w:szCs w:val="24"/>
              </w:rPr>
              <w:t>废水环境</w:t>
            </w:r>
            <w:r>
              <w:rPr>
                <w:rFonts w:ascii="Times New Roman" w:hAnsi="Times New Roman" w:eastAsia="宋体" w:cs="Times New Roman"/>
                <w:b/>
                <w:bCs/>
                <w:sz w:val="24"/>
                <w:szCs w:val="24"/>
              </w:rPr>
              <w:t>影响分析</w:t>
            </w:r>
          </w:p>
          <w:p>
            <w:pPr>
              <w:pStyle w:val="2"/>
              <w:keepNext/>
              <w:widowControl w:val="0"/>
              <w:spacing w:before="0" w:beforeAutospacing="0" w:after="0" w:afterAutospacing="0" w:line="500" w:lineRule="exact"/>
              <w:ind w:firstLine="480" w:firstLineChars="200"/>
              <w:jc w:val="both"/>
              <w:outlineLvl w:val="1"/>
              <w:rPr>
                <w:rFonts w:ascii="Times New Roman" w:hAnsi="Times New Roman" w:cs="Times New Roman"/>
                <w:b w:val="0"/>
                <w:bCs w:val="0"/>
                <w:sz w:val="24"/>
                <w:szCs w:val="22"/>
              </w:rPr>
            </w:pPr>
            <w:r>
              <w:rPr>
                <w:rFonts w:hint="eastAsia" w:ascii="Times New Roman" w:hAnsi="Times New Roman" w:cs="Times New Roman"/>
                <w:b w:val="0"/>
                <w:bCs w:val="0"/>
                <w:sz w:val="24"/>
                <w:szCs w:val="22"/>
              </w:rPr>
              <w:t>本项目产生的织造废水纳管至长兴虹溪污水处理有限公司虹星桥镇</w:t>
            </w:r>
            <w:r>
              <w:rPr>
                <w:rFonts w:hint="eastAsia" w:ascii="Times New Roman" w:hAnsi="Times New Roman" w:cs="Times New Roman"/>
                <w:b w:val="0"/>
                <w:bCs w:val="0"/>
                <w:sz w:val="24"/>
                <w:szCs w:val="22"/>
                <w:lang w:eastAsia="zh-CN"/>
              </w:rPr>
              <w:t>北片</w:t>
            </w:r>
            <w:r>
              <w:rPr>
                <w:rFonts w:hint="eastAsia" w:ascii="Times New Roman" w:hAnsi="Times New Roman" w:cs="Times New Roman"/>
                <w:b w:val="0"/>
                <w:bCs w:val="0"/>
                <w:sz w:val="24"/>
                <w:szCs w:val="22"/>
              </w:rPr>
              <w:t>中水回用站处理后100%回用于喷水织机用户，不对外排放。同时要求企业织造车间采用明沟明管收集，做好明沟、地面硬化、防渗措施，做好废水的导流和收集，建议设置围堰等措施。生活污水由化粪池预处理后</w:t>
            </w:r>
            <w:r>
              <w:rPr>
                <w:rFonts w:hint="eastAsia" w:ascii="Times New Roman" w:hAnsi="Times New Roman" w:cs="Times New Roman"/>
                <w:b w:val="0"/>
                <w:bCs w:val="0"/>
                <w:sz w:val="24"/>
                <w:szCs w:val="22"/>
                <w:lang w:eastAsia="zh-CN"/>
              </w:rPr>
              <w:t>纳入农村生活污水终端系统处理达标后排放</w:t>
            </w:r>
            <w:r>
              <w:rPr>
                <w:rFonts w:hint="eastAsia" w:ascii="Times New Roman" w:hAnsi="Times New Roman" w:cs="Times New Roman"/>
                <w:b w:val="0"/>
                <w:bCs w:val="0"/>
                <w:sz w:val="24"/>
                <w:szCs w:val="22"/>
              </w:rPr>
              <w:t>。</w:t>
            </w:r>
            <w:r>
              <w:rPr>
                <w:rFonts w:hint="eastAsia" w:ascii="Times New Roman" w:hAnsi="Times New Roman" w:cs="Times New Roman"/>
                <w:b w:val="0"/>
                <w:bCs w:val="0"/>
                <w:sz w:val="24"/>
                <w:szCs w:val="22"/>
                <w:lang w:eastAsia="zh-CN"/>
              </w:rPr>
              <w:t>综上所述</w:t>
            </w:r>
            <w:r>
              <w:rPr>
                <w:rFonts w:hint="eastAsia" w:ascii="Times New Roman" w:hAnsi="Times New Roman" w:cs="Times New Roman"/>
                <w:b w:val="0"/>
                <w:bCs w:val="0"/>
                <w:sz w:val="24"/>
                <w:szCs w:val="22"/>
              </w:rPr>
              <w:t>，本项目产生的废水对当地水环境</w:t>
            </w:r>
            <w:r>
              <w:rPr>
                <w:rFonts w:hint="eastAsia" w:ascii="Times New Roman" w:hAnsi="Times New Roman" w:cs="Times New Roman"/>
                <w:b w:val="0"/>
                <w:bCs w:val="0"/>
                <w:sz w:val="24"/>
                <w:szCs w:val="22"/>
                <w:lang w:eastAsia="zh-CN"/>
              </w:rPr>
              <w:t>影响较小</w:t>
            </w:r>
            <w:r>
              <w:rPr>
                <w:rFonts w:hint="eastAsia" w:ascii="Times New Roman" w:hAnsi="Times New Roman" w:cs="Times New Roman"/>
                <w:b w:val="0"/>
                <w:bCs w:val="0"/>
                <w:sz w:val="24"/>
                <w:szCs w:val="22"/>
              </w:rPr>
              <w:t>。</w:t>
            </w:r>
          </w:p>
          <w:p>
            <w:pPr>
              <w:adjustRightInd w:val="0"/>
              <w:snapToGrid w:val="0"/>
              <w:spacing w:line="500" w:lineRule="exact"/>
              <w:rPr>
                <w:b/>
                <w:bCs/>
                <w:sz w:val="24"/>
              </w:rPr>
            </w:pPr>
            <w:r>
              <w:rPr>
                <w:b/>
                <w:bCs/>
                <w:sz w:val="24"/>
              </w:rPr>
              <w:t>4.3.</w:t>
            </w:r>
            <w:r>
              <w:rPr>
                <w:rFonts w:hint="eastAsia"/>
                <w:b/>
                <w:bCs/>
                <w:sz w:val="24"/>
                <w:lang w:val="en-US" w:eastAsia="zh-CN"/>
              </w:rPr>
              <w:t>4</w:t>
            </w:r>
            <w:r>
              <w:rPr>
                <w:rFonts w:hAnsi="宋体"/>
                <w:b/>
                <w:bCs/>
                <w:sz w:val="24"/>
              </w:rPr>
              <w:t>废水防治工艺可行性及监测相关要求</w:t>
            </w:r>
          </w:p>
          <w:p>
            <w:pPr>
              <w:adjustRightInd w:val="0"/>
              <w:snapToGrid w:val="0"/>
              <w:spacing w:line="500" w:lineRule="exact"/>
              <w:ind w:firstLine="480" w:firstLineChars="200"/>
              <w:rPr>
                <w:sz w:val="24"/>
              </w:rPr>
            </w:pPr>
            <w:r>
              <w:rPr>
                <w:rFonts w:hAnsi="宋体"/>
                <w:sz w:val="24"/>
              </w:rPr>
              <w:t>根据《排污单位自行监测技术指南</w:t>
            </w:r>
            <w:r>
              <w:rPr>
                <w:sz w:val="24"/>
              </w:rPr>
              <w:t xml:space="preserve">  </w:t>
            </w:r>
            <w:r>
              <w:rPr>
                <w:rFonts w:hAnsi="宋体"/>
                <w:sz w:val="24"/>
              </w:rPr>
              <w:t>总则》（</w:t>
            </w:r>
            <w:r>
              <w:rPr>
                <w:sz w:val="24"/>
              </w:rPr>
              <w:t>HJ819-2017</w:t>
            </w:r>
            <w:r>
              <w:rPr>
                <w:rFonts w:hAnsi="宋体"/>
                <w:sz w:val="24"/>
              </w:rPr>
              <w:t>）、《排污许可证申请与核发技术规范</w:t>
            </w:r>
            <w:r>
              <w:rPr>
                <w:sz w:val="24"/>
              </w:rPr>
              <w:t xml:space="preserve"> </w:t>
            </w:r>
            <w:r>
              <w:rPr>
                <w:rFonts w:hAnsi="宋体"/>
                <w:sz w:val="24"/>
              </w:rPr>
              <w:t>纺织印染工业》（</w:t>
            </w:r>
            <w:r>
              <w:rPr>
                <w:sz w:val="24"/>
                <w:lang w:val="zh-CN"/>
              </w:rPr>
              <w:t xml:space="preserve">HJ </w:t>
            </w:r>
            <w:r>
              <w:rPr>
                <w:sz w:val="24"/>
              </w:rPr>
              <w:t>861</w:t>
            </w:r>
            <w:r>
              <w:rPr>
                <w:sz w:val="24"/>
                <w:lang w:val="zh-CN"/>
              </w:rPr>
              <w:t>-20</w:t>
            </w:r>
            <w:r>
              <w:rPr>
                <w:sz w:val="24"/>
              </w:rPr>
              <w:t>17</w:t>
            </w:r>
            <w:r>
              <w:rPr>
                <w:rFonts w:hAnsi="宋体"/>
                <w:sz w:val="24"/>
              </w:rPr>
              <w:t>）和《排污单位自行监测技术指南</w:t>
            </w:r>
            <w:r>
              <w:rPr>
                <w:sz w:val="24"/>
              </w:rPr>
              <w:t xml:space="preserve"> </w:t>
            </w:r>
            <w:r>
              <w:rPr>
                <w:rFonts w:hAnsi="宋体"/>
                <w:sz w:val="24"/>
              </w:rPr>
              <w:t>纺织印染工业》（</w:t>
            </w:r>
            <w:r>
              <w:rPr>
                <w:sz w:val="24"/>
              </w:rPr>
              <w:t>HJ 879-2017</w:t>
            </w:r>
            <w:r>
              <w:rPr>
                <w:rFonts w:hAnsi="宋体"/>
                <w:sz w:val="24"/>
              </w:rPr>
              <w:t>）要求，项目制定</w:t>
            </w:r>
            <w:r>
              <w:rPr>
                <w:rFonts w:hAnsi="宋体"/>
                <w:bCs/>
                <w:sz w:val="24"/>
              </w:rPr>
              <w:t>废水日常监测计划</w:t>
            </w:r>
            <w:r>
              <w:rPr>
                <w:rFonts w:hAnsi="宋体"/>
                <w:sz w:val="24"/>
              </w:rPr>
              <w:t>，详见表</w:t>
            </w:r>
            <w:r>
              <w:rPr>
                <w:sz w:val="24"/>
              </w:rPr>
              <w:t>4.3-10</w:t>
            </w:r>
            <w:r>
              <w:rPr>
                <w:rFonts w:hAnsi="宋体"/>
                <w:sz w:val="24"/>
              </w:rPr>
              <w:t>。</w:t>
            </w:r>
          </w:p>
          <w:p>
            <w:pPr>
              <w:adjustRightInd w:val="0"/>
              <w:snapToGrid w:val="0"/>
              <w:spacing w:line="460" w:lineRule="exact"/>
              <w:jc w:val="center"/>
              <w:rPr>
                <w:sz w:val="24"/>
              </w:rPr>
            </w:pPr>
            <w:r>
              <w:rPr>
                <w:rFonts w:hAnsi="宋体"/>
                <w:b/>
                <w:szCs w:val="21"/>
              </w:rPr>
              <w:t>表</w:t>
            </w:r>
            <w:r>
              <w:rPr>
                <w:b/>
                <w:szCs w:val="21"/>
              </w:rPr>
              <w:t>4.3-</w:t>
            </w:r>
            <w:r>
              <w:rPr>
                <w:rFonts w:hint="eastAsia"/>
                <w:b/>
                <w:szCs w:val="21"/>
                <w:lang w:val="en-US" w:eastAsia="zh-CN"/>
              </w:rPr>
              <w:t>6</w:t>
            </w:r>
            <w:r>
              <w:rPr>
                <w:b/>
                <w:szCs w:val="21"/>
              </w:rPr>
              <w:t xml:space="preserve"> </w:t>
            </w:r>
            <w:r>
              <w:rPr>
                <w:sz w:val="24"/>
              </w:rPr>
              <w:t xml:space="preserve"> </w:t>
            </w:r>
            <w:r>
              <w:rPr>
                <w:rFonts w:hAnsi="宋体"/>
                <w:b/>
                <w:bCs/>
                <w:spacing w:val="-4"/>
                <w:szCs w:val="21"/>
              </w:rPr>
              <w:t>项目废水监测要求</w:t>
            </w:r>
          </w:p>
          <w:tbl>
            <w:tblPr>
              <w:tblStyle w:val="4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405"/>
              <w:gridCol w:w="2715"/>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序号</w:t>
                  </w:r>
                </w:p>
              </w:tc>
              <w:tc>
                <w:tcPr>
                  <w:tcW w:w="2405"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监测点位</w:t>
                  </w:r>
                </w:p>
              </w:tc>
              <w:tc>
                <w:tcPr>
                  <w:tcW w:w="2715"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监测因子</w:t>
                  </w:r>
                </w:p>
              </w:tc>
              <w:tc>
                <w:tcPr>
                  <w:tcW w:w="2400"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1</w:t>
                  </w:r>
                </w:p>
              </w:tc>
              <w:tc>
                <w:tcPr>
                  <w:tcW w:w="2405"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织造废水阳光排污口DW00</w:t>
                  </w:r>
                  <w:r>
                    <w:rPr>
                      <w:rFonts w:hint="eastAsia" w:ascii="Times New Roman" w:hAnsi="Times New Roman" w:eastAsia="宋体" w:cs="Times New Roman"/>
                      <w:bCs/>
                      <w:kern w:val="0"/>
                      <w:szCs w:val="21"/>
                    </w:rPr>
                    <w:t>2</w:t>
                  </w:r>
                </w:p>
              </w:tc>
              <w:tc>
                <w:tcPr>
                  <w:tcW w:w="2715"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流量、</w:t>
                  </w:r>
                  <w:r>
                    <w:rPr>
                      <w:rFonts w:ascii="Times New Roman" w:hAnsi="Times New Roman" w:eastAsia="宋体" w:cs="Times New Roman"/>
                      <w:szCs w:val="21"/>
                    </w:rPr>
                    <w:t>pH值</w:t>
                  </w:r>
                  <w:r>
                    <w:rPr>
                      <w:rFonts w:hint="eastAsia" w:ascii="Times New Roman" w:hAnsi="Times New Roman" w:eastAsia="宋体" w:cs="Times New Roman"/>
                      <w:bCs/>
                      <w:kern w:val="0"/>
                      <w:szCs w:val="21"/>
                    </w:rPr>
                    <w:t>、</w:t>
                  </w:r>
                  <w:r>
                    <w:rPr>
                      <w:rFonts w:ascii="Times New Roman" w:hAnsi="Times New Roman" w:eastAsia="宋体" w:cs="Times New Roman"/>
                      <w:szCs w:val="21"/>
                    </w:rPr>
                    <w:t>COD</w:t>
                  </w:r>
                  <w:r>
                    <w:rPr>
                      <w:rFonts w:ascii="Times New Roman" w:hAnsi="Times New Roman" w:eastAsia="宋体" w:cs="Times New Roman"/>
                      <w:sz w:val="14"/>
                      <w:szCs w:val="14"/>
                    </w:rPr>
                    <w:t>Cr</w:t>
                  </w:r>
                  <w:r>
                    <w:rPr>
                      <w:rFonts w:ascii="Times New Roman" w:hAnsi="Times New Roman" w:eastAsia="宋体" w:cs="Times New Roman"/>
                      <w:szCs w:val="21"/>
                    </w:rPr>
                    <w:t>、</w:t>
                  </w:r>
                </w:p>
                <w:p>
                  <w:pPr>
                    <w:jc w:val="center"/>
                    <w:rPr>
                      <w:rFonts w:ascii="Times New Roman" w:hAnsi="Times New Roman" w:eastAsia="宋体" w:cs="Times New Roman"/>
                      <w:bCs/>
                      <w:kern w:val="0"/>
                      <w:szCs w:val="21"/>
                      <w:highlight w:val="yellow"/>
                    </w:rPr>
                  </w:pPr>
                  <w:r>
                    <w:rPr>
                      <w:rFonts w:ascii="Times New Roman" w:hAnsi="Times New Roman" w:eastAsia="宋体" w:cs="Times New Roman"/>
                      <w:szCs w:val="21"/>
                    </w:rPr>
                    <w:t>SS、石油类</w:t>
                  </w:r>
                </w:p>
              </w:tc>
              <w:tc>
                <w:tcPr>
                  <w:tcW w:w="2400" w:type="dxa"/>
                  <w:vAlign w:val="center"/>
                </w:tcPr>
                <w:p>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2</w:t>
                  </w:r>
                </w:p>
              </w:tc>
              <w:tc>
                <w:tcPr>
                  <w:tcW w:w="2405"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雨水排放口</w:t>
                  </w:r>
                </w:p>
              </w:tc>
              <w:tc>
                <w:tcPr>
                  <w:tcW w:w="2715"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COD</w:t>
                  </w:r>
                  <w:r>
                    <w:rPr>
                      <w:rFonts w:ascii="Times New Roman" w:hAnsi="Times New Roman" w:eastAsia="宋体" w:cs="Times New Roman"/>
                      <w:bCs/>
                      <w:kern w:val="0"/>
                      <w:szCs w:val="21"/>
                      <w:vertAlign w:val="subscript"/>
                    </w:rPr>
                    <w:t>Cr</w:t>
                  </w:r>
                  <w:r>
                    <w:rPr>
                      <w:rFonts w:ascii="Times New Roman" w:hAnsi="Times New Roman" w:eastAsia="宋体" w:cs="Times New Roman"/>
                      <w:bCs/>
                      <w:kern w:val="0"/>
                      <w:szCs w:val="21"/>
                    </w:rPr>
                    <w:t>、SS</w:t>
                  </w:r>
                </w:p>
              </w:tc>
              <w:tc>
                <w:tcPr>
                  <w:tcW w:w="2400" w:type="dxa"/>
                  <w:vAlign w:val="center"/>
                </w:tcPr>
                <w:p>
                  <w:pPr>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1次/日（下雨时监测）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vAlign w:val="center"/>
                </w:tcPr>
                <w:p>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3</w:t>
                  </w:r>
                </w:p>
              </w:tc>
              <w:tc>
                <w:tcPr>
                  <w:tcW w:w="2405" w:type="dxa"/>
                  <w:vAlign w:val="center"/>
                </w:tcPr>
                <w:p>
                  <w:pPr>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生活污水排放口DW001</w:t>
                  </w:r>
                </w:p>
              </w:tc>
              <w:tc>
                <w:tcPr>
                  <w:tcW w:w="5115" w:type="dxa"/>
                  <w:gridSpan w:val="2"/>
                  <w:vAlign w:val="center"/>
                </w:tcPr>
                <w:p>
                  <w:pPr>
                    <w:jc w:val="center"/>
                    <w:rPr>
                      <w:rFonts w:hint="eastAsia" w:ascii="Times New Roman" w:hAnsi="Times New Roman" w:eastAsia="宋体" w:cs="Times New Roman"/>
                      <w:bCs/>
                      <w:spacing w:val="-6"/>
                      <w:kern w:val="0"/>
                      <w:sz w:val="21"/>
                      <w:szCs w:val="21"/>
                      <w:lang w:eastAsia="zh-CN"/>
                    </w:rPr>
                  </w:pPr>
                  <w:r>
                    <w:rPr>
                      <w:rFonts w:hint="eastAsia" w:ascii="Times New Roman" w:hAnsi="Times New Roman" w:eastAsia="宋体" w:cs="Times New Roman"/>
                      <w:bCs/>
                      <w:spacing w:val="-6"/>
                      <w:kern w:val="0"/>
                      <w:sz w:val="21"/>
                      <w:szCs w:val="21"/>
                    </w:rPr>
                    <w:t>单独排入城镇集中污水处理设施的生活污水无需开展自行监测</w:t>
                  </w:r>
                  <w:r>
                    <w:rPr>
                      <w:rFonts w:hint="eastAsia" w:ascii="Times New Roman" w:hAnsi="Times New Roman" w:eastAsia="宋体" w:cs="Times New Roman"/>
                      <w:bCs/>
                      <w:spacing w:val="-6"/>
                      <w:kern w:val="0"/>
                      <w:sz w:val="21"/>
                      <w:szCs w:val="21"/>
                      <w:lang w:eastAsia="zh-CN"/>
                    </w:rPr>
                    <w:t>。</w:t>
                  </w:r>
                </w:p>
              </w:tc>
            </w:tr>
          </w:tbl>
          <w:p>
            <w:pPr>
              <w:adjustRightInd w:val="0"/>
              <w:snapToGrid w:val="0"/>
              <w:spacing w:line="500" w:lineRule="exact"/>
              <w:ind w:firstLine="480" w:firstLineChars="200"/>
              <w:rPr>
                <w:sz w:val="24"/>
              </w:rPr>
            </w:pPr>
            <w:r>
              <w:rPr>
                <w:rFonts w:hAnsi="宋体"/>
                <w:bCs/>
                <w:sz w:val="24"/>
              </w:rPr>
              <w:t>根据《建设项目环境保护管理条例》（国务院第</w:t>
            </w:r>
            <w:r>
              <w:rPr>
                <w:bCs/>
                <w:sz w:val="24"/>
              </w:rPr>
              <w:t>682</w:t>
            </w:r>
            <w:r>
              <w:rPr>
                <w:rFonts w:hAnsi="宋体"/>
                <w:bCs/>
                <w:sz w:val="24"/>
              </w:rPr>
              <w:t>号令），企业自行验收，项目制定废水竣工验收监测计划。</w:t>
            </w:r>
            <w:r>
              <w:rPr>
                <w:rFonts w:hAnsi="宋体"/>
                <w:sz w:val="24"/>
              </w:rPr>
              <w:t>详见表</w:t>
            </w:r>
            <w:r>
              <w:rPr>
                <w:sz w:val="24"/>
              </w:rPr>
              <w:t>4.3-11</w:t>
            </w:r>
            <w:r>
              <w:rPr>
                <w:rFonts w:hAnsi="宋体"/>
                <w:sz w:val="24"/>
              </w:rPr>
              <w:t>。</w:t>
            </w:r>
          </w:p>
          <w:p>
            <w:pPr>
              <w:adjustRightInd w:val="0"/>
              <w:snapToGrid w:val="0"/>
              <w:spacing w:line="460" w:lineRule="exact"/>
              <w:jc w:val="center"/>
              <w:rPr>
                <w:szCs w:val="21"/>
              </w:rPr>
            </w:pPr>
            <w:r>
              <w:rPr>
                <w:rFonts w:hAnsi="宋体"/>
                <w:b/>
                <w:szCs w:val="21"/>
              </w:rPr>
              <w:t>表</w:t>
            </w:r>
            <w:r>
              <w:rPr>
                <w:b/>
                <w:szCs w:val="21"/>
              </w:rPr>
              <w:t>4.3-</w:t>
            </w:r>
            <w:r>
              <w:rPr>
                <w:rFonts w:hint="eastAsia"/>
                <w:b/>
                <w:szCs w:val="21"/>
                <w:lang w:val="en-US" w:eastAsia="zh-CN"/>
              </w:rPr>
              <w:t>7</w:t>
            </w:r>
            <w:r>
              <w:rPr>
                <w:b/>
                <w:szCs w:val="21"/>
              </w:rPr>
              <w:t xml:space="preserve">  </w:t>
            </w:r>
            <w:r>
              <w:rPr>
                <w:rFonts w:hAnsi="宋体"/>
                <w:b/>
                <w:bCs/>
                <w:spacing w:val="-4"/>
                <w:szCs w:val="21"/>
              </w:rPr>
              <w:t>项目废水监测要求</w:t>
            </w:r>
          </w:p>
          <w:tbl>
            <w:tblPr>
              <w:tblStyle w:val="40"/>
              <w:tblW w:w="83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85"/>
              <w:gridCol w:w="1773"/>
              <w:gridCol w:w="2250"/>
              <w:gridCol w:w="1497"/>
              <w:gridCol w:w="11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85"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项目</w:t>
                  </w:r>
                </w:p>
              </w:tc>
              <w:tc>
                <w:tcPr>
                  <w:tcW w:w="1773"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监测点位</w:t>
                  </w:r>
                </w:p>
              </w:tc>
              <w:tc>
                <w:tcPr>
                  <w:tcW w:w="2250"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监测指标</w:t>
                  </w:r>
                </w:p>
              </w:tc>
              <w:tc>
                <w:tcPr>
                  <w:tcW w:w="1497"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监测频率</w:t>
                  </w:r>
                </w:p>
              </w:tc>
              <w:tc>
                <w:tcPr>
                  <w:tcW w:w="1171"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jc w:val="center"/>
                    <w:rPr>
                      <w:bCs/>
                      <w:spacing w:val="-2"/>
                      <w:szCs w:val="21"/>
                    </w:rPr>
                  </w:pPr>
                  <w:r>
                    <w:rPr>
                      <w:rFonts w:hAnsi="宋体"/>
                      <w:spacing w:val="-2"/>
                      <w:szCs w:val="21"/>
                    </w:rPr>
                    <w:t>废水总排放口</w:t>
                  </w:r>
                </w:p>
              </w:tc>
              <w:tc>
                <w:tcPr>
                  <w:tcW w:w="1773"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jc w:val="center"/>
                    <w:rPr>
                      <w:bCs/>
                      <w:szCs w:val="21"/>
                    </w:rPr>
                  </w:pPr>
                  <w:r>
                    <w:rPr>
                      <w:rFonts w:hAnsi="宋体"/>
                      <w:szCs w:val="21"/>
                    </w:rPr>
                    <w:t>生活污水排放口</w:t>
                  </w:r>
                </w:p>
              </w:tc>
              <w:tc>
                <w:tcPr>
                  <w:tcW w:w="2250"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bCs/>
                      <w:sz w:val="21"/>
                      <w:szCs w:val="21"/>
                    </w:rPr>
                    <w:t>pH</w:t>
                  </w:r>
                  <w:r>
                    <w:rPr>
                      <w:rFonts w:hAnsi="宋体"/>
                      <w:bCs/>
                      <w:sz w:val="21"/>
                      <w:szCs w:val="21"/>
                    </w:rPr>
                    <w:t>、</w:t>
                  </w:r>
                  <w:r>
                    <w:rPr>
                      <w:bCs/>
                      <w:sz w:val="21"/>
                      <w:szCs w:val="21"/>
                    </w:rPr>
                    <w:t>COD</w:t>
                  </w:r>
                  <w:r>
                    <w:rPr>
                      <w:bCs/>
                      <w:sz w:val="21"/>
                      <w:szCs w:val="21"/>
                      <w:vertAlign w:val="subscript"/>
                    </w:rPr>
                    <w:t>Cr</w:t>
                  </w:r>
                  <w:r>
                    <w:rPr>
                      <w:rFonts w:hAnsi="宋体"/>
                      <w:sz w:val="21"/>
                      <w:szCs w:val="21"/>
                    </w:rPr>
                    <w:t>、</w:t>
                  </w:r>
                  <w:r>
                    <w:rPr>
                      <w:sz w:val="21"/>
                      <w:szCs w:val="21"/>
                    </w:rPr>
                    <w:t>NH</w:t>
                  </w:r>
                  <w:r>
                    <w:rPr>
                      <w:sz w:val="21"/>
                      <w:szCs w:val="21"/>
                      <w:vertAlign w:val="subscript"/>
                    </w:rPr>
                    <w:t>3</w:t>
                  </w:r>
                  <w:r>
                    <w:rPr>
                      <w:sz w:val="21"/>
                      <w:szCs w:val="21"/>
                    </w:rPr>
                    <w:t>-N</w:t>
                  </w:r>
                  <w:r>
                    <w:rPr>
                      <w:rFonts w:hAnsi="宋体"/>
                      <w:sz w:val="21"/>
                      <w:szCs w:val="21"/>
                    </w:rPr>
                    <w:t>、</w:t>
                  </w:r>
                  <w:r>
                    <w:rPr>
                      <w:sz w:val="21"/>
                      <w:szCs w:val="21"/>
                    </w:rPr>
                    <w:t>SS</w:t>
                  </w:r>
                  <w:r>
                    <w:rPr>
                      <w:rFonts w:hAnsi="宋体"/>
                      <w:sz w:val="21"/>
                      <w:szCs w:val="21"/>
                    </w:rPr>
                    <w:t>、石油类</w:t>
                  </w:r>
                </w:p>
              </w:tc>
              <w:tc>
                <w:tcPr>
                  <w:tcW w:w="14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jc w:val="center"/>
                    <w:rPr>
                      <w:bCs/>
                      <w:szCs w:val="21"/>
                    </w:rPr>
                  </w:pPr>
                  <w:r>
                    <w:rPr>
                      <w:rFonts w:hAnsi="宋体"/>
                      <w:bCs/>
                      <w:szCs w:val="21"/>
                    </w:rPr>
                    <w:t>监测</w:t>
                  </w:r>
                  <w:r>
                    <w:rPr>
                      <w:bCs/>
                      <w:szCs w:val="21"/>
                    </w:rPr>
                    <w:t>2</w:t>
                  </w:r>
                  <w:r>
                    <w:rPr>
                      <w:rFonts w:hAnsi="宋体"/>
                      <w:bCs/>
                      <w:szCs w:val="21"/>
                    </w:rPr>
                    <w:t>天，每天监测</w:t>
                  </w:r>
                  <w:r>
                    <w:rPr>
                      <w:bCs/>
                      <w:szCs w:val="21"/>
                    </w:rPr>
                    <w:t>4</w:t>
                  </w:r>
                  <w:r>
                    <w:rPr>
                      <w:rFonts w:hAnsi="宋体"/>
                      <w:bCs/>
                      <w:szCs w:val="21"/>
                    </w:rPr>
                    <w:t>次</w:t>
                  </w:r>
                </w:p>
              </w:tc>
              <w:tc>
                <w:tcPr>
                  <w:tcW w:w="1171" w:type="dxa"/>
                  <w:vMerge w:val="restart"/>
                  <w:tcBorders>
                    <w:top w:val="single" w:color="auto" w:sz="4" w:space="0"/>
                    <w:left w:val="single" w:color="auto" w:sz="4" w:space="0"/>
                    <w:right w:val="single" w:color="auto" w:sz="4" w:space="0"/>
                  </w:tcBorders>
                  <w:noWrap/>
                  <w:vAlign w:val="center"/>
                </w:tcPr>
                <w:p>
                  <w:pPr>
                    <w:autoSpaceDE w:val="0"/>
                    <w:autoSpaceDN w:val="0"/>
                    <w:adjustRightInd w:val="0"/>
                    <w:snapToGrid w:val="0"/>
                    <w:contextualSpacing/>
                    <w:jc w:val="center"/>
                    <w:rPr>
                      <w:bCs/>
                      <w:szCs w:val="21"/>
                    </w:rPr>
                  </w:pPr>
                  <w:r>
                    <w:rPr>
                      <w:rFonts w:hAnsi="宋体"/>
                      <w:bCs/>
                      <w:szCs w:val="21"/>
                    </w:rPr>
                    <w:t>竣工验收监测计划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jc w:val="center"/>
                    <w:rPr>
                      <w:rFonts w:hint="eastAsia" w:hAnsi="宋体" w:eastAsia="宋体"/>
                      <w:spacing w:val="-2"/>
                      <w:szCs w:val="21"/>
                      <w:lang w:eastAsia="zh-CN"/>
                    </w:rPr>
                  </w:pPr>
                  <w:r>
                    <w:rPr>
                      <w:rFonts w:hint="eastAsia" w:hAnsi="宋体"/>
                      <w:spacing w:val="-2"/>
                      <w:szCs w:val="21"/>
                      <w:lang w:eastAsia="zh-CN"/>
                    </w:rPr>
                    <w:t>生产废水纳管口</w:t>
                  </w:r>
                </w:p>
              </w:tc>
              <w:tc>
                <w:tcPr>
                  <w:tcW w:w="1773"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jc w:val="center"/>
                    <w:rPr>
                      <w:rFonts w:hint="eastAsia" w:hAnsi="宋体" w:eastAsia="宋体"/>
                      <w:szCs w:val="21"/>
                      <w:lang w:eastAsia="zh-CN"/>
                    </w:rPr>
                  </w:pPr>
                  <w:r>
                    <w:rPr>
                      <w:rFonts w:hint="eastAsia" w:hAnsi="宋体"/>
                      <w:szCs w:val="21"/>
                      <w:lang w:eastAsia="zh-CN"/>
                    </w:rPr>
                    <w:t>织造废水纳管口</w:t>
                  </w:r>
                </w:p>
              </w:tc>
              <w:tc>
                <w:tcPr>
                  <w:tcW w:w="2250"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bCs/>
                      <w:sz w:val="21"/>
                      <w:szCs w:val="21"/>
                    </w:rPr>
                  </w:pPr>
                  <w:r>
                    <w:rPr>
                      <w:bCs/>
                      <w:sz w:val="21"/>
                      <w:szCs w:val="21"/>
                    </w:rPr>
                    <w:t>pH</w:t>
                  </w:r>
                  <w:r>
                    <w:rPr>
                      <w:rFonts w:hAnsi="宋体"/>
                      <w:bCs/>
                      <w:sz w:val="21"/>
                      <w:szCs w:val="21"/>
                    </w:rPr>
                    <w:t>、</w:t>
                  </w:r>
                  <w:r>
                    <w:rPr>
                      <w:bCs/>
                      <w:sz w:val="21"/>
                      <w:szCs w:val="21"/>
                    </w:rPr>
                    <w:t>COD</w:t>
                  </w:r>
                  <w:r>
                    <w:rPr>
                      <w:bCs/>
                      <w:sz w:val="21"/>
                      <w:szCs w:val="21"/>
                      <w:vertAlign w:val="subscript"/>
                    </w:rPr>
                    <w:t>Cr</w:t>
                  </w:r>
                  <w:r>
                    <w:rPr>
                      <w:rFonts w:hAnsi="宋体"/>
                      <w:sz w:val="21"/>
                      <w:szCs w:val="21"/>
                    </w:rPr>
                    <w:t>、</w:t>
                  </w:r>
                  <w:r>
                    <w:rPr>
                      <w:sz w:val="21"/>
                      <w:szCs w:val="21"/>
                    </w:rPr>
                    <w:t>SS</w:t>
                  </w:r>
                  <w:r>
                    <w:rPr>
                      <w:rFonts w:hAnsi="宋体"/>
                      <w:sz w:val="21"/>
                      <w:szCs w:val="21"/>
                    </w:rPr>
                    <w:t>、石油类</w:t>
                  </w:r>
                </w:p>
              </w:tc>
              <w:tc>
                <w:tcPr>
                  <w:tcW w:w="14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jc w:val="center"/>
                    <w:rPr>
                      <w:rFonts w:hAnsi="宋体"/>
                      <w:bCs/>
                      <w:szCs w:val="21"/>
                    </w:rPr>
                  </w:pPr>
                  <w:r>
                    <w:rPr>
                      <w:rFonts w:hAnsi="宋体"/>
                      <w:bCs/>
                      <w:szCs w:val="21"/>
                    </w:rPr>
                    <w:t>监测</w:t>
                  </w:r>
                  <w:r>
                    <w:rPr>
                      <w:bCs/>
                      <w:szCs w:val="21"/>
                    </w:rPr>
                    <w:t>2</w:t>
                  </w:r>
                  <w:r>
                    <w:rPr>
                      <w:rFonts w:hAnsi="宋体"/>
                      <w:bCs/>
                      <w:szCs w:val="21"/>
                    </w:rPr>
                    <w:t>天，每天监测</w:t>
                  </w:r>
                  <w:r>
                    <w:rPr>
                      <w:bCs/>
                      <w:szCs w:val="21"/>
                    </w:rPr>
                    <w:t>4</w:t>
                  </w:r>
                  <w:r>
                    <w:rPr>
                      <w:rFonts w:hAnsi="宋体"/>
                      <w:bCs/>
                      <w:szCs w:val="21"/>
                    </w:rPr>
                    <w:t>次</w:t>
                  </w:r>
                </w:p>
              </w:tc>
              <w:tc>
                <w:tcPr>
                  <w:tcW w:w="1171" w:type="dxa"/>
                  <w:vMerge w:val="continue"/>
                  <w:tcBorders>
                    <w:left w:val="single" w:color="auto" w:sz="4" w:space="0"/>
                    <w:right w:val="single" w:color="auto" w:sz="4" w:space="0"/>
                  </w:tcBorders>
                  <w:noWrap/>
                  <w:vAlign w:val="center"/>
                </w:tcPr>
                <w:p>
                  <w:pPr>
                    <w:autoSpaceDE w:val="0"/>
                    <w:autoSpaceDN w:val="0"/>
                    <w:adjustRightInd w:val="0"/>
                    <w:snapToGrid w:val="0"/>
                    <w:contextualSpacing/>
                    <w:jc w:val="center"/>
                    <w:rPr>
                      <w:rFonts w:hAnsi="宋体"/>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685" w:type="dxa"/>
                  <w:tcBorders>
                    <w:top w:val="single" w:color="auto" w:sz="4" w:space="0"/>
                    <w:left w:val="single" w:color="auto" w:sz="4" w:space="0"/>
                    <w:right w:val="single" w:color="auto" w:sz="4" w:space="0"/>
                  </w:tcBorders>
                  <w:noWrap/>
                  <w:vAlign w:val="center"/>
                </w:tcPr>
                <w:p>
                  <w:pPr>
                    <w:pStyle w:val="117"/>
                    <w:adjustRightInd w:val="0"/>
                    <w:rPr>
                      <w:sz w:val="21"/>
                      <w:szCs w:val="21"/>
                    </w:rPr>
                  </w:pPr>
                  <w:r>
                    <w:rPr>
                      <w:rFonts w:hAnsi="宋体"/>
                      <w:sz w:val="21"/>
                      <w:szCs w:val="21"/>
                    </w:rPr>
                    <w:t>雨水排放口</w:t>
                  </w:r>
                </w:p>
              </w:tc>
              <w:tc>
                <w:tcPr>
                  <w:tcW w:w="1773"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bCs/>
                      <w:spacing w:val="0"/>
                      <w:sz w:val="21"/>
                      <w:szCs w:val="21"/>
                    </w:rPr>
                  </w:pPr>
                  <w:r>
                    <w:rPr>
                      <w:rFonts w:hAnsi="宋体"/>
                      <w:sz w:val="21"/>
                      <w:szCs w:val="21"/>
                    </w:rPr>
                    <w:t>雨水排放口</w:t>
                  </w:r>
                </w:p>
              </w:tc>
              <w:tc>
                <w:tcPr>
                  <w:tcW w:w="2250"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bCs/>
                      <w:spacing w:val="0"/>
                      <w:sz w:val="21"/>
                      <w:szCs w:val="21"/>
                    </w:rPr>
                  </w:pPr>
                  <w:r>
                    <w:rPr>
                      <w:bCs/>
                      <w:sz w:val="21"/>
                      <w:szCs w:val="21"/>
                    </w:rPr>
                    <w:t>pH</w:t>
                  </w:r>
                  <w:r>
                    <w:rPr>
                      <w:rFonts w:hAnsi="宋体"/>
                      <w:bCs/>
                      <w:sz w:val="21"/>
                      <w:szCs w:val="21"/>
                    </w:rPr>
                    <w:t>、</w:t>
                  </w:r>
                  <w:r>
                    <w:rPr>
                      <w:bCs/>
                      <w:sz w:val="21"/>
                      <w:szCs w:val="21"/>
                    </w:rPr>
                    <w:t>COD</w:t>
                  </w:r>
                  <w:r>
                    <w:rPr>
                      <w:bCs/>
                      <w:sz w:val="21"/>
                      <w:szCs w:val="21"/>
                      <w:vertAlign w:val="subscript"/>
                    </w:rPr>
                    <w:t>Cr</w:t>
                  </w:r>
                  <w:r>
                    <w:rPr>
                      <w:rFonts w:hAnsi="宋体"/>
                      <w:sz w:val="21"/>
                      <w:szCs w:val="21"/>
                    </w:rPr>
                    <w:t>、</w:t>
                  </w:r>
                  <w:r>
                    <w:rPr>
                      <w:sz w:val="21"/>
                      <w:szCs w:val="21"/>
                    </w:rPr>
                    <w:t>NH</w:t>
                  </w:r>
                  <w:r>
                    <w:rPr>
                      <w:sz w:val="21"/>
                      <w:szCs w:val="21"/>
                      <w:vertAlign w:val="subscript"/>
                    </w:rPr>
                    <w:t>3</w:t>
                  </w:r>
                  <w:r>
                    <w:rPr>
                      <w:sz w:val="21"/>
                      <w:szCs w:val="21"/>
                    </w:rPr>
                    <w:t>-N</w:t>
                  </w:r>
                  <w:r>
                    <w:rPr>
                      <w:rStyle w:val="48"/>
                      <w:rFonts w:hAnsi="宋体"/>
                      <w:spacing w:val="0"/>
                    </w:rPr>
                    <w:t>、石油类</w:t>
                  </w:r>
                </w:p>
              </w:tc>
              <w:tc>
                <w:tcPr>
                  <w:tcW w:w="149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21"/>
                    </w:rPr>
                  </w:pPr>
                  <w:r>
                    <w:rPr>
                      <w:rFonts w:hAnsi="宋体"/>
                      <w:szCs w:val="21"/>
                    </w:rPr>
                    <w:t>监测</w:t>
                  </w:r>
                  <w:r>
                    <w:rPr>
                      <w:szCs w:val="21"/>
                    </w:rPr>
                    <w:t>2</w:t>
                  </w:r>
                  <w:r>
                    <w:rPr>
                      <w:rFonts w:hAnsi="宋体"/>
                      <w:szCs w:val="21"/>
                    </w:rPr>
                    <w:t>天，每天监测</w:t>
                  </w:r>
                  <w:r>
                    <w:rPr>
                      <w:szCs w:val="21"/>
                    </w:rPr>
                    <w:t>4</w:t>
                  </w:r>
                  <w:r>
                    <w:rPr>
                      <w:rFonts w:hAnsi="宋体"/>
                      <w:szCs w:val="21"/>
                    </w:rPr>
                    <w:t>次</w:t>
                  </w:r>
                </w:p>
              </w:tc>
              <w:tc>
                <w:tcPr>
                  <w:tcW w:w="1171" w:type="dxa"/>
                  <w:vMerge w:val="continue"/>
                  <w:tcBorders>
                    <w:left w:val="single" w:color="auto" w:sz="4" w:space="0"/>
                    <w:bottom w:val="single" w:color="auto" w:sz="4" w:space="0"/>
                    <w:right w:val="single" w:color="auto" w:sz="4" w:space="0"/>
                  </w:tcBorders>
                  <w:noWrap/>
                  <w:vAlign w:val="center"/>
                </w:tcPr>
                <w:p>
                  <w:pPr>
                    <w:autoSpaceDE w:val="0"/>
                    <w:autoSpaceDN w:val="0"/>
                    <w:adjustRightInd w:val="0"/>
                    <w:snapToGrid w:val="0"/>
                    <w:contextualSpacing/>
                    <w:jc w:val="center"/>
                    <w:rPr>
                      <w:bCs/>
                      <w:szCs w:val="21"/>
                    </w:rPr>
                  </w:pPr>
                </w:p>
              </w:tc>
            </w:tr>
          </w:tbl>
          <w:p>
            <w:pPr>
              <w:adjustRightInd w:val="0"/>
              <w:snapToGrid w:val="0"/>
              <w:spacing w:line="500" w:lineRule="exact"/>
              <w:rPr>
                <w:b/>
                <w:bCs/>
                <w:sz w:val="24"/>
              </w:rPr>
            </w:pPr>
            <w:r>
              <w:rPr>
                <w:b/>
                <w:bCs/>
                <w:sz w:val="24"/>
              </w:rPr>
              <w:t>4.4</w:t>
            </w:r>
            <w:r>
              <w:rPr>
                <w:rFonts w:hAnsi="宋体"/>
                <w:b/>
                <w:bCs/>
                <w:sz w:val="24"/>
              </w:rPr>
              <w:t>噪声</w:t>
            </w:r>
          </w:p>
          <w:p>
            <w:pPr>
              <w:adjustRightInd w:val="0"/>
              <w:snapToGrid w:val="0"/>
              <w:spacing w:line="500" w:lineRule="exact"/>
              <w:rPr>
                <w:sz w:val="24"/>
              </w:rPr>
            </w:pPr>
            <w:r>
              <w:rPr>
                <w:b/>
                <w:bCs/>
                <w:sz w:val="24"/>
              </w:rPr>
              <w:t>4.4.1</w:t>
            </w:r>
            <w:r>
              <w:rPr>
                <w:rFonts w:hAnsi="宋体"/>
                <w:b/>
                <w:bCs/>
                <w:sz w:val="24"/>
              </w:rPr>
              <w:t>噪声源强</w:t>
            </w:r>
          </w:p>
          <w:p>
            <w:pPr>
              <w:adjustRightInd w:val="0"/>
              <w:snapToGrid w:val="0"/>
              <w:spacing w:line="500" w:lineRule="exact"/>
              <w:ind w:firstLine="480" w:firstLineChars="200"/>
              <w:rPr>
                <w:rFonts w:hint="default" w:ascii="Times New Roman" w:hAnsi="Times New Roman" w:eastAsia="宋体" w:cs="Times New Roman"/>
                <w:sz w:val="24"/>
                <w:lang w:eastAsia="zh-CN"/>
              </w:rPr>
            </w:pPr>
            <w:r>
              <w:rPr>
                <w:rFonts w:hint="eastAsia" w:ascii="宋体" w:hAnsi="宋体" w:cs="宋体"/>
                <w:sz w:val="24"/>
                <w:lang w:val="zh-CN"/>
              </w:rPr>
              <w:t>本项目噪声主要为设备运行噪声，根据《噪声控制工程》（高红武主编），噪声值</w:t>
            </w:r>
            <w:r>
              <w:rPr>
                <w:rFonts w:eastAsia="Times New Roman"/>
                <w:sz w:val="24"/>
                <w:lang w:val="zh-CN"/>
              </w:rPr>
              <w:t>Leq</w:t>
            </w:r>
            <w:r>
              <w:rPr>
                <w:rFonts w:hint="eastAsia" w:ascii="宋体" w:hAnsi="宋体" w:cs="宋体"/>
                <w:sz w:val="24"/>
                <w:lang w:val="zh-CN"/>
              </w:rPr>
              <w:t>（</w:t>
            </w:r>
            <w:r>
              <w:rPr>
                <w:rFonts w:eastAsia="Times New Roman"/>
                <w:sz w:val="24"/>
                <w:lang w:val="zh-CN"/>
              </w:rPr>
              <w:t>A</w:t>
            </w:r>
            <w:r>
              <w:rPr>
                <w:rFonts w:hint="eastAsia" w:ascii="宋体" w:hAnsi="宋体" w:cs="宋体"/>
                <w:sz w:val="24"/>
                <w:lang w:val="zh-CN"/>
              </w:rPr>
              <w:t>）约为</w:t>
            </w:r>
            <w:r>
              <w:rPr>
                <w:rFonts w:hint="eastAsia"/>
                <w:sz w:val="24"/>
              </w:rPr>
              <w:t>85</w:t>
            </w:r>
            <w:r>
              <w:rPr>
                <w:rFonts w:eastAsia="Times New Roman"/>
                <w:sz w:val="24"/>
                <w:lang w:val="zh-CN"/>
              </w:rPr>
              <w:t>dB</w:t>
            </w:r>
            <w:r>
              <w:rPr>
                <w:rFonts w:hint="eastAsia" w:ascii="宋体" w:hAnsi="宋体" w:cs="宋体"/>
                <w:sz w:val="24"/>
                <w:lang w:val="zh-CN"/>
              </w:rPr>
              <w:t>（</w:t>
            </w:r>
            <w:r>
              <w:rPr>
                <w:rFonts w:eastAsia="Times New Roman"/>
                <w:sz w:val="24"/>
                <w:lang w:val="zh-CN"/>
              </w:rPr>
              <w:t>A</w:t>
            </w:r>
            <w:r>
              <w:rPr>
                <w:rFonts w:hint="eastAsia" w:ascii="宋体" w:hAnsi="宋体" w:cs="宋体"/>
                <w:sz w:val="24"/>
                <w:lang w:val="zh-CN"/>
              </w:rPr>
              <w:t>），主要</w:t>
            </w:r>
            <w:r>
              <w:rPr>
                <w:rFonts w:hint="eastAsia" w:ascii="宋体" w:hAnsi="宋体" w:cs="宋体"/>
                <w:sz w:val="24"/>
              </w:rPr>
              <w:t>噪声</w:t>
            </w:r>
            <w:r>
              <w:rPr>
                <w:rFonts w:hint="eastAsia" w:ascii="宋体" w:hAnsi="宋体" w:cs="宋体"/>
                <w:sz w:val="24"/>
                <w:lang w:val="zh-CN"/>
              </w:rPr>
              <w:t>设备噪声级见下</w:t>
            </w:r>
            <w:r>
              <w:rPr>
                <w:rFonts w:hint="default" w:ascii="Times New Roman" w:hAnsi="Times New Roman" w:cs="Times New Roman"/>
                <w:sz w:val="24"/>
                <w:lang w:val="zh-CN"/>
              </w:rPr>
              <w:t>表</w:t>
            </w:r>
            <w:r>
              <w:rPr>
                <w:rFonts w:hint="default" w:ascii="Times New Roman" w:hAnsi="Times New Roman" w:cs="Times New Roman"/>
                <w:sz w:val="24"/>
                <w:lang w:val="en-US" w:eastAsia="zh-CN"/>
              </w:rPr>
              <w:t>4.4-1</w:t>
            </w:r>
            <w:r>
              <w:rPr>
                <w:rFonts w:hint="default" w:ascii="Times New Roman" w:hAnsi="Times New Roman" w:eastAsia="宋体" w:cs="Times New Roman"/>
                <w:sz w:val="24"/>
                <w:lang w:eastAsia="zh-CN"/>
              </w:rPr>
              <w:t>。</w:t>
            </w:r>
          </w:p>
          <w:p>
            <w:pPr>
              <w:pStyle w:val="5"/>
              <w:rPr>
                <w:rFonts w:hint="eastAsia"/>
                <w:lang w:eastAsia="zh-CN"/>
              </w:rPr>
            </w:pPr>
          </w:p>
          <w:p>
            <w:pPr>
              <w:rPr>
                <w:bCs/>
                <w:sz w:val="24"/>
                <w:szCs w:val="20"/>
              </w:rPr>
            </w:pPr>
          </w:p>
          <w:p>
            <w:pPr>
              <w:pStyle w:val="5"/>
              <w:rPr>
                <w:bCs/>
                <w:sz w:val="24"/>
                <w:szCs w:val="20"/>
              </w:rPr>
            </w:pPr>
          </w:p>
          <w:p>
            <w:pPr>
              <w:adjustRightInd w:val="0"/>
              <w:snapToGrid w:val="0"/>
              <w:spacing w:line="500" w:lineRule="exact"/>
              <w:rPr>
                <w:bCs/>
                <w:sz w:val="24"/>
                <w:szCs w:val="20"/>
              </w:rPr>
            </w:pPr>
          </w:p>
        </w:tc>
      </w:tr>
    </w:tbl>
    <w:p>
      <w:pPr>
        <w:tabs>
          <w:tab w:val="left" w:pos="750"/>
        </w:tabs>
      </w:pPr>
    </w:p>
    <w:p>
      <w:pPr>
        <w:tabs>
          <w:tab w:val="left" w:pos="750"/>
        </w:tabs>
        <w:sectPr>
          <w:pgSz w:w="11906" w:h="16838"/>
          <w:pgMar w:top="1588" w:right="1588" w:bottom="1588" w:left="1588" w:header="851" w:footer="992" w:gutter="0"/>
          <w:pgBorders>
            <w:top w:val="none" w:sz="0" w:space="0"/>
            <w:left w:val="none" w:sz="0" w:space="0"/>
            <w:bottom w:val="none" w:sz="0" w:space="0"/>
            <w:right w:val="none" w:sz="0" w:space="0"/>
          </w:pgBorders>
          <w:cols w:space="720" w:num="1"/>
          <w:docGrid w:linePitch="312" w:charSpace="0"/>
        </w:sectPr>
      </w:pPr>
    </w:p>
    <w:tbl>
      <w:tblPr>
        <w:tblStyle w:val="40"/>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13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2" w:hRule="atLeast"/>
          <w:jc w:val="center"/>
        </w:trPr>
        <w:tc>
          <w:tcPr>
            <w:tcW w:w="402" w:type="dxa"/>
            <w:vAlign w:val="center"/>
          </w:tcPr>
          <w:p>
            <w:pPr>
              <w:adjustRightInd w:val="0"/>
              <w:snapToGrid w:val="0"/>
              <w:jc w:val="center"/>
              <w:rPr>
                <w:bCs/>
                <w:szCs w:val="21"/>
              </w:rPr>
            </w:pPr>
            <w:r>
              <w:rPr>
                <w:rFonts w:hAnsi="宋体"/>
                <w:bCs/>
                <w:szCs w:val="21"/>
              </w:rPr>
              <w:t>运营</w:t>
            </w:r>
          </w:p>
          <w:p>
            <w:pPr>
              <w:adjustRightInd w:val="0"/>
              <w:snapToGrid w:val="0"/>
              <w:jc w:val="center"/>
              <w:rPr>
                <w:bCs/>
                <w:szCs w:val="21"/>
              </w:rPr>
            </w:pPr>
            <w:r>
              <w:rPr>
                <w:rFonts w:hAnsi="宋体"/>
                <w:bCs/>
                <w:szCs w:val="21"/>
              </w:rPr>
              <w:t>期环</w:t>
            </w:r>
          </w:p>
          <w:p>
            <w:pPr>
              <w:adjustRightInd w:val="0"/>
              <w:snapToGrid w:val="0"/>
              <w:jc w:val="center"/>
              <w:rPr>
                <w:bCs/>
                <w:szCs w:val="21"/>
              </w:rPr>
            </w:pPr>
            <w:r>
              <w:rPr>
                <w:rFonts w:hAnsi="宋体"/>
                <w:bCs/>
                <w:szCs w:val="21"/>
              </w:rPr>
              <w:t>境影</w:t>
            </w:r>
          </w:p>
          <w:p>
            <w:pPr>
              <w:adjustRightInd w:val="0"/>
              <w:snapToGrid w:val="0"/>
              <w:jc w:val="center"/>
              <w:rPr>
                <w:bCs/>
                <w:szCs w:val="21"/>
              </w:rPr>
            </w:pPr>
            <w:r>
              <w:rPr>
                <w:rFonts w:hAnsi="宋体"/>
                <w:bCs/>
                <w:szCs w:val="21"/>
              </w:rPr>
              <w:t>响和</w:t>
            </w:r>
          </w:p>
          <w:p>
            <w:pPr>
              <w:adjustRightInd w:val="0"/>
              <w:snapToGrid w:val="0"/>
              <w:jc w:val="center"/>
              <w:rPr>
                <w:bCs/>
                <w:szCs w:val="21"/>
              </w:rPr>
            </w:pPr>
            <w:r>
              <w:rPr>
                <w:rFonts w:hAnsi="宋体"/>
                <w:bCs/>
                <w:szCs w:val="21"/>
              </w:rPr>
              <w:t>保护</w:t>
            </w:r>
          </w:p>
          <w:p>
            <w:pPr>
              <w:jc w:val="center"/>
            </w:pPr>
            <w:r>
              <w:rPr>
                <w:rFonts w:hAnsi="宋体"/>
                <w:bCs/>
                <w:szCs w:val="21"/>
              </w:rPr>
              <w:t>措施</w:t>
            </w:r>
          </w:p>
        </w:tc>
        <w:tc>
          <w:tcPr>
            <w:tcW w:w="13773" w:type="dxa"/>
          </w:tcPr>
          <w:p>
            <w:pPr>
              <w:adjustRightInd w:val="0"/>
              <w:snapToGrid w:val="0"/>
              <w:spacing w:line="460" w:lineRule="exact"/>
              <w:jc w:val="center"/>
              <w:rPr>
                <w:b/>
                <w:bCs/>
              </w:rPr>
            </w:pPr>
            <w:r>
              <w:rPr>
                <w:rFonts w:hint="eastAsia"/>
                <w:b/>
                <w:bCs/>
              </w:rPr>
              <w:t>表4</w:t>
            </w:r>
            <w:r>
              <w:rPr>
                <w:rFonts w:hint="eastAsia"/>
                <w:b/>
                <w:bCs/>
                <w:lang w:val="en-US" w:eastAsia="zh-CN"/>
              </w:rPr>
              <w:t>.4-1</w:t>
            </w:r>
            <w:r>
              <w:rPr>
                <w:rFonts w:hint="eastAsia"/>
                <w:b/>
                <w:bCs/>
              </w:rPr>
              <w:t xml:space="preserve">  工业企业噪声源强调查清单（室内声源）</w:t>
            </w:r>
          </w:p>
          <w:tbl>
            <w:tblPr>
              <w:tblStyle w:val="355"/>
              <w:tblW w:w="491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574"/>
              <w:gridCol w:w="1151"/>
              <w:gridCol w:w="737"/>
              <w:gridCol w:w="1199"/>
              <w:gridCol w:w="600"/>
              <w:gridCol w:w="648"/>
              <w:gridCol w:w="672"/>
              <w:gridCol w:w="732"/>
              <w:gridCol w:w="1489"/>
              <w:gridCol w:w="1645"/>
              <w:gridCol w:w="708"/>
              <w:gridCol w:w="756"/>
              <w:gridCol w:w="1261"/>
              <w:gridCol w:w="5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233" w:type="pct"/>
                  <w:vMerge w:val="restart"/>
                  <w:vAlign w:val="center"/>
                </w:tcPr>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序号</w:t>
                  </w:r>
                </w:p>
              </w:tc>
              <w:tc>
                <w:tcPr>
                  <w:tcW w:w="215" w:type="pct"/>
                  <w:vMerge w:val="restart"/>
                  <w:vAlign w:val="center"/>
                </w:tcPr>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建筑物</w:t>
                  </w:r>
                </w:p>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名称</w:t>
                  </w:r>
                </w:p>
              </w:tc>
              <w:tc>
                <w:tcPr>
                  <w:tcW w:w="431" w:type="pct"/>
                  <w:vMerge w:val="restart"/>
                  <w:vAlign w:val="center"/>
                </w:tcPr>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声源名称</w:t>
                  </w:r>
                </w:p>
              </w:tc>
              <w:tc>
                <w:tcPr>
                  <w:tcW w:w="276" w:type="pct"/>
                  <w:vMerge w:val="restart"/>
                  <w:vAlign w:val="center"/>
                </w:tcPr>
                <w:p>
                  <w:pPr>
                    <w:autoSpaceDE w:val="0"/>
                    <w:autoSpaceDN w:val="0"/>
                    <w:jc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型号</w:t>
                  </w:r>
                </w:p>
              </w:tc>
              <w:tc>
                <w:tcPr>
                  <w:tcW w:w="449" w:type="pct"/>
                  <w:vAlign w:val="center"/>
                </w:tcPr>
                <w:p>
                  <w:pPr>
                    <w:pStyle w:val="23"/>
                    <w:autoSpaceDE w:val="0"/>
                    <w:autoSpaceDN w:val="0"/>
                    <w:jc w:val="center"/>
                    <w:rPr>
                      <w:rFonts w:hint="default" w:ascii="Times New Roman" w:hAnsi="Times New Roman" w:eastAsia="宋体" w:cs="Times New Roman"/>
                      <w:sz w:val="18"/>
                      <w:szCs w:val="18"/>
                      <w:lang w:eastAsia="en-US"/>
                    </w:rPr>
                  </w:pPr>
                  <w:r>
                    <w:rPr>
                      <w:rFonts w:hint="default" w:ascii="Times New Roman" w:hAnsi="Times New Roman" w:eastAsia="宋体" w:cs="Times New Roman"/>
                      <w:sz w:val="18"/>
                      <w:szCs w:val="18"/>
                      <w:lang w:eastAsia="en-US"/>
                    </w:rPr>
                    <w:t>声源</w:t>
                  </w:r>
                </w:p>
                <w:p>
                  <w:pPr>
                    <w:pStyle w:val="23"/>
                    <w:autoSpaceDE w:val="0"/>
                    <w:autoSpaceDN w:val="0"/>
                    <w:jc w:val="center"/>
                    <w:rPr>
                      <w:rFonts w:hint="default" w:ascii="Times New Roman" w:hAnsi="Times New Roman" w:cs="Times New Roman"/>
                      <w:sz w:val="18"/>
                      <w:szCs w:val="18"/>
                      <w:lang w:eastAsia="en-US"/>
                    </w:rPr>
                  </w:pPr>
                  <w:r>
                    <w:rPr>
                      <w:rFonts w:hint="default" w:ascii="Times New Roman" w:hAnsi="Times New Roman" w:eastAsia="宋体" w:cs="Times New Roman"/>
                      <w:sz w:val="18"/>
                      <w:szCs w:val="18"/>
                      <w:lang w:eastAsia="en-US"/>
                    </w:rPr>
                    <w:t>源强</w:t>
                  </w:r>
                </w:p>
              </w:tc>
              <w:tc>
                <w:tcPr>
                  <w:tcW w:w="225" w:type="pct"/>
                  <w:vMerge w:val="restart"/>
                  <w:vAlign w:val="center"/>
                </w:tcPr>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声源控制措施</w:t>
                  </w:r>
                </w:p>
              </w:tc>
              <w:tc>
                <w:tcPr>
                  <w:tcW w:w="769" w:type="pct"/>
                  <w:gridSpan w:val="3"/>
                  <w:vAlign w:val="center"/>
                </w:tcPr>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空间相对位置/m</w:t>
                  </w:r>
                </w:p>
              </w:tc>
              <w:tc>
                <w:tcPr>
                  <w:tcW w:w="558" w:type="pct"/>
                  <w:vMerge w:val="restart"/>
                  <w:vAlign w:val="center"/>
                </w:tcPr>
                <w:p>
                  <w:pPr>
                    <w:autoSpaceDE w:val="0"/>
                    <w:autoSpaceDN w:val="0"/>
                    <w:jc w:val="center"/>
                    <w:rPr>
                      <w:rFonts w:ascii="Times New Roman" w:hAnsi="Times New Roman" w:cs="Times New Roman"/>
                      <w:sz w:val="18"/>
                      <w:szCs w:val="18"/>
                      <w:lang w:eastAsia="en-US"/>
                    </w:rPr>
                  </w:pPr>
                  <w:r>
                    <w:rPr>
                      <w:rFonts w:ascii="Times New Roman" w:hAnsi="Times New Roman" w:cs="Times New Roman"/>
                      <w:sz w:val="18"/>
                      <w:szCs w:val="18"/>
                      <w:lang w:eastAsia="en-US"/>
                    </w:rPr>
                    <w:t>距室内边界距离/m</w:t>
                  </w:r>
                </w:p>
              </w:tc>
              <w:tc>
                <w:tcPr>
                  <w:tcW w:w="617" w:type="pct"/>
                  <w:vMerge w:val="restart"/>
                  <w:vAlign w:val="center"/>
                </w:tcPr>
                <w:p>
                  <w:pPr>
                    <w:autoSpaceDE w:val="0"/>
                    <w:autoSpaceDN w:val="0"/>
                    <w:jc w:val="center"/>
                    <w:rPr>
                      <w:rFonts w:ascii="Times New Roman" w:hAnsi="Times New Roman" w:cs="Times New Roman"/>
                      <w:sz w:val="18"/>
                      <w:szCs w:val="18"/>
                      <w:lang w:eastAsia="en-US"/>
                    </w:rPr>
                  </w:pPr>
                  <w:r>
                    <w:rPr>
                      <w:rFonts w:ascii="Times New Roman" w:hAnsi="Times New Roman" w:eastAsia="宋体" w:cs="Times New Roman"/>
                      <w:sz w:val="18"/>
                      <w:szCs w:val="18"/>
                      <w:lang w:eastAsia="en-US"/>
                    </w:rPr>
                    <w:t>室内边界声级/dB(A)</w:t>
                  </w:r>
                </w:p>
              </w:tc>
              <w:tc>
                <w:tcPr>
                  <w:tcW w:w="265" w:type="pct"/>
                  <w:vMerge w:val="restart"/>
                  <w:vAlign w:val="center"/>
                </w:tcPr>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运行</w:t>
                  </w:r>
                </w:p>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时段</w:t>
                  </w:r>
                </w:p>
              </w:tc>
              <w:tc>
                <w:tcPr>
                  <w:tcW w:w="283" w:type="pct"/>
                  <w:vMerge w:val="restart"/>
                  <w:vAlign w:val="center"/>
                </w:tcPr>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建筑物插入损失 / dB(A)</w:t>
                  </w:r>
                </w:p>
              </w:tc>
              <w:tc>
                <w:tcPr>
                  <w:tcW w:w="672" w:type="pct"/>
                  <w:gridSpan w:val="2"/>
                  <w:vAlign w:val="center"/>
                </w:tcPr>
                <w:p>
                  <w:pPr>
                    <w:pStyle w:val="23"/>
                    <w:autoSpaceDE w:val="0"/>
                    <w:autoSpaceDN w:val="0"/>
                    <w:jc w:val="center"/>
                    <w:rPr>
                      <w:rFonts w:hint="default" w:ascii="Times New Roman" w:hAnsi="Times New Roman" w:cs="Times New Roman"/>
                      <w:sz w:val="18"/>
                      <w:szCs w:val="18"/>
                      <w:lang w:eastAsia="en-US"/>
                    </w:rPr>
                  </w:pPr>
                  <w:r>
                    <w:rPr>
                      <w:rFonts w:hint="default" w:ascii="Times New Roman" w:hAnsi="Times New Roman" w:eastAsia="宋体" w:cs="Times New Roman"/>
                      <w:sz w:val="18"/>
                      <w:szCs w:val="18"/>
                      <w:lang w:eastAsia="en-US"/>
                    </w:rPr>
                    <w:t>建筑物外噪声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233" w:type="pct"/>
                  <w:vMerge w:val="continue"/>
                  <w:vAlign w:val="center"/>
                </w:tcPr>
                <w:p>
                  <w:pPr>
                    <w:autoSpaceDE/>
                    <w:autoSpaceDN/>
                    <w:jc w:val="center"/>
                    <w:rPr>
                      <w:rFonts w:ascii="Times New Roman" w:hAnsi="Times New Roman" w:cs="Times New Roman"/>
                      <w:sz w:val="18"/>
                      <w:szCs w:val="18"/>
                      <w:lang w:eastAsia="en-US"/>
                    </w:rPr>
                  </w:pPr>
                </w:p>
              </w:tc>
              <w:tc>
                <w:tcPr>
                  <w:tcW w:w="215" w:type="pct"/>
                  <w:vMerge w:val="continue"/>
                  <w:vAlign w:val="center"/>
                </w:tcPr>
                <w:p>
                  <w:pPr>
                    <w:autoSpaceDE/>
                    <w:autoSpaceDN/>
                    <w:jc w:val="center"/>
                    <w:rPr>
                      <w:rFonts w:ascii="Times New Roman" w:hAnsi="Times New Roman" w:cs="Times New Roman"/>
                      <w:sz w:val="18"/>
                      <w:szCs w:val="18"/>
                      <w:lang w:eastAsia="en-US"/>
                    </w:rPr>
                  </w:pPr>
                </w:p>
              </w:tc>
              <w:tc>
                <w:tcPr>
                  <w:tcW w:w="431" w:type="pct"/>
                  <w:vMerge w:val="continue"/>
                  <w:vAlign w:val="center"/>
                </w:tcPr>
                <w:p>
                  <w:pPr>
                    <w:autoSpaceDE/>
                    <w:autoSpaceDN/>
                    <w:jc w:val="center"/>
                    <w:rPr>
                      <w:rFonts w:ascii="Times New Roman" w:hAnsi="Times New Roman" w:cs="Times New Roman"/>
                      <w:sz w:val="18"/>
                      <w:szCs w:val="18"/>
                      <w:lang w:eastAsia="en-US"/>
                    </w:rPr>
                  </w:pPr>
                </w:p>
              </w:tc>
              <w:tc>
                <w:tcPr>
                  <w:tcW w:w="276" w:type="pct"/>
                  <w:vMerge w:val="continue"/>
                  <w:vAlign w:val="center"/>
                </w:tcPr>
                <w:p>
                  <w:pPr>
                    <w:pStyle w:val="347"/>
                    <w:autoSpaceDE w:val="0"/>
                    <w:autoSpaceDN w:val="0"/>
                    <w:spacing w:line="188" w:lineRule="exact"/>
                    <w:ind w:left="116" w:right="86"/>
                    <w:jc w:val="center"/>
                    <w:rPr>
                      <w:rFonts w:ascii="Times New Roman" w:hAnsi="Times New Roman" w:cs="Times New Roman"/>
                      <w:sz w:val="18"/>
                      <w:szCs w:val="18"/>
                      <w:lang w:eastAsia="en-US"/>
                    </w:rPr>
                  </w:pPr>
                </w:p>
              </w:tc>
              <w:tc>
                <w:tcPr>
                  <w:tcW w:w="449" w:type="pct"/>
                  <w:vAlign w:val="center"/>
                </w:tcPr>
                <w:p>
                  <w:pPr>
                    <w:pStyle w:val="23"/>
                    <w:autoSpaceDE w:val="0"/>
                    <w:autoSpaceDN w:val="0"/>
                    <w:jc w:val="center"/>
                    <w:rPr>
                      <w:rFonts w:hint="default" w:ascii="Times New Roman" w:hAnsi="Times New Roman" w:cs="Times New Roman"/>
                      <w:sz w:val="18"/>
                      <w:szCs w:val="18"/>
                      <w:lang w:eastAsia="en-US"/>
                    </w:rPr>
                  </w:pPr>
                  <w:r>
                    <w:rPr>
                      <w:rFonts w:hint="default" w:ascii="Times New Roman" w:hAnsi="Times New Roman" w:eastAsia="宋体" w:cs="Times New Roman"/>
                      <w:sz w:val="18"/>
                      <w:szCs w:val="18"/>
                      <w:lang w:eastAsia="en-US"/>
                    </w:rPr>
                    <w:t>（声压级/距声源距离）/（dB(A)/m）</w:t>
                  </w:r>
                </w:p>
              </w:tc>
              <w:tc>
                <w:tcPr>
                  <w:tcW w:w="225" w:type="pct"/>
                  <w:vMerge w:val="continue"/>
                  <w:vAlign w:val="center"/>
                </w:tcPr>
                <w:p>
                  <w:pPr>
                    <w:autoSpaceDE/>
                    <w:autoSpaceDN/>
                    <w:jc w:val="center"/>
                    <w:rPr>
                      <w:rFonts w:ascii="Times New Roman" w:hAnsi="Times New Roman" w:cs="Times New Roman"/>
                      <w:sz w:val="18"/>
                      <w:szCs w:val="18"/>
                      <w:lang w:eastAsia="en-US"/>
                    </w:rPr>
                  </w:pPr>
                </w:p>
              </w:tc>
              <w:tc>
                <w:tcPr>
                  <w:tcW w:w="243" w:type="pct"/>
                  <w:vAlign w:val="center"/>
                </w:tcPr>
                <w:p>
                  <w:pPr>
                    <w:pStyle w:val="347"/>
                    <w:autoSpaceDE/>
                    <w:autoSpaceDN/>
                    <w:ind w:left="23"/>
                    <w:jc w:val="center"/>
                    <w:rPr>
                      <w:rFonts w:ascii="Times New Roman" w:hAnsi="Times New Roman" w:cs="Times New Roman"/>
                      <w:sz w:val="18"/>
                      <w:szCs w:val="18"/>
                      <w:lang w:eastAsia="en-US"/>
                    </w:rPr>
                  </w:pPr>
                  <w:r>
                    <w:rPr>
                      <w:rFonts w:ascii="Times New Roman" w:hAnsi="Times New Roman" w:cs="Times New Roman"/>
                      <w:sz w:val="18"/>
                      <w:szCs w:val="18"/>
                      <w:lang w:eastAsia="en-US"/>
                    </w:rPr>
                    <w:t>X</w:t>
                  </w:r>
                </w:p>
              </w:tc>
              <w:tc>
                <w:tcPr>
                  <w:tcW w:w="252" w:type="pct"/>
                  <w:vAlign w:val="center"/>
                </w:tcPr>
                <w:p>
                  <w:pPr>
                    <w:pStyle w:val="347"/>
                    <w:autoSpaceDE/>
                    <w:autoSpaceDN/>
                    <w:ind w:left="21"/>
                    <w:jc w:val="center"/>
                    <w:rPr>
                      <w:rFonts w:ascii="Times New Roman" w:hAnsi="Times New Roman" w:cs="Times New Roman"/>
                      <w:sz w:val="18"/>
                      <w:szCs w:val="18"/>
                      <w:lang w:eastAsia="en-US"/>
                    </w:rPr>
                  </w:pPr>
                  <w:r>
                    <w:rPr>
                      <w:rFonts w:ascii="Times New Roman" w:hAnsi="Times New Roman" w:cs="Times New Roman"/>
                      <w:sz w:val="18"/>
                      <w:szCs w:val="18"/>
                      <w:lang w:eastAsia="en-US"/>
                    </w:rPr>
                    <w:t>Y</w:t>
                  </w:r>
                </w:p>
              </w:tc>
              <w:tc>
                <w:tcPr>
                  <w:tcW w:w="274" w:type="pct"/>
                  <w:vAlign w:val="center"/>
                </w:tcPr>
                <w:p>
                  <w:pPr>
                    <w:pStyle w:val="347"/>
                    <w:autoSpaceDE/>
                    <w:autoSpaceDN/>
                    <w:ind w:left="26"/>
                    <w:jc w:val="center"/>
                    <w:rPr>
                      <w:rFonts w:ascii="Times New Roman" w:hAnsi="Times New Roman" w:cs="Times New Roman"/>
                      <w:sz w:val="18"/>
                      <w:szCs w:val="18"/>
                      <w:lang w:eastAsia="en-US"/>
                    </w:rPr>
                  </w:pPr>
                  <w:r>
                    <w:rPr>
                      <w:rFonts w:ascii="Times New Roman" w:hAnsi="Times New Roman" w:cs="Times New Roman"/>
                      <w:sz w:val="18"/>
                      <w:szCs w:val="18"/>
                      <w:lang w:eastAsia="en-US"/>
                    </w:rPr>
                    <w:t>Z</w:t>
                  </w:r>
                </w:p>
              </w:tc>
              <w:tc>
                <w:tcPr>
                  <w:tcW w:w="558" w:type="pct"/>
                  <w:vMerge w:val="continue"/>
                  <w:vAlign w:val="center"/>
                </w:tcPr>
                <w:p>
                  <w:pPr>
                    <w:autoSpaceDE w:val="0"/>
                    <w:autoSpaceDN w:val="0"/>
                    <w:jc w:val="center"/>
                    <w:rPr>
                      <w:rFonts w:ascii="Times New Roman" w:hAnsi="Times New Roman" w:cs="Times New Roman"/>
                      <w:sz w:val="18"/>
                      <w:szCs w:val="18"/>
                      <w:lang w:eastAsia="en-US"/>
                    </w:rPr>
                  </w:pPr>
                </w:p>
              </w:tc>
              <w:tc>
                <w:tcPr>
                  <w:tcW w:w="617" w:type="pct"/>
                  <w:vMerge w:val="continue"/>
                  <w:vAlign w:val="center"/>
                </w:tcPr>
                <w:p>
                  <w:pPr>
                    <w:autoSpaceDE w:val="0"/>
                    <w:autoSpaceDN w:val="0"/>
                    <w:jc w:val="center"/>
                    <w:rPr>
                      <w:rFonts w:ascii="Times New Roman" w:hAnsi="Times New Roman" w:cs="Times New Roman"/>
                      <w:sz w:val="18"/>
                      <w:szCs w:val="18"/>
                      <w:lang w:eastAsia="en-US"/>
                    </w:rPr>
                  </w:pPr>
                </w:p>
              </w:tc>
              <w:tc>
                <w:tcPr>
                  <w:tcW w:w="265" w:type="pct"/>
                  <w:vMerge w:val="continue"/>
                  <w:vAlign w:val="center"/>
                </w:tcPr>
                <w:p>
                  <w:pPr>
                    <w:autoSpaceDE/>
                    <w:autoSpaceDN/>
                    <w:jc w:val="center"/>
                    <w:rPr>
                      <w:rFonts w:ascii="Times New Roman" w:hAnsi="Times New Roman" w:cs="Times New Roman"/>
                      <w:sz w:val="18"/>
                      <w:szCs w:val="18"/>
                      <w:lang w:eastAsia="en-US"/>
                    </w:rPr>
                  </w:pPr>
                </w:p>
              </w:tc>
              <w:tc>
                <w:tcPr>
                  <w:tcW w:w="283" w:type="pct"/>
                  <w:vMerge w:val="continue"/>
                  <w:vAlign w:val="center"/>
                </w:tcPr>
                <w:p>
                  <w:pPr>
                    <w:autoSpaceDE/>
                    <w:autoSpaceDN/>
                    <w:jc w:val="center"/>
                    <w:rPr>
                      <w:rFonts w:ascii="Times New Roman" w:hAnsi="Times New Roman" w:cs="Times New Roman"/>
                      <w:sz w:val="18"/>
                      <w:szCs w:val="18"/>
                      <w:lang w:eastAsia="en-US"/>
                    </w:rPr>
                  </w:pPr>
                </w:p>
              </w:tc>
              <w:tc>
                <w:tcPr>
                  <w:tcW w:w="473" w:type="pct"/>
                  <w:vAlign w:val="center"/>
                </w:tcPr>
                <w:p>
                  <w:pPr>
                    <w:pStyle w:val="23"/>
                    <w:autoSpaceDE w:val="0"/>
                    <w:autoSpaceDN w:val="0"/>
                    <w:jc w:val="center"/>
                    <w:rPr>
                      <w:rFonts w:hint="default" w:ascii="Times New Roman" w:hAnsi="Times New Roman" w:eastAsia="宋体" w:cs="Times New Roman"/>
                      <w:sz w:val="18"/>
                      <w:szCs w:val="18"/>
                      <w:lang w:eastAsia="en-US"/>
                    </w:rPr>
                  </w:pPr>
                  <w:r>
                    <w:rPr>
                      <w:rFonts w:hint="default" w:ascii="Times New Roman" w:hAnsi="Times New Roman" w:eastAsia="宋体" w:cs="Times New Roman"/>
                      <w:sz w:val="18"/>
                      <w:szCs w:val="18"/>
                      <w:lang w:eastAsia="en-US"/>
                    </w:rPr>
                    <w:t>声压级</w:t>
                  </w:r>
                </w:p>
                <w:p>
                  <w:pPr>
                    <w:pStyle w:val="23"/>
                    <w:autoSpaceDE w:val="0"/>
                    <w:autoSpaceDN w:val="0"/>
                    <w:jc w:val="center"/>
                    <w:rPr>
                      <w:rFonts w:hint="default" w:ascii="Times New Roman" w:hAnsi="Times New Roman" w:cs="Times New Roman"/>
                      <w:sz w:val="18"/>
                      <w:szCs w:val="18"/>
                      <w:lang w:eastAsia="en-US"/>
                    </w:rPr>
                  </w:pPr>
                  <w:r>
                    <w:rPr>
                      <w:rFonts w:hint="default" w:ascii="Times New Roman" w:hAnsi="Times New Roman" w:eastAsia="宋体" w:cs="Times New Roman"/>
                      <w:sz w:val="18"/>
                      <w:szCs w:val="18"/>
                      <w:lang w:eastAsia="en-US"/>
                    </w:rPr>
                    <w:t>/dB(A)</w:t>
                  </w:r>
                </w:p>
              </w:tc>
              <w:tc>
                <w:tcPr>
                  <w:tcW w:w="199" w:type="pct"/>
                  <w:vAlign w:val="center"/>
                </w:tcPr>
                <w:p>
                  <w:pPr>
                    <w:pStyle w:val="23"/>
                    <w:autoSpaceDE w:val="0"/>
                    <w:autoSpaceDN w:val="0"/>
                    <w:jc w:val="center"/>
                    <w:rPr>
                      <w:rFonts w:hint="default" w:ascii="Times New Roman" w:hAnsi="Times New Roman" w:cs="Times New Roman"/>
                      <w:sz w:val="18"/>
                      <w:szCs w:val="18"/>
                      <w:lang w:eastAsia="en-US"/>
                    </w:rPr>
                  </w:pPr>
                  <w:r>
                    <w:rPr>
                      <w:rFonts w:hint="default" w:ascii="Times New Roman" w:hAnsi="Times New Roman" w:eastAsia="宋体" w:cs="Times New Roman"/>
                      <w:sz w:val="18"/>
                      <w:szCs w:val="18"/>
                      <w:lang w:eastAsia="en-US"/>
                    </w:rPr>
                    <w:t>建筑物外距离</w:t>
                  </w:r>
                  <w:r>
                    <w:rPr>
                      <w:rFonts w:hint="default" w:ascii="Times New Roman" w:hAnsi="Times New Roman" w:cs="Times New Roman"/>
                      <w:sz w:val="18"/>
                      <w:szCs w:val="18"/>
                      <w:lang w:eastAsia="en-US"/>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233" w:type="pct"/>
                  <w:vAlign w:val="center"/>
                </w:tcPr>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c>
                <w:tcPr>
                  <w:tcW w:w="215" w:type="pct"/>
                  <w:vMerge w:val="restart"/>
                  <w:vAlign w:val="center"/>
                </w:tcPr>
                <w:p>
                  <w:pPr>
                    <w:autoSpaceDE/>
                    <w:autoSpaceDN/>
                    <w:jc w:val="center"/>
                    <w:rPr>
                      <w:rFonts w:ascii="Times New Roman" w:hAnsi="Times New Roman" w:cs="Times New Roman"/>
                      <w:sz w:val="18"/>
                      <w:szCs w:val="18"/>
                      <w:lang w:eastAsia="en-US"/>
                    </w:rPr>
                  </w:pPr>
                  <w:r>
                    <w:rPr>
                      <w:rFonts w:ascii="Times New Roman" w:hAnsi="Times New Roman" w:cs="Times New Roman"/>
                      <w:sz w:val="18"/>
                      <w:szCs w:val="18"/>
                      <w:lang w:eastAsia="en-US"/>
                    </w:rPr>
                    <w:t>生产车间</w:t>
                  </w:r>
                </w:p>
              </w:tc>
              <w:tc>
                <w:tcPr>
                  <w:tcW w:w="431" w:type="pct"/>
                  <w:vAlign w:val="center"/>
                </w:tcPr>
                <w:p>
                  <w:pPr>
                    <w:autoSpaceDE w:val="0"/>
                    <w:autoSpaceDN w:val="0"/>
                    <w:jc w:val="center"/>
                    <w:rPr>
                      <w:rFonts w:hint="eastAsia" w:ascii="Times New Roman" w:hAnsi="Times New Roman" w:cs="Times New Roman"/>
                      <w:sz w:val="18"/>
                      <w:szCs w:val="18"/>
                      <w:lang w:eastAsia="en-US"/>
                    </w:rPr>
                  </w:pPr>
                  <w:r>
                    <w:rPr>
                      <w:rFonts w:hint="eastAsia" w:ascii="Times New Roman" w:hAnsi="Times New Roman" w:cs="Times New Roman"/>
                      <w:sz w:val="18"/>
                      <w:szCs w:val="18"/>
                      <w:lang w:eastAsia="en-US"/>
                    </w:rPr>
                    <w:t>喷水织机</w:t>
                  </w:r>
                </w:p>
                <w:p>
                  <w:pPr>
                    <w:autoSpaceDE w:val="0"/>
                    <w:autoSpaceDN w:val="0"/>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（点声源组，</w:t>
                  </w:r>
                  <w:r>
                    <w:rPr>
                      <w:rFonts w:hint="eastAsia" w:ascii="Times New Roman" w:hAnsi="Times New Roman" w:cs="Times New Roman"/>
                      <w:sz w:val="18"/>
                      <w:szCs w:val="18"/>
                      <w:lang w:val="en-US" w:eastAsia="zh-CN"/>
                    </w:rPr>
                    <w:t>345台</w:t>
                  </w:r>
                  <w:r>
                    <w:rPr>
                      <w:rFonts w:hint="eastAsia" w:ascii="Times New Roman" w:hAnsi="Times New Roman" w:cs="Times New Roman"/>
                      <w:sz w:val="18"/>
                      <w:szCs w:val="18"/>
                      <w:lang w:eastAsia="zh-CN"/>
                    </w:rPr>
                    <w:t>）</w:t>
                  </w:r>
                </w:p>
              </w:tc>
              <w:tc>
                <w:tcPr>
                  <w:tcW w:w="276"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val="en-US" w:eastAsia="zh-CN"/>
                    </w:rPr>
                    <w:t>290</w:t>
                  </w:r>
                  <w:r>
                    <w:rPr>
                      <w:rFonts w:hint="eastAsia" w:ascii="Times New Roman" w:hAnsi="Times New Roman" w:cs="Times New Roman"/>
                      <w:sz w:val="18"/>
                      <w:szCs w:val="18"/>
                      <w:lang w:eastAsia="en-US"/>
                    </w:rPr>
                    <w:t>型</w:t>
                  </w:r>
                </w:p>
              </w:tc>
              <w:tc>
                <w:tcPr>
                  <w:tcW w:w="44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85/1</w:t>
                  </w:r>
                </w:p>
              </w:tc>
              <w:tc>
                <w:tcPr>
                  <w:tcW w:w="225" w:type="pct"/>
                  <w:vMerge w:val="restart"/>
                  <w:vAlign w:val="center"/>
                </w:tcPr>
                <w:p>
                  <w:pPr>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选用低噪声设备，基础减振等</w:t>
                  </w:r>
                </w:p>
              </w:tc>
              <w:tc>
                <w:tcPr>
                  <w:tcW w:w="648" w:type="dxa"/>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2.9</w:t>
                  </w:r>
                </w:p>
              </w:tc>
              <w:tc>
                <w:tcPr>
                  <w:tcW w:w="672" w:type="dxa"/>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-16.5</w:t>
                  </w:r>
                </w:p>
              </w:tc>
              <w:tc>
                <w:tcPr>
                  <w:tcW w:w="732" w:type="dxa"/>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1.5</w:t>
                  </w:r>
                </w:p>
              </w:tc>
              <w:tc>
                <w:tcPr>
                  <w:tcW w:w="558"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声屏障-1：3.6</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声屏障-2：2.2</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声屏障-3：10.1</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声屏障-4：29.2</w:t>
                  </w:r>
                </w:p>
              </w:tc>
              <w:tc>
                <w:tcPr>
                  <w:tcW w:w="617"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声屏障-1：81.1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声屏障-2：81.2</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声屏障-3：81.0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声屏障-4：81.0</w:t>
                  </w:r>
                </w:p>
              </w:tc>
              <w:tc>
                <w:tcPr>
                  <w:tcW w:w="265"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24h</w:t>
                  </w:r>
                </w:p>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运行</w:t>
                  </w:r>
                </w:p>
              </w:tc>
              <w:tc>
                <w:tcPr>
                  <w:tcW w:w="283" w:type="pct"/>
                  <w:vAlign w:val="center"/>
                </w:tcPr>
                <w:p>
                  <w:pPr>
                    <w:widowControl/>
                    <w:autoSpaceDE w:val="0"/>
                    <w:autoSpaceDN w:val="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20</w:t>
                  </w:r>
                </w:p>
              </w:tc>
              <w:tc>
                <w:tcPr>
                  <w:tcW w:w="473"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声屏障-1：35.1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声屏障-2：35.2</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声屏障-3：35.0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声屏障-4：35.0</w:t>
                  </w:r>
                </w:p>
              </w:tc>
              <w:tc>
                <w:tcPr>
                  <w:tcW w:w="19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233" w:type="pct"/>
                  <w:vAlign w:val="center"/>
                </w:tcPr>
                <w:p>
                  <w:pPr>
                    <w:autoSpaceDE/>
                    <w:autoSpaceDN/>
                    <w:jc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2</w:t>
                  </w:r>
                </w:p>
              </w:tc>
              <w:tc>
                <w:tcPr>
                  <w:tcW w:w="215" w:type="pct"/>
                  <w:vMerge w:val="continue"/>
                  <w:vAlign w:val="center"/>
                </w:tcPr>
                <w:p>
                  <w:pPr>
                    <w:autoSpaceDE/>
                    <w:autoSpaceDN/>
                    <w:jc w:val="center"/>
                    <w:rPr>
                      <w:rFonts w:ascii="Times New Roman" w:hAnsi="Times New Roman" w:cs="Times New Roman"/>
                      <w:sz w:val="18"/>
                      <w:szCs w:val="18"/>
                      <w:lang w:eastAsia="en-US"/>
                    </w:rPr>
                  </w:pPr>
                </w:p>
              </w:tc>
              <w:tc>
                <w:tcPr>
                  <w:tcW w:w="431" w:type="pct"/>
                  <w:vAlign w:val="center"/>
                </w:tcPr>
                <w:p>
                  <w:pPr>
                    <w:autoSpaceDE w:val="0"/>
                    <w:autoSpaceDN w:val="0"/>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整浆并生产线（点声源组，</w:t>
                  </w:r>
                  <w:r>
                    <w:rPr>
                      <w:rFonts w:hint="eastAsia" w:ascii="Times New Roman" w:hAnsi="Times New Roman" w:cs="Times New Roman"/>
                      <w:sz w:val="18"/>
                      <w:szCs w:val="18"/>
                      <w:lang w:val="en-US" w:eastAsia="zh-CN"/>
                    </w:rPr>
                    <w:t>2条</w:t>
                  </w:r>
                  <w:r>
                    <w:rPr>
                      <w:rFonts w:hint="eastAsia" w:ascii="Times New Roman" w:hAnsi="Times New Roman" w:cs="Times New Roman"/>
                      <w:sz w:val="18"/>
                      <w:szCs w:val="18"/>
                      <w:lang w:eastAsia="zh-CN"/>
                    </w:rPr>
                    <w:t>）</w:t>
                  </w:r>
                </w:p>
              </w:tc>
              <w:tc>
                <w:tcPr>
                  <w:tcW w:w="276" w:type="pct"/>
                  <w:vAlign w:val="center"/>
                </w:tcPr>
                <w:p>
                  <w:pPr>
                    <w:widowControl/>
                    <w:autoSpaceDE w:val="0"/>
                    <w:autoSpaceDN w:val="0"/>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val="en-US" w:eastAsia="zh-CN"/>
                    </w:rPr>
                    <w:t>80</w:t>
                  </w:r>
                  <w:r>
                    <w:rPr>
                      <w:rFonts w:hint="eastAsia" w:ascii="Times New Roman" w:hAnsi="Times New Roman" w:cs="Times New Roman"/>
                      <w:sz w:val="18"/>
                      <w:szCs w:val="18"/>
                      <w:lang w:eastAsia="en-US"/>
                    </w:rPr>
                    <w:t>/1</w:t>
                  </w:r>
                </w:p>
              </w:tc>
              <w:tc>
                <w:tcPr>
                  <w:tcW w:w="225" w:type="pct"/>
                  <w:vMerge w:val="continue"/>
                  <w:vAlign w:val="center"/>
                </w:tcPr>
                <w:p>
                  <w:pPr>
                    <w:autoSpaceDE/>
                    <w:autoSpaceDN/>
                    <w:jc w:val="center"/>
                    <w:rPr>
                      <w:rFonts w:ascii="Times New Roman" w:hAnsi="Times New Roman" w:cs="Times New Roman"/>
                      <w:sz w:val="18"/>
                      <w:szCs w:val="18"/>
                      <w:lang w:eastAsia="en-US"/>
                    </w:rPr>
                  </w:pPr>
                </w:p>
              </w:tc>
              <w:tc>
                <w:tcPr>
                  <w:tcW w:w="648" w:type="dxa"/>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-0.5</w:t>
                  </w:r>
                </w:p>
              </w:tc>
              <w:tc>
                <w:tcPr>
                  <w:tcW w:w="672" w:type="dxa"/>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-13.8</w:t>
                  </w:r>
                </w:p>
              </w:tc>
              <w:tc>
                <w:tcPr>
                  <w:tcW w:w="732" w:type="dxa"/>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1.5</w:t>
                  </w:r>
                </w:p>
              </w:tc>
              <w:tc>
                <w:tcPr>
                  <w:tcW w:w="558"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声屏障-1：3.7</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声屏障-2：4.7</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声屏障-3：9.8</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声屏障-4：26.7</w:t>
                  </w:r>
                </w:p>
              </w:tc>
              <w:tc>
                <w:tcPr>
                  <w:tcW w:w="617"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声屏障-1：81.1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声屏障-2：81.1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声屏障-3：81.0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声屏障-4：81.0</w:t>
                  </w:r>
                </w:p>
              </w:tc>
              <w:tc>
                <w:tcPr>
                  <w:tcW w:w="265"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24h</w:t>
                  </w:r>
                </w:p>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运行</w:t>
                  </w:r>
                </w:p>
              </w:tc>
              <w:tc>
                <w:tcPr>
                  <w:tcW w:w="283"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val="en-US" w:eastAsia="zh-CN"/>
                    </w:rPr>
                    <w:t>20</w:t>
                  </w:r>
                </w:p>
              </w:tc>
              <w:tc>
                <w:tcPr>
                  <w:tcW w:w="473"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声屏障-1：35.1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声屏障-2：35.1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声屏障-3：35.0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声屏障-4：35.0</w:t>
                  </w:r>
                </w:p>
              </w:tc>
              <w:tc>
                <w:tcPr>
                  <w:tcW w:w="19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233" w:type="pct"/>
                  <w:vAlign w:val="center"/>
                </w:tcPr>
                <w:p>
                  <w:pPr>
                    <w:autoSpaceDE/>
                    <w:autoSpaceDN/>
                    <w:jc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3</w:t>
                  </w:r>
                </w:p>
              </w:tc>
              <w:tc>
                <w:tcPr>
                  <w:tcW w:w="215" w:type="pct"/>
                  <w:vMerge w:val="continue"/>
                  <w:vAlign w:val="center"/>
                </w:tcPr>
                <w:p>
                  <w:pPr>
                    <w:autoSpaceDE/>
                    <w:autoSpaceDN/>
                    <w:jc w:val="center"/>
                    <w:rPr>
                      <w:rFonts w:ascii="Times New Roman" w:hAnsi="Times New Roman" w:cs="Times New Roman"/>
                      <w:sz w:val="18"/>
                      <w:szCs w:val="18"/>
                      <w:lang w:eastAsia="en-US"/>
                    </w:rPr>
                  </w:pPr>
                </w:p>
              </w:tc>
              <w:tc>
                <w:tcPr>
                  <w:tcW w:w="431" w:type="pct"/>
                  <w:vAlign w:val="center"/>
                </w:tcPr>
                <w:p>
                  <w:pPr>
                    <w:autoSpaceDE w:val="0"/>
                    <w:autoSpaceDN w:val="0"/>
                    <w:jc w:val="center"/>
                    <w:rPr>
                      <w:rFonts w:hint="eastAsia" w:ascii="Times New Roman" w:hAnsi="Times New Roman" w:cs="Times New Roman"/>
                      <w:sz w:val="18"/>
                      <w:szCs w:val="18"/>
                      <w:lang w:eastAsia="en-US"/>
                    </w:rPr>
                  </w:pPr>
                  <w:r>
                    <w:rPr>
                      <w:rFonts w:hint="eastAsia" w:ascii="Times New Roman" w:hAnsi="Times New Roman" w:cs="Times New Roman"/>
                      <w:sz w:val="18"/>
                      <w:szCs w:val="18"/>
                      <w:lang w:eastAsia="en-US"/>
                    </w:rPr>
                    <w:t>缝纫机</w:t>
                  </w:r>
                </w:p>
                <w:p>
                  <w:pPr>
                    <w:autoSpaceDE w:val="0"/>
                    <w:autoSpaceDN w:val="0"/>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（点声源组</w:t>
                  </w:r>
                  <w:r>
                    <w:rPr>
                      <w:rFonts w:hint="eastAsia" w:cs="Times New Roman"/>
                      <w:sz w:val="18"/>
                      <w:szCs w:val="18"/>
                      <w:lang w:eastAsia="zh-CN"/>
                    </w:rPr>
                    <w:t>，</w:t>
                  </w:r>
                  <w:r>
                    <w:rPr>
                      <w:rFonts w:hint="eastAsia" w:cs="Times New Roman"/>
                      <w:sz w:val="18"/>
                      <w:szCs w:val="18"/>
                      <w:lang w:val="en-US" w:eastAsia="zh-CN"/>
                    </w:rPr>
                    <w:t>100台</w:t>
                  </w:r>
                  <w:r>
                    <w:rPr>
                      <w:rFonts w:hint="eastAsia" w:ascii="Times New Roman" w:hAnsi="Times New Roman" w:cs="Times New Roman"/>
                      <w:sz w:val="18"/>
                      <w:szCs w:val="18"/>
                      <w:lang w:eastAsia="zh-CN"/>
                    </w:rPr>
                    <w:t>）</w:t>
                  </w:r>
                </w:p>
              </w:tc>
              <w:tc>
                <w:tcPr>
                  <w:tcW w:w="276" w:type="pct"/>
                  <w:vAlign w:val="center"/>
                </w:tcPr>
                <w:p>
                  <w:pPr>
                    <w:widowControl/>
                    <w:autoSpaceDE w:val="0"/>
                    <w:autoSpaceDN w:val="0"/>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85/1</w:t>
                  </w:r>
                </w:p>
              </w:tc>
              <w:tc>
                <w:tcPr>
                  <w:tcW w:w="225" w:type="pct"/>
                  <w:vMerge w:val="continue"/>
                  <w:vAlign w:val="center"/>
                </w:tcPr>
                <w:p>
                  <w:pPr>
                    <w:autoSpaceDE/>
                    <w:autoSpaceDN/>
                    <w:jc w:val="center"/>
                    <w:rPr>
                      <w:rFonts w:ascii="Times New Roman" w:hAnsi="Times New Roman" w:cs="Times New Roman"/>
                      <w:sz w:val="18"/>
                      <w:szCs w:val="18"/>
                      <w:lang w:eastAsia="en-US"/>
                    </w:rPr>
                  </w:pPr>
                </w:p>
              </w:tc>
              <w:tc>
                <w:tcPr>
                  <w:tcW w:w="243" w:type="pct"/>
                  <w:vAlign w:val="center"/>
                </w:tcPr>
                <w:p>
                  <w:pPr>
                    <w:widowControl/>
                    <w:autoSpaceDE w:val="0"/>
                    <w:autoSpaceDN w:val="0"/>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19.6</w:t>
                  </w:r>
                </w:p>
              </w:tc>
              <w:tc>
                <w:tcPr>
                  <w:tcW w:w="252" w:type="pct"/>
                  <w:vAlign w:val="center"/>
                </w:tcPr>
                <w:p>
                  <w:pPr>
                    <w:widowControl/>
                    <w:autoSpaceDE w:val="0"/>
                    <w:autoSpaceDN w:val="0"/>
                    <w:jc w:val="center"/>
                    <w:textAlignment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en-US"/>
                    </w:rPr>
                    <w:t>-1</w:t>
                  </w:r>
                  <w:r>
                    <w:rPr>
                      <w:rFonts w:hint="eastAsia" w:cs="Times New Roman"/>
                      <w:sz w:val="18"/>
                      <w:szCs w:val="18"/>
                      <w:lang w:val="en-US" w:eastAsia="zh-CN"/>
                    </w:rPr>
                    <w:t>2</w:t>
                  </w:r>
                </w:p>
              </w:tc>
              <w:tc>
                <w:tcPr>
                  <w:tcW w:w="274"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1.5</w:t>
                  </w:r>
                </w:p>
              </w:tc>
              <w:tc>
                <w:tcPr>
                  <w:tcW w:w="558"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声屏障-1：3.7</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声屏障-2：7.0</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声屏障-3：9.5</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声屏障-4：24.4</w:t>
                  </w:r>
                </w:p>
              </w:tc>
              <w:tc>
                <w:tcPr>
                  <w:tcW w:w="617"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声屏障-1：81.1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声屏障-2：81.0</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声屏障-3：81.0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声屏障-4：81.0</w:t>
                  </w:r>
                </w:p>
              </w:tc>
              <w:tc>
                <w:tcPr>
                  <w:tcW w:w="265"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24h</w:t>
                  </w:r>
                </w:p>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运行</w:t>
                  </w:r>
                </w:p>
              </w:tc>
              <w:tc>
                <w:tcPr>
                  <w:tcW w:w="283"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val="en-US" w:eastAsia="zh-CN"/>
                    </w:rPr>
                    <w:t>20</w:t>
                  </w:r>
                </w:p>
              </w:tc>
              <w:tc>
                <w:tcPr>
                  <w:tcW w:w="473"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声屏障-1：35.1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声屏障-2：35.0</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声屏障-3：35.0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声屏障-4：35.0</w:t>
                  </w:r>
                </w:p>
              </w:tc>
              <w:tc>
                <w:tcPr>
                  <w:tcW w:w="19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233" w:type="pct"/>
                  <w:vAlign w:val="center"/>
                </w:tcPr>
                <w:p>
                  <w:pPr>
                    <w:autoSpaceDE/>
                    <w:autoSpaceDN/>
                    <w:jc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4</w:t>
                  </w:r>
                </w:p>
              </w:tc>
              <w:tc>
                <w:tcPr>
                  <w:tcW w:w="215" w:type="pct"/>
                  <w:vMerge w:val="continue"/>
                  <w:vAlign w:val="center"/>
                </w:tcPr>
                <w:p>
                  <w:pPr>
                    <w:autoSpaceDE/>
                    <w:autoSpaceDN/>
                    <w:jc w:val="center"/>
                    <w:rPr>
                      <w:rFonts w:ascii="Times New Roman" w:hAnsi="Times New Roman" w:cs="Times New Roman"/>
                      <w:sz w:val="18"/>
                      <w:szCs w:val="18"/>
                      <w:lang w:eastAsia="en-US"/>
                    </w:rPr>
                  </w:pPr>
                </w:p>
              </w:tc>
              <w:tc>
                <w:tcPr>
                  <w:tcW w:w="431" w:type="pct"/>
                  <w:vAlign w:val="center"/>
                </w:tcPr>
                <w:p>
                  <w:pPr>
                    <w:autoSpaceDE w:val="0"/>
                    <w:autoSpaceDN w:val="0"/>
                    <w:jc w:val="center"/>
                    <w:rPr>
                      <w:rFonts w:hint="eastAsia" w:ascii="Times New Roman" w:hAnsi="Times New Roman" w:cs="Times New Roman"/>
                      <w:sz w:val="18"/>
                      <w:szCs w:val="18"/>
                      <w:lang w:eastAsia="zh-CN"/>
                    </w:rPr>
                  </w:pPr>
                  <w:r>
                    <w:rPr>
                      <w:rFonts w:hint="eastAsia" w:ascii="Times New Roman" w:hAnsi="Times New Roman" w:cs="Times New Roman"/>
                      <w:sz w:val="18"/>
                      <w:szCs w:val="18"/>
                      <w:lang w:eastAsia="zh-CN"/>
                    </w:rPr>
                    <w:t>加弹机</w:t>
                  </w:r>
                </w:p>
                <w:p>
                  <w:pPr>
                    <w:autoSpaceDE w:val="0"/>
                    <w:autoSpaceDN w:val="0"/>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（点声源组</w:t>
                  </w:r>
                  <w:r>
                    <w:rPr>
                      <w:rFonts w:hint="eastAsia" w:cs="Times New Roman"/>
                      <w:sz w:val="18"/>
                      <w:szCs w:val="18"/>
                      <w:lang w:eastAsia="zh-CN"/>
                    </w:rPr>
                    <w:t>，</w:t>
                  </w:r>
                  <w:r>
                    <w:rPr>
                      <w:rFonts w:hint="eastAsia" w:cs="Times New Roman"/>
                      <w:sz w:val="18"/>
                      <w:szCs w:val="18"/>
                      <w:lang w:val="en-US" w:eastAsia="zh-CN"/>
                    </w:rPr>
                    <w:t>2台</w:t>
                  </w:r>
                  <w:r>
                    <w:rPr>
                      <w:rFonts w:hint="eastAsia" w:ascii="Times New Roman" w:hAnsi="Times New Roman" w:cs="Times New Roman"/>
                      <w:sz w:val="18"/>
                      <w:szCs w:val="18"/>
                      <w:lang w:eastAsia="zh-CN"/>
                    </w:rPr>
                    <w:t>）</w:t>
                  </w:r>
                </w:p>
              </w:tc>
              <w:tc>
                <w:tcPr>
                  <w:tcW w:w="276"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1000型</w:t>
                  </w:r>
                </w:p>
              </w:tc>
              <w:tc>
                <w:tcPr>
                  <w:tcW w:w="44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85/1</w:t>
                  </w:r>
                </w:p>
              </w:tc>
              <w:tc>
                <w:tcPr>
                  <w:tcW w:w="225" w:type="pct"/>
                  <w:vMerge w:val="continue"/>
                  <w:vAlign w:val="center"/>
                </w:tcPr>
                <w:p>
                  <w:pPr>
                    <w:autoSpaceDE/>
                    <w:autoSpaceDN/>
                    <w:jc w:val="center"/>
                    <w:rPr>
                      <w:rFonts w:ascii="Times New Roman" w:hAnsi="Times New Roman" w:cs="Times New Roman"/>
                      <w:sz w:val="18"/>
                      <w:szCs w:val="18"/>
                      <w:lang w:eastAsia="en-US"/>
                    </w:rPr>
                  </w:pPr>
                </w:p>
              </w:tc>
              <w:tc>
                <w:tcPr>
                  <w:tcW w:w="243" w:type="pct"/>
                  <w:vAlign w:val="center"/>
                </w:tcPr>
                <w:p>
                  <w:pPr>
                    <w:widowControl/>
                    <w:autoSpaceDE w:val="0"/>
                    <w:autoSpaceDN w:val="0"/>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13</w:t>
                  </w:r>
                </w:p>
              </w:tc>
              <w:tc>
                <w:tcPr>
                  <w:tcW w:w="252" w:type="pct"/>
                  <w:vAlign w:val="center"/>
                </w:tcPr>
                <w:p>
                  <w:pPr>
                    <w:widowControl/>
                    <w:autoSpaceDE w:val="0"/>
                    <w:autoSpaceDN w:val="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eastAsia="en-US"/>
                    </w:rPr>
                    <w:t>-</w:t>
                  </w:r>
                  <w:r>
                    <w:rPr>
                      <w:rFonts w:hint="eastAsia" w:cs="Times New Roman"/>
                      <w:sz w:val="18"/>
                      <w:szCs w:val="18"/>
                      <w:lang w:val="en-US" w:eastAsia="zh-CN"/>
                    </w:rPr>
                    <w:t>19</w:t>
                  </w:r>
                </w:p>
              </w:tc>
              <w:tc>
                <w:tcPr>
                  <w:tcW w:w="274"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1.5</w:t>
                  </w:r>
                </w:p>
              </w:tc>
              <w:tc>
                <w:tcPr>
                  <w:tcW w:w="558"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声屏障-1：3.8</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声屏障-2：9.4</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声屏障-3：9.2</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声屏障-4：22.0</w:t>
                  </w:r>
                </w:p>
              </w:tc>
              <w:tc>
                <w:tcPr>
                  <w:tcW w:w="617"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声屏障-1：81.1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声屏障-2：81.0</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声屏障-3：81.0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声屏障-4：81.0</w:t>
                  </w:r>
                </w:p>
              </w:tc>
              <w:tc>
                <w:tcPr>
                  <w:tcW w:w="265"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24h</w:t>
                  </w:r>
                </w:p>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运行</w:t>
                  </w:r>
                </w:p>
              </w:tc>
              <w:tc>
                <w:tcPr>
                  <w:tcW w:w="283"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val="en-US" w:eastAsia="zh-CN"/>
                    </w:rPr>
                    <w:t>20</w:t>
                  </w:r>
                </w:p>
              </w:tc>
              <w:tc>
                <w:tcPr>
                  <w:tcW w:w="473"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声屏障-1：35.1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声屏障-2：35.0</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声屏障-3：35.0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声屏障-4：35.0</w:t>
                  </w:r>
                </w:p>
              </w:tc>
              <w:tc>
                <w:tcPr>
                  <w:tcW w:w="19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233" w:type="pct"/>
                  <w:vAlign w:val="center"/>
                </w:tcPr>
                <w:p>
                  <w:pPr>
                    <w:autoSpaceDE/>
                    <w:autoSpaceDN/>
                    <w:jc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5</w:t>
                  </w:r>
                </w:p>
              </w:tc>
              <w:tc>
                <w:tcPr>
                  <w:tcW w:w="215" w:type="pct"/>
                  <w:vMerge w:val="continue"/>
                  <w:vAlign w:val="center"/>
                </w:tcPr>
                <w:p>
                  <w:pPr>
                    <w:autoSpaceDE/>
                    <w:autoSpaceDN/>
                    <w:jc w:val="center"/>
                    <w:rPr>
                      <w:rFonts w:ascii="Times New Roman" w:hAnsi="Times New Roman" w:cs="Times New Roman"/>
                      <w:sz w:val="18"/>
                      <w:szCs w:val="18"/>
                      <w:lang w:eastAsia="en-US"/>
                    </w:rPr>
                  </w:pPr>
                </w:p>
              </w:tc>
              <w:tc>
                <w:tcPr>
                  <w:tcW w:w="431" w:type="pct"/>
                  <w:vAlign w:val="center"/>
                </w:tcPr>
                <w:p>
                  <w:pPr>
                    <w:autoSpaceDE w:val="0"/>
                    <w:autoSpaceDN w:val="0"/>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en-US"/>
                    </w:rPr>
                    <w:t>整经机</w:t>
                  </w:r>
                  <w:r>
                    <w:rPr>
                      <w:rFonts w:hint="eastAsia" w:ascii="Times New Roman" w:hAnsi="Times New Roman" w:cs="Times New Roman"/>
                      <w:sz w:val="18"/>
                      <w:szCs w:val="18"/>
                      <w:lang w:eastAsia="zh-CN"/>
                    </w:rPr>
                    <w:t>（点声源组</w:t>
                  </w:r>
                  <w:r>
                    <w:rPr>
                      <w:rFonts w:hint="eastAsia" w:cs="Times New Roman"/>
                      <w:sz w:val="18"/>
                      <w:szCs w:val="18"/>
                      <w:lang w:eastAsia="zh-CN"/>
                    </w:rPr>
                    <w:t>，</w:t>
                  </w:r>
                  <w:r>
                    <w:rPr>
                      <w:rFonts w:hint="eastAsia" w:cs="Times New Roman"/>
                      <w:sz w:val="18"/>
                      <w:szCs w:val="18"/>
                      <w:lang w:val="en-US" w:eastAsia="zh-CN"/>
                    </w:rPr>
                    <w:t>2台</w:t>
                  </w:r>
                  <w:r>
                    <w:rPr>
                      <w:rFonts w:hint="eastAsia" w:ascii="Times New Roman" w:hAnsi="Times New Roman" w:cs="Times New Roman"/>
                      <w:sz w:val="18"/>
                      <w:szCs w:val="18"/>
                      <w:lang w:eastAsia="zh-CN"/>
                    </w:rPr>
                    <w:t>）</w:t>
                  </w:r>
                </w:p>
              </w:tc>
              <w:tc>
                <w:tcPr>
                  <w:tcW w:w="276" w:type="pct"/>
                  <w:vAlign w:val="center"/>
                </w:tcPr>
                <w:p>
                  <w:pPr>
                    <w:widowControl/>
                    <w:autoSpaceDE w:val="0"/>
                    <w:autoSpaceDN w:val="0"/>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val="en-US" w:eastAsia="zh-CN"/>
                    </w:rPr>
                    <w:t>80</w:t>
                  </w:r>
                  <w:r>
                    <w:rPr>
                      <w:rFonts w:hint="eastAsia" w:ascii="Times New Roman" w:hAnsi="Times New Roman" w:cs="Times New Roman"/>
                      <w:sz w:val="18"/>
                      <w:szCs w:val="18"/>
                      <w:lang w:eastAsia="en-US"/>
                    </w:rPr>
                    <w:t>/1</w:t>
                  </w:r>
                </w:p>
              </w:tc>
              <w:tc>
                <w:tcPr>
                  <w:tcW w:w="225" w:type="pct"/>
                  <w:vMerge w:val="continue"/>
                  <w:vAlign w:val="center"/>
                </w:tcPr>
                <w:p>
                  <w:pPr>
                    <w:autoSpaceDE/>
                    <w:autoSpaceDN/>
                    <w:jc w:val="center"/>
                    <w:rPr>
                      <w:rFonts w:ascii="Times New Roman" w:hAnsi="Times New Roman" w:cs="Times New Roman"/>
                      <w:sz w:val="18"/>
                      <w:szCs w:val="18"/>
                      <w:lang w:eastAsia="en-US"/>
                    </w:rPr>
                  </w:pPr>
                </w:p>
              </w:tc>
              <w:tc>
                <w:tcPr>
                  <w:tcW w:w="648" w:type="dxa"/>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-4.4</w:t>
                  </w:r>
                </w:p>
              </w:tc>
              <w:tc>
                <w:tcPr>
                  <w:tcW w:w="672" w:type="dxa"/>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-14.6</w:t>
                  </w:r>
                </w:p>
              </w:tc>
              <w:tc>
                <w:tcPr>
                  <w:tcW w:w="732" w:type="dxa"/>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1.5</w:t>
                  </w:r>
                </w:p>
              </w:tc>
              <w:tc>
                <w:tcPr>
                  <w:tcW w:w="558"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声屏障-1：3.8</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声屏障-2：11.7</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声屏障-3：9.0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声屏障-4：19.7</w:t>
                  </w:r>
                </w:p>
              </w:tc>
              <w:tc>
                <w:tcPr>
                  <w:tcW w:w="617"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声屏障-1：81.1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声屏障-2：81.0</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声屏障-3：81.0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声屏障-4：81.0</w:t>
                  </w:r>
                </w:p>
              </w:tc>
              <w:tc>
                <w:tcPr>
                  <w:tcW w:w="265"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24h</w:t>
                  </w:r>
                </w:p>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运行</w:t>
                  </w:r>
                </w:p>
              </w:tc>
              <w:tc>
                <w:tcPr>
                  <w:tcW w:w="283"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val="en-US" w:eastAsia="zh-CN"/>
                    </w:rPr>
                    <w:t>20</w:t>
                  </w:r>
                </w:p>
              </w:tc>
              <w:tc>
                <w:tcPr>
                  <w:tcW w:w="473" w:type="pct"/>
                  <w:vAlign w:val="center"/>
                </w:tcPr>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声屏障-1：35.1</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声屏障-2：35.0</w:t>
                  </w:r>
                </w:p>
                <w:p>
                  <w:pPr>
                    <w:widowControl/>
                    <w:autoSpaceDE w:val="0"/>
                    <w:autoSpaceDN w:val="0"/>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声屏障-3：35.0</w:t>
                  </w:r>
                </w:p>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声屏障-4：35.0</w:t>
                  </w:r>
                </w:p>
              </w:tc>
              <w:tc>
                <w:tcPr>
                  <w:tcW w:w="199"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hint="eastAsia" w:ascii="Times New Roman" w:hAnsi="Times New Roman" w:cs="Times New Roman"/>
                      <w:sz w:val="18"/>
                      <w:szCs w:val="18"/>
                      <w:lang w:eastAsia="en-US"/>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233" w:type="pct"/>
                  <w:vAlign w:val="center"/>
                </w:tcPr>
                <w:p>
                  <w:pPr>
                    <w:autoSpaceDE/>
                    <w:autoSpaceDN/>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6</w:t>
                  </w:r>
                </w:p>
              </w:tc>
              <w:tc>
                <w:tcPr>
                  <w:tcW w:w="215" w:type="pct"/>
                  <w:vMerge w:val="continue"/>
                  <w:vAlign w:val="center"/>
                </w:tcPr>
                <w:p>
                  <w:pPr>
                    <w:autoSpaceDE/>
                    <w:autoSpaceDN/>
                    <w:jc w:val="center"/>
                    <w:rPr>
                      <w:rFonts w:ascii="Times New Roman" w:hAnsi="Times New Roman" w:cs="Times New Roman"/>
                      <w:sz w:val="18"/>
                      <w:szCs w:val="18"/>
                      <w:lang w:eastAsia="en-US"/>
                    </w:rPr>
                  </w:pPr>
                </w:p>
              </w:tc>
              <w:tc>
                <w:tcPr>
                  <w:tcW w:w="431" w:type="pct"/>
                  <w:vAlign w:val="center"/>
                </w:tcPr>
                <w:p>
                  <w:pPr>
                    <w:autoSpaceDE w:val="0"/>
                    <w:autoSpaceDN w:val="0"/>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打卷机（点声源组</w:t>
                  </w:r>
                  <w:r>
                    <w:rPr>
                      <w:rFonts w:hint="eastAsia" w:cs="Times New Roman"/>
                      <w:sz w:val="18"/>
                      <w:szCs w:val="18"/>
                      <w:lang w:eastAsia="zh-CN"/>
                    </w:rPr>
                    <w:t>，</w:t>
                  </w:r>
                  <w:r>
                    <w:rPr>
                      <w:rFonts w:hint="eastAsia" w:cs="Times New Roman"/>
                      <w:sz w:val="18"/>
                      <w:szCs w:val="18"/>
                      <w:lang w:val="en-US" w:eastAsia="zh-CN"/>
                    </w:rPr>
                    <w:t>10台</w:t>
                  </w:r>
                  <w:r>
                    <w:rPr>
                      <w:rFonts w:hint="eastAsia" w:ascii="Times New Roman" w:hAnsi="Times New Roman" w:cs="Times New Roman"/>
                      <w:sz w:val="18"/>
                      <w:szCs w:val="18"/>
                      <w:lang w:eastAsia="zh-CN"/>
                    </w:rPr>
                    <w:t>）</w:t>
                  </w:r>
                </w:p>
              </w:tc>
              <w:tc>
                <w:tcPr>
                  <w:tcW w:w="276" w:type="pct"/>
                  <w:vAlign w:val="center"/>
                </w:tcPr>
                <w:p>
                  <w:pPr>
                    <w:widowControl/>
                    <w:autoSpaceDE w:val="0"/>
                    <w:autoSpaceDN w:val="0"/>
                    <w:jc w:val="center"/>
                    <w:textAlignment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w:t>
                  </w:r>
                </w:p>
              </w:tc>
              <w:tc>
                <w:tcPr>
                  <w:tcW w:w="449" w:type="pct"/>
                  <w:vAlign w:val="center"/>
                </w:tcPr>
                <w:p>
                  <w:pPr>
                    <w:widowControl/>
                    <w:autoSpaceDE w:val="0"/>
                    <w:autoSpaceDN w:val="0"/>
                    <w:jc w:val="center"/>
                    <w:textAlignment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75/1</w:t>
                  </w:r>
                </w:p>
              </w:tc>
              <w:tc>
                <w:tcPr>
                  <w:tcW w:w="225" w:type="pct"/>
                  <w:vMerge w:val="continue"/>
                  <w:vAlign w:val="center"/>
                </w:tcPr>
                <w:p>
                  <w:pPr>
                    <w:autoSpaceDE/>
                    <w:autoSpaceDN/>
                    <w:jc w:val="center"/>
                    <w:rPr>
                      <w:rFonts w:ascii="Times New Roman" w:hAnsi="Times New Roman" w:cs="Times New Roman"/>
                      <w:sz w:val="18"/>
                      <w:szCs w:val="18"/>
                      <w:lang w:eastAsia="en-US"/>
                    </w:rPr>
                  </w:pPr>
                </w:p>
              </w:tc>
              <w:tc>
                <w:tcPr>
                  <w:tcW w:w="243" w:type="pct"/>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bCs/>
                      <w:color w:val="auto"/>
                      <w:kern w:val="2"/>
                      <w:sz w:val="18"/>
                      <w:szCs w:val="18"/>
                      <w:highlight w:val="none"/>
                      <w:lang w:val="en-US" w:eastAsia="zh-CN" w:bidi="ar-SA"/>
                    </w:rPr>
                  </w:pPr>
                  <w:r>
                    <w:rPr>
                      <w:rFonts w:hint="eastAsia" w:eastAsia="宋体" w:cs="Times New Roman"/>
                      <w:color w:val="auto"/>
                      <w:kern w:val="0"/>
                      <w:sz w:val="18"/>
                      <w:szCs w:val="18"/>
                      <w:highlight w:val="none"/>
                      <w:lang w:val="en-US" w:eastAsia="zh-CN"/>
                    </w:rPr>
                    <w:t>5</w:t>
                  </w:r>
                </w:p>
              </w:tc>
              <w:tc>
                <w:tcPr>
                  <w:tcW w:w="252" w:type="pct"/>
                  <w:vAlign w:val="center"/>
                </w:tcPr>
                <w:p>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highlight w:val="none"/>
                      <w:lang w:val="en-US" w:eastAsia="zh-CN" w:bidi="ar-SA"/>
                    </w:rPr>
                  </w:pPr>
                  <w:r>
                    <w:rPr>
                      <w:rFonts w:hint="eastAsia" w:eastAsia="宋体" w:cs="Times New Roman"/>
                      <w:color w:val="auto"/>
                      <w:kern w:val="0"/>
                      <w:sz w:val="18"/>
                      <w:szCs w:val="18"/>
                      <w:highlight w:val="none"/>
                      <w:lang w:val="en-US" w:eastAsia="zh-CN"/>
                    </w:rPr>
                    <w:t>5.6</w:t>
                  </w:r>
                </w:p>
              </w:tc>
              <w:tc>
                <w:tcPr>
                  <w:tcW w:w="274" w:type="pct"/>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bCs/>
                      <w:color w:val="auto"/>
                      <w:kern w:val="2"/>
                      <w:sz w:val="18"/>
                      <w:szCs w:val="18"/>
                      <w:highlight w:val="none"/>
                      <w:lang w:val="en-US" w:eastAsia="en-US" w:bidi="ar-SA"/>
                    </w:rPr>
                  </w:pPr>
                  <w:r>
                    <w:rPr>
                      <w:rFonts w:hint="default" w:ascii="Times New Roman" w:hAnsi="Times New Roman" w:eastAsia="Arial" w:cs="Times New Roman"/>
                      <w:color w:val="auto"/>
                      <w:kern w:val="0"/>
                      <w:sz w:val="18"/>
                      <w:szCs w:val="18"/>
                      <w:highlight w:val="none"/>
                    </w:rPr>
                    <w:t>1.2</w:t>
                  </w:r>
                </w:p>
              </w:tc>
              <w:tc>
                <w:tcPr>
                  <w:tcW w:w="558" w:type="pct"/>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-1</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2.20</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-2</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13.70</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-3</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41.40</w:t>
                  </w:r>
                </w:p>
                <w:p>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bCs/>
                      <w:color w:val="auto"/>
                      <w:kern w:val="2"/>
                      <w:sz w:val="18"/>
                      <w:szCs w:val="18"/>
                      <w:highlight w:val="none"/>
                      <w:lang w:val="en-US" w:eastAsia="en-US" w:bidi="ar-SA"/>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-4</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18.60</w:t>
                  </w:r>
                </w:p>
              </w:tc>
              <w:tc>
                <w:tcPr>
                  <w:tcW w:w="617" w:type="pct"/>
                  <w:vAlign w:val="center"/>
                </w:tcPr>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-1</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61.20</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-2</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61.03</w:t>
                  </w:r>
                </w:p>
                <w:p>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-3</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61.02</w:t>
                  </w:r>
                </w:p>
                <w:p>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bCs/>
                      <w:color w:val="auto"/>
                      <w:kern w:val="2"/>
                      <w:sz w:val="18"/>
                      <w:szCs w:val="18"/>
                      <w:highlight w:val="none"/>
                      <w:lang w:val="en-US" w:eastAsia="en-US" w:bidi="ar-SA"/>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-4</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61.02</w:t>
                  </w:r>
                </w:p>
              </w:tc>
              <w:tc>
                <w:tcPr>
                  <w:tcW w:w="265" w:type="pct"/>
                  <w:vAlign w:val="center"/>
                </w:tcPr>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24h</w:t>
                  </w:r>
                </w:p>
                <w:p>
                  <w:pPr>
                    <w:widowControl/>
                    <w:autoSpaceDE w:val="0"/>
                    <w:autoSpaceDN w:val="0"/>
                    <w:jc w:val="center"/>
                    <w:textAlignment w:val="center"/>
                    <w:rPr>
                      <w:rFonts w:ascii="Times New Roman" w:hAnsi="Times New Roman" w:cs="Times New Roman"/>
                      <w:sz w:val="18"/>
                      <w:szCs w:val="18"/>
                      <w:lang w:eastAsia="en-US"/>
                    </w:rPr>
                  </w:pPr>
                  <w:r>
                    <w:rPr>
                      <w:rFonts w:ascii="Times New Roman" w:hAnsi="Times New Roman" w:cs="Times New Roman"/>
                      <w:sz w:val="18"/>
                      <w:szCs w:val="18"/>
                      <w:lang w:eastAsia="en-US"/>
                    </w:rPr>
                    <w:t>运行</w:t>
                  </w:r>
                </w:p>
              </w:tc>
              <w:tc>
                <w:tcPr>
                  <w:tcW w:w="283" w:type="pct"/>
                  <w:vAlign w:val="center"/>
                </w:tcPr>
                <w:p>
                  <w:pPr>
                    <w:widowControl/>
                    <w:autoSpaceDE w:val="0"/>
                    <w:autoSpaceDN w:val="0"/>
                    <w:jc w:val="center"/>
                    <w:textAlignment w:val="center"/>
                    <w:rPr>
                      <w:rFonts w:hint="eastAsia" w:ascii="Times New Roman" w:hAnsi="Times New Roman" w:cs="Times New Roman"/>
                      <w:sz w:val="18"/>
                      <w:szCs w:val="18"/>
                      <w:lang w:eastAsia="en-US"/>
                    </w:rPr>
                  </w:pPr>
                  <w:r>
                    <w:rPr>
                      <w:rFonts w:hint="eastAsia" w:ascii="Times New Roman" w:hAnsi="Times New Roman" w:cs="Times New Roman"/>
                      <w:sz w:val="18"/>
                      <w:szCs w:val="18"/>
                      <w:lang w:val="en-US" w:eastAsia="zh-CN"/>
                    </w:rPr>
                    <w:t>20</w:t>
                  </w:r>
                </w:p>
              </w:tc>
              <w:tc>
                <w:tcPr>
                  <w:tcW w:w="473" w:type="pct"/>
                  <w:vAlign w:val="center"/>
                </w:tcPr>
                <w:p>
                  <w:pPr>
                    <w:keepNext w:val="0"/>
                    <w:keepLines w:val="0"/>
                    <w:suppressLineNumbers w:val="0"/>
                    <w:autoSpaceDE w:val="0"/>
                    <w:autoSpaceDN w:val="0"/>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-1</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41.20</w:t>
                  </w:r>
                </w:p>
                <w:p>
                  <w:pPr>
                    <w:keepNext w:val="0"/>
                    <w:keepLines w:val="0"/>
                    <w:suppressLineNumbers w:val="0"/>
                    <w:autoSpaceDE w:val="0"/>
                    <w:autoSpaceDN w:val="0"/>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-2</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41.03</w:t>
                  </w:r>
                </w:p>
                <w:p>
                  <w:pPr>
                    <w:keepNext w:val="0"/>
                    <w:keepLines w:val="0"/>
                    <w:suppressLineNumbers w:val="0"/>
                    <w:autoSpaceDE w:val="0"/>
                    <w:autoSpaceDN w:val="0"/>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-3</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41.02</w:t>
                  </w:r>
                </w:p>
                <w:p>
                  <w:pPr>
                    <w:widowControl/>
                    <w:autoSpaceDE w:val="0"/>
                    <w:autoSpaceDN w:val="0"/>
                    <w:jc w:val="center"/>
                    <w:textAlignment w:val="center"/>
                    <w:rPr>
                      <w:rFonts w:hint="eastAsia" w:ascii="Times New Roman" w:hAnsi="Times New Roman" w:eastAsia="宋体" w:cs="Times New Roman"/>
                      <w:kern w:val="2"/>
                      <w:sz w:val="18"/>
                      <w:szCs w:val="18"/>
                      <w:lang w:val="en-US" w:eastAsia="en-US" w:bidi="ar-SA"/>
                    </w:rPr>
                  </w:pPr>
                  <w:r>
                    <w:rPr>
                      <w:rFonts w:hint="default" w:ascii="Times New Roman" w:hAnsi="Arial" w:eastAsia="Arial" w:cs="Times New Roman"/>
                      <w:color w:val="auto"/>
                      <w:kern w:val="0"/>
                      <w:sz w:val="18"/>
                      <w:szCs w:val="18"/>
                      <w:highlight w:val="none"/>
                    </w:rPr>
                    <w:t>声屏障</w:t>
                  </w:r>
                  <w:r>
                    <w:rPr>
                      <w:rFonts w:hint="default" w:ascii="Times New Roman" w:hAnsi="Times New Roman" w:eastAsia="Arial" w:cs="Times New Roman"/>
                      <w:color w:val="auto"/>
                      <w:kern w:val="0"/>
                      <w:sz w:val="18"/>
                      <w:szCs w:val="18"/>
                      <w:highlight w:val="none"/>
                    </w:rPr>
                    <w:t>-4</w:t>
                  </w:r>
                  <w:r>
                    <w:rPr>
                      <w:rFonts w:hint="default" w:ascii="Times New Roman" w:hAnsi="Arial" w:eastAsia="Arial" w:cs="Times New Roman"/>
                      <w:color w:val="auto"/>
                      <w:kern w:val="0"/>
                      <w:sz w:val="18"/>
                      <w:szCs w:val="18"/>
                      <w:highlight w:val="none"/>
                    </w:rPr>
                    <w:t>：</w:t>
                  </w:r>
                  <w:r>
                    <w:rPr>
                      <w:rFonts w:hint="default" w:ascii="Times New Roman" w:hAnsi="Times New Roman" w:eastAsia="Arial" w:cs="Times New Roman"/>
                      <w:color w:val="auto"/>
                      <w:kern w:val="0"/>
                      <w:sz w:val="18"/>
                      <w:szCs w:val="18"/>
                      <w:highlight w:val="none"/>
                    </w:rPr>
                    <w:t>41.02</w:t>
                  </w:r>
                </w:p>
              </w:tc>
              <w:tc>
                <w:tcPr>
                  <w:tcW w:w="199" w:type="pct"/>
                  <w:vAlign w:val="center"/>
                </w:tcPr>
                <w:p>
                  <w:pPr>
                    <w:widowControl/>
                    <w:autoSpaceDE w:val="0"/>
                    <w:autoSpaceDN w:val="0"/>
                    <w:jc w:val="center"/>
                    <w:textAlignment w:val="center"/>
                    <w:rPr>
                      <w:rFonts w:hint="eastAsia" w:ascii="Times New Roman" w:hAnsi="Times New Roman" w:eastAsia="宋体" w:cs="Times New Roman"/>
                      <w:kern w:val="2"/>
                      <w:sz w:val="18"/>
                      <w:szCs w:val="18"/>
                      <w:lang w:val="en-US" w:eastAsia="en-US" w:bidi="ar-SA"/>
                    </w:rPr>
                  </w:pPr>
                </w:p>
              </w:tc>
            </w:tr>
          </w:tbl>
          <w:p>
            <w:pPr>
              <w:spacing w:line="500" w:lineRule="exact"/>
              <w:jc w:val="center"/>
              <w:rPr>
                <w:rFonts w:hint="eastAsia"/>
                <w:b/>
                <w:bCs w:val="0"/>
                <w:sz w:val="24"/>
              </w:rPr>
            </w:pPr>
          </w:p>
          <w:p>
            <w:pPr>
              <w:spacing w:line="500" w:lineRule="exact"/>
              <w:jc w:val="center"/>
              <w:rPr>
                <w:rFonts w:hint="eastAsia"/>
                <w:b/>
                <w:bCs w:val="0"/>
                <w:sz w:val="24"/>
              </w:rPr>
            </w:pPr>
          </w:p>
          <w:p>
            <w:pPr>
              <w:spacing w:line="500" w:lineRule="exact"/>
              <w:jc w:val="center"/>
              <w:rPr>
                <w:rFonts w:hint="eastAsia"/>
                <w:b/>
                <w:bCs w:val="0"/>
                <w:sz w:val="21"/>
                <w:szCs w:val="21"/>
                <w:lang w:val="en-US" w:eastAsia="zh-CN"/>
              </w:rPr>
            </w:pPr>
            <w:r>
              <w:rPr>
                <w:rFonts w:hint="eastAsia"/>
                <w:b/>
                <w:bCs w:val="0"/>
                <w:sz w:val="21"/>
                <w:szCs w:val="21"/>
              </w:rPr>
              <w:t>表</w:t>
            </w:r>
            <w:r>
              <w:rPr>
                <w:rFonts w:hint="eastAsia"/>
                <w:b/>
                <w:bCs w:val="0"/>
                <w:sz w:val="21"/>
                <w:szCs w:val="21"/>
                <w:lang w:val="en-US" w:eastAsia="zh-CN"/>
              </w:rPr>
              <w:t>4.4-2  噪声源强调查清单（室外声源）</w:t>
            </w:r>
          </w:p>
          <w:tbl>
            <w:tblPr>
              <w:tblStyle w:val="40"/>
              <w:tblW w:w="13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232"/>
              <w:gridCol w:w="627"/>
              <w:gridCol w:w="753"/>
              <w:gridCol w:w="615"/>
              <w:gridCol w:w="3665"/>
              <w:gridCol w:w="1841"/>
              <w:gridCol w:w="2332"/>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序号</w:t>
                  </w:r>
                </w:p>
              </w:tc>
              <w:tc>
                <w:tcPr>
                  <w:tcW w:w="1232" w:type="dxa"/>
                  <w:vMerge w:val="restart"/>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声源名称</w:t>
                  </w:r>
                </w:p>
              </w:tc>
              <w:tc>
                <w:tcPr>
                  <w:tcW w:w="1995" w:type="dxa"/>
                  <w:gridSpan w:val="3"/>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空间相对位置/m</w:t>
                  </w:r>
                </w:p>
              </w:tc>
              <w:tc>
                <w:tcPr>
                  <w:tcW w:w="5506" w:type="dxa"/>
                  <w:gridSpan w:val="2"/>
                  <w:noWrap w:val="0"/>
                  <w:vAlign w:val="center"/>
                </w:tcPr>
                <w:p>
                  <w:pPr>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声源源强（任选一种）</w:t>
                  </w:r>
                </w:p>
              </w:tc>
              <w:tc>
                <w:tcPr>
                  <w:tcW w:w="2332" w:type="dxa"/>
                  <w:vMerge w:val="restart"/>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声源控制措施</w:t>
                  </w:r>
                </w:p>
              </w:tc>
              <w:tc>
                <w:tcPr>
                  <w:tcW w:w="1233" w:type="dxa"/>
                  <w:vMerge w:val="restart"/>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shd w:val="clear" w:color="auto" w:fill="FFFFFF"/>
                  <w:noWrap w:val="0"/>
                  <w:vAlign w:val="center"/>
                </w:tcPr>
                <w:p>
                  <w:pPr>
                    <w:jc w:val="center"/>
                    <w:rPr>
                      <w:rFonts w:hint="default" w:ascii="Times New Roman" w:hAnsi="Times New Roman" w:eastAsia="宋体" w:cs="Times New Roman"/>
                      <w:b w:val="0"/>
                      <w:bCs/>
                      <w:sz w:val="21"/>
                      <w:szCs w:val="21"/>
                    </w:rPr>
                  </w:pPr>
                </w:p>
              </w:tc>
              <w:tc>
                <w:tcPr>
                  <w:tcW w:w="1232" w:type="dxa"/>
                  <w:vMerge w:val="continue"/>
                  <w:shd w:val="clear" w:color="auto" w:fill="FFFFFF"/>
                  <w:noWrap w:val="0"/>
                  <w:vAlign w:val="center"/>
                </w:tcPr>
                <w:p>
                  <w:pPr>
                    <w:jc w:val="center"/>
                    <w:rPr>
                      <w:rFonts w:hint="default" w:ascii="Times New Roman" w:hAnsi="Times New Roman" w:eastAsia="宋体" w:cs="Times New Roman"/>
                      <w:b w:val="0"/>
                      <w:bCs/>
                      <w:sz w:val="21"/>
                      <w:szCs w:val="21"/>
                    </w:rPr>
                  </w:pPr>
                </w:p>
              </w:tc>
              <w:tc>
                <w:tcPr>
                  <w:tcW w:w="627" w:type="dxa"/>
                  <w:shd w:val="clear" w:color="auto" w:fill="FFFFFF"/>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X</w:t>
                  </w:r>
                </w:p>
              </w:tc>
              <w:tc>
                <w:tcPr>
                  <w:tcW w:w="753" w:type="dxa"/>
                  <w:shd w:val="clear" w:color="auto" w:fill="FFFFFF"/>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Y</w:t>
                  </w:r>
                </w:p>
              </w:tc>
              <w:tc>
                <w:tcPr>
                  <w:tcW w:w="615" w:type="dxa"/>
                  <w:shd w:val="clear" w:color="auto" w:fill="FFFFFF"/>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Z</w:t>
                  </w:r>
                </w:p>
              </w:tc>
              <w:tc>
                <w:tcPr>
                  <w:tcW w:w="3665" w:type="dxa"/>
                  <w:shd w:val="clear" w:color="auto" w:fill="FFFFFF"/>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（声压级/距声源距离）/（dB(A)/m）</w:t>
                  </w:r>
                </w:p>
              </w:tc>
              <w:tc>
                <w:tcPr>
                  <w:tcW w:w="1841" w:type="dxa"/>
                  <w:shd w:val="clear" w:color="auto" w:fill="FFFFFF"/>
                  <w:noWrap w:val="0"/>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声功率级/dB(A)</w:t>
                  </w:r>
                </w:p>
              </w:tc>
              <w:tc>
                <w:tcPr>
                  <w:tcW w:w="2332" w:type="dxa"/>
                  <w:vMerge w:val="continue"/>
                  <w:shd w:val="clear" w:color="auto" w:fill="FFFFFF"/>
                  <w:noWrap w:val="0"/>
                  <w:vAlign w:val="center"/>
                </w:tcPr>
                <w:p>
                  <w:pPr>
                    <w:jc w:val="center"/>
                    <w:rPr>
                      <w:rFonts w:hint="default" w:ascii="Times New Roman" w:hAnsi="Times New Roman" w:eastAsia="宋体" w:cs="Times New Roman"/>
                      <w:b w:val="0"/>
                      <w:bCs/>
                      <w:sz w:val="21"/>
                      <w:szCs w:val="21"/>
                    </w:rPr>
                  </w:pPr>
                </w:p>
              </w:tc>
              <w:tc>
                <w:tcPr>
                  <w:tcW w:w="1233" w:type="dxa"/>
                  <w:vMerge w:val="continue"/>
                  <w:shd w:val="clear" w:color="auto" w:fill="FFFFFF"/>
                  <w:noWrap w:val="0"/>
                  <w:vAlign w:val="center"/>
                </w:tcPr>
                <w:p>
                  <w:pPr>
                    <w:jc w:val="center"/>
                    <w:rPr>
                      <w:rFonts w:hint="default" w:ascii="Times New Roman" w:hAnsi="Times New Roman" w:eastAsia="宋体" w:cs="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741" w:type="dxa"/>
                  <w:shd w:val="clear" w:color="auto" w:fill="FFFFFF"/>
                  <w:noWrap w:val="0"/>
                  <w:vAlign w:val="center"/>
                </w:tcPr>
                <w:p>
                  <w:pPr>
                    <w:jc w:val="center"/>
                    <w:rPr>
                      <w:rFonts w:hint="default" w:ascii="Times New Roman" w:hAnsi="Times New Roman" w:eastAsia="宋体" w:cs="Times New Roman"/>
                      <w:b w:val="0"/>
                      <w:bCs/>
                    </w:rPr>
                  </w:pPr>
                  <w:r>
                    <w:rPr>
                      <w:rFonts w:hint="default" w:ascii="Times New Roman" w:hAnsi="Times New Roman" w:eastAsia="宋体" w:cs="Times New Roman"/>
                      <w:b w:val="0"/>
                      <w:bCs/>
                      <w:sz w:val="20"/>
                    </w:rPr>
                    <w:t>1</w:t>
                  </w:r>
                </w:p>
              </w:tc>
              <w:tc>
                <w:tcPr>
                  <w:tcW w:w="1232" w:type="dxa"/>
                  <w:shd w:val="clear" w:color="auto" w:fill="FFFFFF"/>
                  <w:noWrap w:val="0"/>
                  <w:vAlign w:val="center"/>
                </w:tcPr>
                <w:p>
                  <w:pPr>
                    <w:jc w:val="center"/>
                    <w:rPr>
                      <w:rFonts w:hint="default" w:ascii="Times New Roman" w:hAnsi="Times New Roman" w:eastAsia="宋体" w:cs="Times New Roman"/>
                      <w:b w:val="0"/>
                      <w:bCs/>
                      <w:lang w:val="en-US" w:eastAsia="zh-CN"/>
                    </w:rPr>
                  </w:pPr>
                  <w:r>
                    <w:rPr>
                      <w:rFonts w:hint="eastAsia" w:ascii="Times New Roman" w:hAnsi="Times New Roman" w:cs="Times New Roman"/>
                      <w:b w:val="0"/>
                      <w:bCs/>
                      <w:lang w:val="en-US" w:eastAsia="zh-CN"/>
                    </w:rPr>
                    <w:t>TA001</w:t>
                  </w:r>
                </w:p>
              </w:tc>
              <w:tc>
                <w:tcPr>
                  <w:tcW w:w="627" w:type="dxa"/>
                  <w:shd w:val="clear" w:color="auto" w:fill="FFFFFF"/>
                  <w:noWrap w:val="0"/>
                  <w:vAlign w:val="center"/>
                </w:tcPr>
                <w:p>
                  <w:pPr>
                    <w:jc w:val="center"/>
                    <w:rPr>
                      <w:rFonts w:hint="default" w:ascii="Times New Roman" w:hAnsi="Times New Roman" w:eastAsia="宋体" w:cs="Times New Roman"/>
                      <w:b w:val="0"/>
                      <w:bCs/>
                    </w:rPr>
                  </w:pPr>
                  <w:r>
                    <w:rPr>
                      <w:rFonts w:hint="default" w:ascii="Times New Roman" w:hAnsi="Times New Roman" w:eastAsia="宋体" w:cs="Times New Roman"/>
                      <w:b w:val="0"/>
                      <w:bCs/>
                      <w:sz w:val="20"/>
                    </w:rPr>
                    <w:t>-10</w:t>
                  </w:r>
                </w:p>
              </w:tc>
              <w:tc>
                <w:tcPr>
                  <w:tcW w:w="753" w:type="dxa"/>
                  <w:shd w:val="clear" w:color="auto" w:fill="FFFFFF"/>
                  <w:noWrap w:val="0"/>
                  <w:vAlign w:val="center"/>
                </w:tcPr>
                <w:p>
                  <w:pPr>
                    <w:jc w:val="center"/>
                    <w:rPr>
                      <w:rFonts w:hint="default" w:ascii="Times New Roman" w:hAnsi="Times New Roman" w:eastAsia="宋体" w:cs="Times New Roman"/>
                      <w:b w:val="0"/>
                      <w:bCs/>
                    </w:rPr>
                  </w:pPr>
                  <w:r>
                    <w:rPr>
                      <w:rFonts w:hint="default" w:ascii="Times New Roman" w:hAnsi="Times New Roman" w:eastAsia="宋体" w:cs="Times New Roman"/>
                      <w:b w:val="0"/>
                      <w:bCs/>
                      <w:sz w:val="20"/>
                    </w:rPr>
                    <w:t>46.1</w:t>
                  </w:r>
                </w:p>
              </w:tc>
              <w:tc>
                <w:tcPr>
                  <w:tcW w:w="615" w:type="dxa"/>
                  <w:shd w:val="clear" w:color="auto" w:fill="FFFFFF"/>
                  <w:noWrap w:val="0"/>
                  <w:vAlign w:val="center"/>
                </w:tcPr>
                <w:p>
                  <w:pPr>
                    <w:jc w:val="center"/>
                    <w:rPr>
                      <w:rFonts w:hint="default" w:ascii="Times New Roman" w:hAnsi="Times New Roman" w:eastAsia="宋体" w:cs="Times New Roman"/>
                      <w:b w:val="0"/>
                      <w:bCs/>
                      <w:lang w:val="en-US" w:eastAsia="zh-CN"/>
                    </w:rPr>
                  </w:pPr>
                  <w:r>
                    <w:rPr>
                      <w:rFonts w:hint="eastAsia" w:ascii="Times New Roman" w:hAnsi="Times New Roman" w:cs="Times New Roman"/>
                      <w:b w:val="0"/>
                      <w:bCs/>
                      <w:sz w:val="20"/>
                      <w:lang w:val="en-US" w:eastAsia="zh-CN"/>
                    </w:rPr>
                    <w:t>1.3</w:t>
                  </w:r>
                </w:p>
              </w:tc>
              <w:tc>
                <w:tcPr>
                  <w:tcW w:w="3665" w:type="dxa"/>
                  <w:shd w:val="clear" w:color="auto" w:fill="FFFFFF"/>
                  <w:noWrap w:val="0"/>
                  <w:vAlign w:val="center"/>
                </w:tcPr>
                <w:p>
                  <w:pPr>
                    <w:jc w:val="center"/>
                    <w:rPr>
                      <w:rFonts w:hint="default" w:ascii="Times New Roman" w:hAnsi="Times New Roman" w:eastAsia="宋体" w:cs="Times New Roman"/>
                      <w:b w:val="0"/>
                      <w:bCs/>
                    </w:rPr>
                  </w:pPr>
                  <w:r>
                    <w:rPr>
                      <w:rFonts w:hint="default" w:ascii="Times New Roman" w:hAnsi="Times New Roman" w:eastAsia="宋体" w:cs="Times New Roman"/>
                      <w:b w:val="0"/>
                      <w:bCs/>
                      <w:sz w:val="20"/>
                    </w:rPr>
                    <w:t>76/1</w:t>
                  </w:r>
                </w:p>
              </w:tc>
              <w:tc>
                <w:tcPr>
                  <w:tcW w:w="1841" w:type="dxa"/>
                  <w:shd w:val="clear" w:color="auto" w:fill="FFFFFF"/>
                  <w:noWrap w:val="0"/>
                  <w:vAlign w:val="center"/>
                </w:tcPr>
                <w:p>
                  <w:pPr>
                    <w:jc w:val="center"/>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w:t>
                  </w:r>
                </w:p>
              </w:tc>
              <w:tc>
                <w:tcPr>
                  <w:tcW w:w="2332" w:type="dxa"/>
                  <w:vMerge w:val="restart"/>
                  <w:shd w:val="clear" w:color="auto" w:fill="FFFFFF"/>
                  <w:noWrap w:val="0"/>
                  <w:vAlign w:val="center"/>
                </w:tcPr>
                <w:p>
                  <w:pPr>
                    <w:jc w:val="center"/>
                    <w:rPr>
                      <w:rFonts w:hint="default" w:ascii="Times New Roman" w:hAnsi="Times New Roman" w:eastAsia="宋体" w:cs="Times New Roman"/>
                      <w:b w:val="0"/>
                      <w:bCs/>
                    </w:rPr>
                  </w:pPr>
                  <w:r>
                    <w:rPr>
                      <w:rFonts w:hint="default" w:ascii="Times New Roman" w:hAnsi="Times New Roman" w:eastAsia="宋体" w:cs="Times New Roman"/>
                      <w:b w:val="0"/>
                      <w:bCs/>
                    </w:rPr>
                    <w:t>加强设备维护，并加装减振垫，利用周边绿化吸声降噪。</w:t>
                  </w:r>
                </w:p>
              </w:tc>
              <w:tc>
                <w:tcPr>
                  <w:tcW w:w="1233" w:type="dxa"/>
                  <w:vMerge w:val="restart"/>
                  <w:shd w:val="clear" w:color="auto" w:fill="FFFFFF"/>
                  <w:noWrap w:val="0"/>
                  <w:vAlign w:val="center"/>
                </w:tcPr>
                <w:p>
                  <w:pPr>
                    <w:jc w:val="center"/>
                    <w:rPr>
                      <w:rFonts w:hint="default" w:ascii="Times New Roman" w:hAnsi="Times New Roman" w:eastAsia="宋体" w:cs="Times New Roman"/>
                      <w:b w:val="0"/>
                      <w:bCs/>
                      <w:lang w:val="en-US" w:eastAsia="zh-CN"/>
                    </w:rPr>
                  </w:pPr>
                  <w:r>
                    <w:rPr>
                      <w:rFonts w:hint="eastAsia" w:ascii="Times New Roman" w:hAnsi="Times New Roman" w:cs="Times New Roman"/>
                      <w:b w:val="0"/>
                      <w:bCs/>
                      <w:lang w:val="en-US" w:eastAsia="zh-CN"/>
                    </w:rPr>
                    <w:t>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741" w:type="dxa"/>
                  <w:shd w:val="clear" w:color="auto" w:fill="FFFFFF"/>
                  <w:noWrap w:val="0"/>
                  <w:vAlign w:val="center"/>
                </w:tcPr>
                <w:p>
                  <w:pPr>
                    <w:jc w:val="center"/>
                    <w:rPr>
                      <w:rFonts w:hint="eastAsia" w:ascii="Times New Roman" w:hAnsi="Times New Roman" w:eastAsia="宋体" w:cs="Times New Roman"/>
                      <w:b w:val="0"/>
                      <w:bCs/>
                      <w:sz w:val="20"/>
                      <w:lang w:val="en-US" w:eastAsia="zh-CN"/>
                    </w:rPr>
                  </w:pPr>
                  <w:r>
                    <w:rPr>
                      <w:rFonts w:hint="eastAsia" w:ascii="Times New Roman" w:hAnsi="Times New Roman" w:cs="Times New Roman"/>
                      <w:b w:val="0"/>
                      <w:bCs/>
                      <w:sz w:val="20"/>
                      <w:lang w:val="en-US" w:eastAsia="zh-CN"/>
                    </w:rPr>
                    <w:t>2</w:t>
                  </w:r>
                </w:p>
              </w:tc>
              <w:tc>
                <w:tcPr>
                  <w:tcW w:w="1232" w:type="dxa"/>
                  <w:shd w:val="clear" w:color="auto" w:fill="FFFFFF"/>
                  <w:noWrap w:val="0"/>
                  <w:vAlign w:val="center"/>
                </w:tcPr>
                <w:p>
                  <w:pPr>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TA002</w:t>
                  </w:r>
                </w:p>
              </w:tc>
              <w:tc>
                <w:tcPr>
                  <w:tcW w:w="627" w:type="dxa"/>
                  <w:shd w:val="clear" w:color="auto" w:fill="FFFFFF"/>
                  <w:noWrap w:val="0"/>
                  <w:vAlign w:val="center"/>
                </w:tcPr>
                <w:p>
                  <w:pPr>
                    <w:jc w:val="center"/>
                    <w:rPr>
                      <w:rFonts w:hint="default" w:ascii="Times New Roman" w:hAnsi="Times New Roman" w:eastAsia="宋体" w:cs="Times New Roman"/>
                      <w:b w:val="0"/>
                      <w:bCs/>
                      <w:sz w:val="20"/>
                      <w:lang w:val="en-US" w:eastAsia="zh-CN"/>
                    </w:rPr>
                  </w:pPr>
                  <w:r>
                    <w:rPr>
                      <w:rFonts w:hint="eastAsia" w:ascii="Times New Roman" w:hAnsi="Times New Roman" w:cs="Times New Roman"/>
                      <w:b w:val="0"/>
                      <w:bCs/>
                      <w:sz w:val="20"/>
                      <w:lang w:val="en-US" w:eastAsia="zh-CN"/>
                    </w:rPr>
                    <w:t>-12</w:t>
                  </w:r>
                </w:p>
              </w:tc>
              <w:tc>
                <w:tcPr>
                  <w:tcW w:w="753" w:type="dxa"/>
                  <w:shd w:val="clear" w:color="auto" w:fill="FFFFFF"/>
                  <w:noWrap w:val="0"/>
                  <w:vAlign w:val="center"/>
                </w:tcPr>
                <w:p>
                  <w:pPr>
                    <w:jc w:val="center"/>
                    <w:rPr>
                      <w:rFonts w:hint="default" w:ascii="Times New Roman" w:hAnsi="Times New Roman" w:eastAsia="宋体" w:cs="Times New Roman"/>
                      <w:b w:val="0"/>
                      <w:bCs/>
                      <w:sz w:val="20"/>
                      <w:lang w:val="en-US" w:eastAsia="zh-CN"/>
                    </w:rPr>
                  </w:pPr>
                  <w:r>
                    <w:rPr>
                      <w:rFonts w:hint="eastAsia" w:ascii="Times New Roman" w:hAnsi="Times New Roman" w:cs="Times New Roman"/>
                      <w:b w:val="0"/>
                      <w:bCs/>
                      <w:sz w:val="20"/>
                      <w:lang w:val="en-US" w:eastAsia="zh-CN"/>
                    </w:rPr>
                    <w:t>34.5</w:t>
                  </w:r>
                </w:p>
              </w:tc>
              <w:tc>
                <w:tcPr>
                  <w:tcW w:w="615" w:type="dxa"/>
                  <w:shd w:val="clear" w:color="auto" w:fill="FFFFFF"/>
                  <w:noWrap w:val="0"/>
                  <w:vAlign w:val="center"/>
                </w:tcPr>
                <w:p>
                  <w:pPr>
                    <w:jc w:val="center"/>
                    <w:rPr>
                      <w:rFonts w:hint="default" w:ascii="Times New Roman" w:hAnsi="Times New Roman" w:eastAsia="宋体" w:cs="Times New Roman"/>
                      <w:b w:val="0"/>
                      <w:bCs/>
                      <w:sz w:val="20"/>
                      <w:lang w:val="en-US" w:eastAsia="zh-CN"/>
                    </w:rPr>
                  </w:pPr>
                  <w:r>
                    <w:rPr>
                      <w:rFonts w:hint="eastAsia" w:ascii="Times New Roman" w:hAnsi="Times New Roman" w:cs="Times New Roman"/>
                      <w:b w:val="0"/>
                      <w:bCs/>
                      <w:sz w:val="20"/>
                      <w:lang w:val="en-US" w:eastAsia="zh-CN"/>
                    </w:rPr>
                    <w:t>1.3</w:t>
                  </w:r>
                </w:p>
              </w:tc>
              <w:tc>
                <w:tcPr>
                  <w:tcW w:w="3665" w:type="dxa"/>
                  <w:shd w:val="clear" w:color="auto" w:fill="FFFFFF"/>
                  <w:noWrap w:val="0"/>
                  <w:vAlign w:val="center"/>
                </w:tcPr>
                <w:p>
                  <w:pPr>
                    <w:jc w:val="center"/>
                    <w:rPr>
                      <w:rFonts w:hint="default" w:ascii="Times New Roman" w:hAnsi="Times New Roman" w:eastAsia="宋体" w:cs="Times New Roman"/>
                      <w:b w:val="0"/>
                      <w:bCs/>
                      <w:sz w:val="20"/>
                    </w:rPr>
                  </w:pPr>
                  <w:r>
                    <w:rPr>
                      <w:rFonts w:hint="default" w:ascii="Times New Roman" w:hAnsi="Times New Roman" w:eastAsia="宋体" w:cs="Times New Roman"/>
                      <w:b w:val="0"/>
                      <w:bCs/>
                      <w:sz w:val="20"/>
                    </w:rPr>
                    <w:t>76/1</w:t>
                  </w:r>
                </w:p>
              </w:tc>
              <w:tc>
                <w:tcPr>
                  <w:tcW w:w="1841" w:type="dxa"/>
                  <w:shd w:val="clear" w:color="auto" w:fill="FFFFFF"/>
                  <w:noWrap w:val="0"/>
                  <w:vAlign w:val="center"/>
                </w:tcPr>
                <w:p>
                  <w:pPr>
                    <w:jc w:val="center"/>
                    <w:rPr>
                      <w:rFonts w:hint="default" w:ascii="Times New Roman" w:hAnsi="Times New Roman" w:eastAsia="宋体" w:cs="Times New Roman"/>
                      <w:b w:val="0"/>
                      <w:bCs/>
                      <w:lang w:val="en-US" w:eastAsia="zh-CN"/>
                    </w:rPr>
                  </w:pPr>
                  <w:r>
                    <w:rPr>
                      <w:rFonts w:hint="eastAsia" w:ascii="Times New Roman" w:hAnsi="Times New Roman" w:cs="Times New Roman"/>
                      <w:b w:val="0"/>
                      <w:bCs/>
                      <w:lang w:val="en-US" w:eastAsia="zh-CN"/>
                    </w:rPr>
                    <w:t>/</w:t>
                  </w:r>
                </w:p>
              </w:tc>
              <w:tc>
                <w:tcPr>
                  <w:tcW w:w="2332" w:type="dxa"/>
                  <w:vMerge w:val="continue"/>
                  <w:shd w:val="clear" w:color="auto" w:fill="FFFFFF"/>
                  <w:noWrap w:val="0"/>
                  <w:vAlign w:val="center"/>
                </w:tcPr>
                <w:p>
                  <w:pPr>
                    <w:jc w:val="center"/>
                    <w:rPr>
                      <w:rFonts w:hint="default" w:ascii="Times New Roman" w:hAnsi="Times New Roman" w:eastAsia="宋体" w:cs="Times New Roman"/>
                      <w:b w:val="0"/>
                      <w:bCs/>
                    </w:rPr>
                  </w:pPr>
                </w:p>
              </w:tc>
              <w:tc>
                <w:tcPr>
                  <w:tcW w:w="1233" w:type="dxa"/>
                  <w:vMerge w:val="continue"/>
                  <w:shd w:val="clear" w:color="auto" w:fill="FFFFFF"/>
                  <w:noWrap w:val="0"/>
                  <w:vAlign w:val="center"/>
                </w:tcPr>
                <w:p>
                  <w:pPr>
                    <w:jc w:val="center"/>
                    <w:rPr>
                      <w:rFonts w:hint="default" w:ascii="Times New Roman" w:hAnsi="Times New Roman" w:eastAsia="宋体" w:cs="Times New Roman"/>
                      <w:b w:val="0"/>
                      <w:bCs/>
                      <w:lang w:val="en-US" w:eastAsia="zh-CN"/>
                    </w:rPr>
                  </w:pPr>
                </w:p>
              </w:tc>
            </w:tr>
          </w:tbl>
          <w:p>
            <w:pPr>
              <w:adjustRightInd w:val="0"/>
              <w:snapToGrid w:val="0"/>
              <w:spacing w:line="460" w:lineRule="exact"/>
              <w:jc w:val="center"/>
              <w:rPr>
                <w:rFonts w:ascii="Times New Roman" w:hAnsi="Times New Roman" w:cs="Times New Roman"/>
                <w:b/>
                <w:bCs/>
                <w:szCs w:val="21"/>
              </w:rPr>
            </w:pPr>
            <w:r>
              <w:rPr>
                <w:rFonts w:hint="eastAsia" w:ascii="Times New Roman" w:hAnsi="Times New Roman" w:cs="Times New Roman"/>
                <w:b/>
                <w:bCs/>
                <w:szCs w:val="21"/>
              </w:rPr>
              <w:t>表</w:t>
            </w:r>
            <w:r>
              <w:rPr>
                <w:rFonts w:hint="eastAsia" w:cs="Times New Roman"/>
                <w:b/>
                <w:bCs/>
                <w:szCs w:val="21"/>
                <w:lang w:val="en-US" w:eastAsia="zh-CN"/>
              </w:rPr>
              <w:t>4.4-3</w:t>
            </w:r>
            <w:r>
              <w:rPr>
                <w:rFonts w:hint="eastAsia" w:ascii="Times New Roman" w:hAnsi="Times New Roman" w:cs="Times New Roman"/>
                <w:b/>
                <w:bCs/>
                <w:szCs w:val="21"/>
              </w:rPr>
              <w:t xml:space="preserve"> 工业企业声环境保护目标调查表</w:t>
            </w:r>
          </w:p>
          <w:tbl>
            <w:tblPr>
              <w:tblStyle w:val="41"/>
              <w:tblW w:w="13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284"/>
              <w:gridCol w:w="1224"/>
              <w:gridCol w:w="1200"/>
              <w:gridCol w:w="1104"/>
              <w:gridCol w:w="1344"/>
              <w:gridCol w:w="1116"/>
              <w:gridCol w:w="1368"/>
              <w:gridCol w:w="1128"/>
              <w:gridCol w:w="912"/>
              <w:gridCol w:w="744"/>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75" w:type="dxa"/>
                  <w:vMerge w:val="restart"/>
                  <w:vAlign w:val="center"/>
                </w:tcPr>
                <w:p>
                  <w:pPr>
                    <w:pStyle w:val="3"/>
                    <w:ind w:left="0" w:leftChars="0"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序号</w:t>
                  </w:r>
                </w:p>
              </w:tc>
              <w:tc>
                <w:tcPr>
                  <w:tcW w:w="1284" w:type="dxa"/>
                  <w:vMerge w:val="restart"/>
                  <w:vAlign w:val="center"/>
                </w:tcPr>
                <w:p>
                  <w:pPr>
                    <w:pStyle w:val="3"/>
                    <w:ind w:firstLine="0"/>
                    <w:jc w:val="center"/>
                    <w:rPr>
                      <w:rFonts w:ascii="Times New Roman" w:hAnsi="Times New Roman" w:cs="Times New Roman"/>
                      <w:bCs/>
                      <w:kern w:val="0"/>
                      <w:sz w:val="21"/>
                      <w:szCs w:val="21"/>
                    </w:rPr>
                  </w:pPr>
                  <w:r>
                    <w:rPr>
                      <w:rFonts w:ascii="Times New Roman" w:hAnsi="Times New Roman" w:cs="Times New Roman"/>
                      <w:bCs/>
                      <w:kern w:val="0"/>
                      <w:sz w:val="21"/>
                      <w:szCs w:val="21"/>
                    </w:rPr>
                    <w:t>声环境保护目标名称</w:t>
                  </w:r>
                </w:p>
              </w:tc>
              <w:tc>
                <w:tcPr>
                  <w:tcW w:w="3528" w:type="dxa"/>
                  <w:gridSpan w:val="3"/>
                  <w:vAlign w:val="center"/>
                </w:tcPr>
                <w:p>
                  <w:pPr>
                    <w:jc w:val="center"/>
                    <w:rPr>
                      <w:rFonts w:ascii="Times New Roman" w:hAnsi="Times New Roman" w:cs="Times New Roman"/>
                      <w:bCs/>
                      <w:sz w:val="21"/>
                      <w:szCs w:val="21"/>
                    </w:rPr>
                  </w:pPr>
                  <w:r>
                    <w:rPr>
                      <w:rFonts w:ascii="Times New Roman" w:hAnsi="Times New Roman" w:eastAsia="宋体" w:cs="Times New Roman"/>
                      <w:bCs/>
                      <w:kern w:val="0"/>
                      <w:sz w:val="21"/>
                      <w:szCs w:val="21"/>
                    </w:rPr>
                    <w:t>空间相对位置</w:t>
                  </w:r>
                  <w:r>
                    <w:rPr>
                      <w:rFonts w:ascii="Times New Roman" w:hAnsi="Times New Roman" w:eastAsia="宋体" w:cs="Times New Roman"/>
                      <w:bCs/>
                      <w:kern w:val="0"/>
                      <w:sz w:val="21"/>
                      <w:szCs w:val="21"/>
                      <w:lang w:eastAsia="en-US"/>
                    </w:rPr>
                    <w:t>/m</w:t>
                  </w:r>
                </w:p>
              </w:tc>
              <w:tc>
                <w:tcPr>
                  <w:tcW w:w="1344" w:type="dxa"/>
                  <w:vMerge w:val="restart"/>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kern w:val="0"/>
                      <w:sz w:val="21"/>
                      <w:szCs w:val="21"/>
                    </w:rPr>
                    <w:t>距厂界最近距离</w:t>
                  </w:r>
                  <w:r>
                    <w:rPr>
                      <w:rFonts w:ascii="Times New Roman" w:hAnsi="Times New Roman" w:cs="Times New Roman"/>
                      <w:bCs/>
                      <w:kern w:val="0"/>
                      <w:sz w:val="21"/>
                      <w:szCs w:val="21"/>
                      <w:lang w:eastAsia="en-US"/>
                    </w:rPr>
                    <w:t>/m</w:t>
                  </w:r>
                </w:p>
              </w:tc>
              <w:tc>
                <w:tcPr>
                  <w:tcW w:w="1116" w:type="dxa"/>
                  <w:vMerge w:val="restart"/>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kern w:val="0"/>
                      <w:sz w:val="21"/>
                      <w:szCs w:val="21"/>
                    </w:rPr>
                    <w:t>方位</w:t>
                  </w:r>
                </w:p>
              </w:tc>
              <w:tc>
                <w:tcPr>
                  <w:tcW w:w="1368" w:type="dxa"/>
                  <w:vMerge w:val="restart"/>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kern w:val="0"/>
                      <w:sz w:val="21"/>
                      <w:szCs w:val="21"/>
                    </w:rPr>
                    <w:t>执行标准/功能区类别</w:t>
                  </w:r>
                </w:p>
              </w:tc>
              <w:tc>
                <w:tcPr>
                  <w:tcW w:w="3708" w:type="dxa"/>
                  <w:gridSpan w:val="4"/>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kern w:val="0"/>
                      <w:sz w:val="21"/>
                      <w:szCs w:val="21"/>
                    </w:rPr>
                    <w:t>声环境保护目标情况说明（介绍声环境保护目标建筑结构、朝向、楼层、周围环境情况）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75" w:type="dxa"/>
                  <w:vMerge w:val="continue"/>
                  <w:vAlign w:val="center"/>
                </w:tcPr>
                <w:p>
                  <w:pPr>
                    <w:pStyle w:val="3"/>
                    <w:rPr>
                      <w:rFonts w:ascii="Times New Roman" w:hAnsi="Times New Roman" w:cs="Times New Roman"/>
                      <w:bCs/>
                      <w:sz w:val="21"/>
                      <w:szCs w:val="21"/>
                    </w:rPr>
                  </w:pPr>
                </w:p>
              </w:tc>
              <w:tc>
                <w:tcPr>
                  <w:tcW w:w="1284" w:type="dxa"/>
                  <w:vMerge w:val="continue"/>
                  <w:vAlign w:val="center"/>
                </w:tcPr>
                <w:p>
                  <w:pPr>
                    <w:pStyle w:val="3"/>
                    <w:rPr>
                      <w:rFonts w:ascii="Times New Roman" w:hAnsi="Times New Roman" w:cs="Times New Roman"/>
                      <w:bCs/>
                      <w:sz w:val="21"/>
                      <w:szCs w:val="21"/>
                    </w:rPr>
                  </w:pPr>
                </w:p>
              </w:tc>
              <w:tc>
                <w:tcPr>
                  <w:tcW w:w="1224" w:type="dxa"/>
                  <w:vAlign w:val="center"/>
                </w:tcPr>
                <w:p>
                  <w:pPr>
                    <w:jc w:val="center"/>
                    <w:rPr>
                      <w:rFonts w:ascii="Times New Roman" w:hAnsi="Times New Roman" w:cs="Times New Roman"/>
                      <w:bCs/>
                      <w:sz w:val="21"/>
                      <w:szCs w:val="21"/>
                    </w:rPr>
                  </w:pPr>
                  <w:r>
                    <w:rPr>
                      <w:rFonts w:ascii="Times New Roman" w:hAnsi="Times New Roman" w:eastAsia="宋体" w:cs="Times New Roman"/>
                      <w:bCs/>
                      <w:kern w:val="0"/>
                      <w:sz w:val="21"/>
                      <w:szCs w:val="21"/>
                    </w:rPr>
                    <w:t>X</w:t>
                  </w:r>
                </w:p>
              </w:tc>
              <w:tc>
                <w:tcPr>
                  <w:tcW w:w="1200" w:type="dxa"/>
                  <w:vAlign w:val="center"/>
                </w:tcPr>
                <w:p>
                  <w:pPr>
                    <w:jc w:val="center"/>
                    <w:rPr>
                      <w:rFonts w:ascii="Times New Roman" w:hAnsi="Times New Roman" w:cs="Times New Roman"/>
                      <w:bCs/>
                      <w:sz w:val="21"/>
                      <w:szCs w:val="21"/>
                    </w:rPr>
                  </w:pPr>
                  <w:r>
                    <w:rPr>
                      <w:rFonts w:ascii="Times New Roman" w:hAnsi="Times New Roman" w:eastAsia="宋体" w:cs="Times New Roman"/>
                      <w:bCs/>
                      <w:kern w:val="0"/>
                      <w:sz w:val="21"/>
                      <w:szCs w:val="21"/>
                    </w:rPr>
                    <w:t>Y</w:t>
                  </w:r>
                </w:p>
              </w:tc>
              <w:tc>
                <w:tcPr>
                  <w:tcW w:w="1104" w:type="dxa"/>
                  <w:vAlign w:val="center"/>
                </w:tcPr>
                <w:p>
                  <w:pPr>
                    <w:jc w:val="center"/>
                    <w:rPr>
                      <w:rFonts w:ascii="Times New Roman" w:hAnsi="Times New Roman" w:cs="Times New Roman"/>
                      <w:bCs/>
                      <w:sz w:val="21"/>
                      <w:szCs w:val="21"/>
                    </w:rPr>
                  </w:pPr>
                  <w:r>
                    <w:rPr>
                      <w:rFonts w:ascii="Times New Roman" w:hAnsi="Times New Roman" w:eastAsia="宋体" w:cs="Times New Roman"/>
                      <w:bCs/>
                      <w:kern w:val="0"/>
                      <w:sz w:val="21"/>
                      <w:szCs w:val="21"/>
                    </w:rPr>
                    <w:t>Z</w:t>
                  </w:r>
                </w:p>
              </w:tc>
              <w:tc>
                <w:tcPr>
                  <w:tcW w:w="1344" w:type="dxa"/>
                  <w:vMerge w:val="continue"/>
                </w:tcPr>
                <w:p>
                  <w:pPr>
                    <w:pStyle w:val="3"/>
                    <w:rPr>
                      <w:rFonts w:ascii="Times New Roman" w:hAnsi="Times New Roman" w:cs="Times New Roman"/>
                      <w:bCs/>
                      <w:sz w:val="21"/>
                      <w:szCs w:val="21"/>
                    </w:rPr>
                  </w:pPr>
                </w:p>
              </w:tc>
              <w:tc>
                <w:tcPr>
                  <w:tcW w:w="1116" w:type="dxa"/>
                  <w:vMerge w:val="continue"/>
                </w:tcPr>
                <w:p>
                  <w:pPr>
                    <w:pStyle w:val="3"/>
                    <w:rPr>
                      <w:rFonts w:ascii="Times New Roman" w:hAnsi="Times New Roman" w:cs="Times New Roman"/>
                      <w:bCs/>
                      <w:sz w:val="21"/>
                      <w:szCs w:val="21"/>
                    </w:rPr>
                  </w:pPr>
                </w:p>
              </w:tc>
              <w:tc>
                <w:tcPr>
                  <w:tcW w:w="1368" w:type="dxa"/>
                  <w:vMerge w:val="continue"/>
                </w:tcPr>
                <w:p>
                  <w:pPr>
                    <w:pStyle w:val="3"/>
                    <w:rPr>
                      <w:rFonts w:ascii="Times New Roman" w:hAnsi="Times New Roman" w:cs="Times New Roman"/>
                      <w:bCs/>
                      <w:sz w:val="21"/>
                      <w:szCs w:val="21"/>
                    </w:rPr>
                  </w:pPr>
                </w:p>
              </w:tc>
              <w:tc>
                <w:tcPr>
                  <w:tcW w:w="1128" w:type="dxa"/>
                  <w:vAlign w:val="center"/>
                </w:tcPr>
                <w:p>
                  <w:pPr>
                    <w:pStyle w:val="3"/>
                    <w:ind w:firstLine="0"/>
                    <w:jc w:val="center"/>
                    <w:rPr>
                      <w:rFonts w:ascii="Times New Roman" w:hAnsi="Times New Roman" w:cs="Times New Roman"/>
                      <w:bCs/>
                      <w:kern w:val="0"/>
                      <w:sz w:val="21"/>
                      <w:szCs w:val="21"/>
                    </w:rPr>
                  </w:pPr>
                  <w:r>
                    <w:rPr>
                      <w:rFonts w:ascii="Times New Roman" w:hAnsi="Times New Roman" w:cs="Times New Roman"/>
                      <w:bCs/>
                      <w:kern w:val="0"/>
                      <w:sz w:val="21"/>
                      <w:szCs w:val="21"/>
                    </w:rPr>
                    <w:t>建筑结构</w:t>
                  </w:r>
                </w:p>
              </w:tc>
              <w:tc>
                <w:tcPr>
                  <w:tcW w:w="912" w:type="dxa"/>
                  <w:vAlign w:val="center"/>
                </w:tcPr>
                <w:p>
                  <w:pPr>
                    <w:pStyle w:val="3"/>
                    <w:ind w:firstLine="0"/>
                    <w:jc w:val="center"/>
                    <w:rPr>
                      <w:rFonts w:ascii="Times New Roman" w:hAnsi="Times New Roman" w:cs="Times New Roman"/>
                      <w:bCs/>
                      <w:kern w:val="0"/>
                      <w:sz w:val="21"/>
                      <w:szCs w:val="21"/>
                    </w:rPr>
                  </w:pPr>
                  <w:r>
                    <w:rPr>
                      <w:rFonts w:ascii="Times New Roman" w:hAnsi="Times New Roman" w:cs="Times New Roman"/>
                      <w:bCs/>
                      <w:kern w:val="0"/>
                      <w:sz w:val="21"/>
                      <w:szCs w:val="21"/>
                    </w:rPr>
                    <w:t>朝向</w:t>
                  </w:r>
                </w:p>
              </w:tc>
              <w:tc>
                <w:tcPr>
                  <w:tcW w:w="744" w:type="dxa"/>
                  <w:vAlign w:val="center"/>
                </w:tcPr>
                <w:p>
                  <w:pPr>
                    <w:pStyle w:val="3"/>
                    <w:ind w:firstLine="0"/>
                    <w:jc w:val="center"/>
                    <w:rPr>
                      <w:rFonts w:ascii="Times New Roman" w:hAnsi="Times New Roman" w:cs="Times New Roman"/>
                      <w:bCs/>
                      <w:kern w:val="0"/>
                      <w:sz w:val="21"/>
                      <w:szCs w:val="21"/>
                    </w:rPr>
                  </w:pPr>
                  <w:r>
                    <w:rPr>
                      <w:rFonts w:ascii="Times New Roman" w:hAnsi="Times New Roman" w:cs="Times New Roman"/>
                      <w:bCs/>
                      <w:kern w:val="0"/>
                      <w:sz w:val="21"/>
                      <w:szCs w:val="21"/>
                    </w:rPr>
                    <w:t>楼层</w:t>
                  </w:r>
                </w:p>
              </w:tc>
              <w:tc>
                <w:tcPr>
                  <w:tcW w:w="924" w:type="dxa"/>
                  <w:vAlign w:val="center"/>
                </w:tcPr>
                <w:p>
                  <w:pPr>
                    <w:pStyle w:val="3"/>
                    <w:ind w:firstLine="0"/>
                    <w:jc w:val="center"/>
                    <w:rPr>
                      <w:rFonts w:ascii="Times New Roman" w:hAnsi="Times New Roman" w:cs="Times New Roman"/>
                      <w:bCs/>
                      <w:kern w:val="0"/>
                      <w:sz w:val="21"/>
                      <w:szCs w:val="21"/>
                    </w:rPr>
                  </w:pPr>
                  <w:r>
                    <w:rPr>
                      <w:rFonts w:ascii="Times New Roman" w:hAnsi="Times New Roman" w:cs="Times New Roman"/>
                      <w:bCs/>
                      <w:kern w:val="0"/>
                      <w:sz w:val="21"/>
                      <w:szCs w:val="21"/>
                    </w:rPr>
                    <w:t>周围环境情况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75" w:type="dxa"/>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sz w:val="21"/>
                      <w:szCs w:val="21"/>
                    </w:rPr>
                    <w:t>1</w:t>
                  </w:r>
                </w:p>
              </w:tc>
              <w:tc>
                <w:tcPr>
                  <w:tcW w:w="1284" w:type="dxa"/>
                  <w:vAlign w:val="center"/>
                </w:tcPr>
                <w:p>
                  <w:pPr>
                    <w:pStyle w:val="3"/>
                    <w:ind w:firstLine="0"/>
                    <w:jc w:val="center"/>
                    <w:rPr>
                      <w:rFonts w:ascii="Times New Roman" w:hAnsi="Times New Roman" w:cs="Times New Roman"/>
                      <w:bCs/>
                      <w:sz w:val="21"/>
                      <w:szCs w:val="21"/>
                    </w:rPr>
                  </w:pPr>
                  <w:r>
                    <w:rPr>
                      <w:rFonts w:hint="eastAsia" w:ascii="Times New Roman" w:hAnsi="Times New Roman" w:cs="Times New Roman"/>
                      <w:bCs/>
                      <w:sz w:val="21"/>
                      <w:szCs w:val="21"/>
                    </w:rPr>
                    <w:t>龙从村㘰里住宅</w:t>
                  </w:r>
                </w:p>
              </w:tc>
              <w:tc>
                <w:tcPr>
                  <w:tcW w:w="1224" w:type="dxa"/>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w:t>
                  </w:r>
                  <w:r>
                    <w:rPr>
                      <w:rFonts w:hint="eastAsia" w:cs="Times New Roman"/>
                      <w:bCs/>
                      <w:sz w:val="21"/>
                      <w:szCs w:val="21"/>
                      <w:lang w:val="en-US" w:eastAsia="zh-CN"/>
                    </w:rPr>
                    <w:t>63.6</w:t>
                  </w:r>
                </w:p>
              </w:tc>
              <w:tc>
                <w:tcPr>
                  <w:tcW w:w="1200" w:type="dxa"/>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w:t>
                  </w:r>
                  <w:r>
                    <w:rPr>
                      <w:rFonts w:hint="eastAsia" w:cs="Times New Roman"/>
                      <w:bCs/>
                      <w:sz w:val="21"/>
                      <w:szCs w:val="21"/>
                      <w:lang w:val="en-US" w:eastAsia="zh-CN"/>
                    </w:rPr>
                    <w:t>48</w:t>
                  </w:r>
                </w:p>
              </w:tc>
              <w:tc>
                <w:tcPr>
                  <w:tcW w:w="1104" w:type="dxa"/>
                  <w:vAlign w:val="center"/>
                </w:tcPr>
                <w:p>
                  <w:pPr>
                    <w:jc w:val="center"/>
                    <w:rPr>
                      <w:rFonts w:ascii="Times New Roman" w:hAnsi="Times New Roman" w:cs="Times New Roman"/>
                      <w:bCs/>
                      <w:sz w:val="21"/>
                      <w:szCs w:val="21"/>
                    </w:rPr>
                  </w:pPr>
                  <w:r>
                    <w:rPr>
                      <w:rFonts w:hint="eastAsia" w:ascii="Times New Roman" w:hAnsi="Times New Roman" w:eastAsia="宋体" w:cs="Times New Roman"/>
                      <w:bCs/>
                      <w:sz w:val="21"/>
                      <w:szCs w:val="21"/>
                    </w:rPr>
                    <w:t>1.2</w:t>
                  </w:r>
                </w:p>
              </w:tc>
              <w:tc>
                <w:tcPr>
                  <w:tcW w:w="1344" w:type="dxa"/>
                  <w:vAlign w:val="center"/>
                </w:tcPr>
                <w:p>
                  <w:pPr>
                    <w:pStyle w:val="3"/>
                    <w:ind w:firstLine="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30</w:t>
                  </w:r>
                </w:p>
              </w:tc>
              <w:tc>
                <w:tcPr>
                  <w:tcW w:w="1116" w:type="dxa"/>
                  <w:vAlign w:val="center"/>
                </w:tcPr>
                <w:p>
                  <w:pPr>
                    <w:pStyle w:val="3"/>
                    <w:ind w:firstLine="0"/>
                    <w:jc w:val="center"/>
                    <w:rPr>
                      <w:rFonts w:ascii="Times New Roman" w:hAnsi="Times New Roman" w:cs="Times New Roman"/>
                      <w:bCs/>
                      <w:sz w:val="21"/>
                      <w:szCs w:val="21"/>
                    </w:rPr>
                  </w:pPr>
                  <w:r>
                    <w:rPr>
                      <w:rFonts w:hint="eastAsia" w:ascii="Times New Roman" w:hAnsi="Times New Roman" w:cs="Times New Roman"/>
                      <w:bCs/>
                      <w:sz w:val="21"/>
                      <w:szCs w:val="21"/>
                    </w:rPr>
                    <w:t>西</w:t>
                  </w:r>
                  <w:r>
                    <w:rPr>
                      <w:rFonts w:ascii="Times New Roman" w:hAnsi="Times New Roman" w:cs="Times New Roman"/>
                      <w:bCs/>
                      <w:sz w:val="21"/>
                      <w:szCs w:val="21"/>
                    </w:rPr>
                    <w:t>侧</w:t>
                  </w:r>
                </w:p>
              </w:tc>
              <w:tc>
                <w:tcPr>
                  <w:tcW w:w="1368" w:type="dxa"/>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1128" w:type="dxa"/>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sz w:val="21"/>
                      <w:szCs w:val="21"/>
                    </w:rPr>
                    <w:t>砖混结构</w:t>
                  </w:r>
                </w:p>
              </w:tc>
              <w:tc>
                <w:tcPr>
                  <w:tcW w:w="912" w:type="dxa"/>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sz w:val="21"/>
                      <w:szCs w:val="21"/>
                    </w:rPr>
                    <w:t>朝南</w:t>
                  </w:r>
                </w:p>
              </w:tc>
              <w:tc>
                <w:tcPr>
                  <w:tcW w:w="744" w:type="dxa"/>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sz w:val="21"/>
                      <w:szCs w:val="21"/>
                    </w:rPr>
                    <w:t>2层</w:t>
                  </w:r>
                </w:p>
              </w:tc>
              <w:tc>
                <w:tcPr>
                  <w:tcW w:w="924" w:type="dxa"/>
                  <w:vAlign w:val="center"/>
                </w:tcPr>
                <w:p>
                  <w:pPr>
                    <w:pStyle w:val="3"/>
                    <w:ind w:firstLine="0"/>
                    <w:jc w:val="center"/>
                    <w:rPr>
                      <w:rFonts w:ascii="Times New Roman" w:hAnsi="Times New Roman" w:cs="Times New Roman"/>
                      <w:bCs/>
                      <w:sz w:val="21"/>
                      <w:szCs w:val="21"/>
                    </w:rPr>
                  </w:pPr>
                  <w:r>
                    <w:rPr>
                      <w:rFonts w:ascii="Times New Roman" w:hAnsi="Times New Roman" w:cs="Times New Roman"/>
                      <w:bCs/>
                      <w:sz w:val="21"/>
                      <w:szCs w:val="21"/>
                    </w:rPr>
                    <w:t>居民区</w:t>
                  </w:r>
                </w:p>
              </w:tc>
            </w:tr>
          </w:tbl>
          <w:p>
            <w:pPr>
              <w:adjustRightInd w:val="0"/>
              <w:snapToGrid w:val="0"/>
              <w:spacing w:line="500" w:lineRule="exact"/>
              <w:ind w:firstLine="29" w:firstLineChars="12"/>
              <w:rPr>
                <w:color w:val="auto"/>
                <w:sz w:val="24"/>
              </w:rPr>
            </w:pPr>
            <w:r>
              <w:rPr>
                <w:b/>
                <w:bCs/>
                <w:color w:val="auto"/>
                <w:sz w:val="24"/>
              </w:rPr>
              <w:t>4.4.2</w:t>
            </w:r>
            <w:r>
              <w:rPr>
                <w:rFonts w:hAnsi="宋体"/>
                <w:b/>
                <w:color w:val="auto"/>
                <w:sz w:val="24"/>
              </w:rPr>
              <w:t>污染防治措施</w:t>
            </w:r>
          </w:p>
          <w:p>
            <w:pPr>
              <w:spacing w:line="500" w:lineRule="exact"/>
              <w:ind w:firstLine="480" w:firstLineChars="200"/>
              <w:contextualSpacing/>
              <w:rPr>
                <w:color w:val="auto"/>
                <w:sz w:val="24"/>
              </w:rPr>
            </w:pPr>
            <w:r>
              <w:rPr>
                <w:color w:val="auto"/>
                <w:sz w:val="24"/>
              </w:rPr>
              <w:t>a</w:t>
            </w:r>
            <w:r>
              <w:rPr>
                <w:rFonts w:hAnsi="宋体"/>
                <w:color w:val="auto"/>
                <w:sz w:val="24"/>
              </w:rPr>
              <w:t>）合理布局，优化布置生产设备设施；</w:t>
            </w:r>
          </w:p>
          <w:p>
            <w:pPr>
              <w:spacing w:line="500" w:lineRule="exact"/>
              <w:ind w:firstLine="480" w:firstLineChars="200"/>
              <w:contextualSpacing/>
              <w:rPr>
                <w:sz w:val="24"/>
              </w:rPr>
            </w:pPr>
            <w:r>
              <w:rPr>
                <w:sz w:val="24"/>
              </w:rPr>
              <w:t>b</w:t>
            </w:r>
            <w:r>
              <w:rPr>
                <w:rFonts w:hAnsi="宋体"/>
                <w:sz w:val="24"/>
              </w:rPr>
              <w:t>）加强设备的维护保养，保证设备正常运行；</w:t>
            </w:r>
          </w:p>
          <w:p>
            <w:pPr>
              <w:spacing w:line="500" w:lineRule="exact"/>
              <w:ind w:firstLine="480" w:firstLineChars="200"/>
              <w:contextualSpacing/>
              <w:rPr>
                <w:sz w:val="24"/>
              </w:rPr>
            </w:pPr>
            <w:r>
              <w:rPr>
                <w:sz w:val="24"/>
              </w:rPr>
              <w:t>c</w:t>
            </w:r>
            <w:r>
              <w:rPr>
                <w:rFonts w:hAnsi="宋体"/>
                <w:sz w:val="24"/>
              </w:rPr>
              <w:t>）平时加强管理和设备维护保养；加强工人的操作管理，减少或降低人为噪声的产生。</w:t>
            </w:r>
          </w:p>
          <w:p>
            <w:pPr>
              <w:spacing w:line="500" w:lineRule="exact"/>
              <w:rPr>
                <w:b/>
                <w:snapToGrid w:val="0"/>
                <w:sz w:val="24"/>
                <w:highlight w:val="cyan"/>
              </w:rPr>
            </w:pPr>
            <w:r>
              <w:rPr>
                <w:b/>
                <w:snapToGrid w:val="0"/>
                <w:sz w:val="24"/>
              </w:rPr>
              <w:t>4.4</w:t>
            </w:r>
            <w:r>
              <w:rPr>
                <w:b/>
                <w:snapToGrid w:val="0"/>
                <w:sz w:val="24"/>
                <w:highlight w:val="none"/>
              </w:rPr>
              <w:t>.3</w:t>
            </w:r>
            <w:r>
              <w:rPr>
                <w:rFonts w:hAnsi="宋体"/>
                <w:b/>
                <w:snapToGrid w:val="0"/>
                <w:sz w:val="24"/>
                <w:highlight w:val="none"/>
              </w:rPr>
              <w:t>厂界和环境保护目标达标情况分析</w:t>
            </w:r>
          </w:p>
          <w:p>
            <w:pPr>
              <w:spacing w:line="500" w:lineRule="exact"/>
              <w:ind w:firstLine="480" w:firstLineChars="200"/>
              <w:contextualSpacing/>
              <w:rPr>
                <w:rFonts w:hAnsi="宋体"/>
                <w:bCs/>
                <w:sz w:val="24"/>
                <w:szCs w:val="28"/>
              </w:rPr>
            </w:pPr>
            <w:r>
              <w:rPr>
                <w:rFonts w:hint="eastAsia" w:hAnsi="宋体"/>
                <w:bCs/>
                <w:sz w:val="24"/>
                <w:szCs w:val="28"/>
              </w:rPr>
              <w:t>根据项目建设内容及《环境影响评价技术导则声环境》（HJ2.4-2021）的要求，本环评釆用EIAProN2021环境噪声预测评价模拟软件系统。该软件计算工业噪声时采用的模型为《环境影响评价技术导则 声环境》（HJ2.4-2021）附录B（规范性附录）中“B.1工业噪声预测计算模型”</w:t>
            </w:r>
            <w:r>
              <w:rPr>
                <w:rFonts w:hAnsi="宋体"/>
                <w:bCs/>
                <w:sz w:val="24"/>
                <w:szCs w:val="28"/>
              </w:rPr>
              <w:t>。</w:t>
            </w:r>
          </w:p>
          <w:p>
            <w:pPr>
              <w:spacing w:line="500" w:lineRule="exact"/>
              <w:ind w:firstLine="480" w:firstLineChars="200"/>
              <w:jc w:val="left"/>
              <w:rPr>
                <w:color w:val="auto"/>
                <w:sz w:val="24"/>
              </w:rPr>
            </w:pPr>
            <w:r>
              <w:rPr>
                <w:rFonts w:hAnsi="宋体"/>
                <w:bCs/>
                <w:sz w:val="24"/>
                <w:szCs w:val="22"/>
              </w:rPr>
              <w:t>本项目正常运</w:t>
            </w:r>
            <w:r>
              <w:rPr>
                <w:rFonts w:hAnsi="宋体"/>
                <w:bCs/>
                <w:color w:val="auto"/>
                <w:sz w:val="24"/>
                <w:szCs w:val="22"/>
              </w:rPr>
              <w:t>行工况厂区内各噪声衰减预测结果见</w:t>
            </w:r>
            <w:r>
              <w:rPr>
                <w:color w:val="auto"/>
                <w:sz w:val="24"/>
              </w:rPr>
              <w:t>表4.</w:t>
            </w:r>
            <w:r>
              <w:rPr>
                <w:rFonts w:hint="eastAsia"/>
                <w:color w:val="auto"/>
                <w:sz w:val="24"/>
              </w:rPr>
              <w:t>4</w:t>
            </w:r>
            <w:r>
              <w:rPr>
                <w:color w:val="auto"/>
                <w:sz w:val="24"/>
              </w:rPr>
              <w:t>-</w:t>
            </w:r>
            <w:r>
              <w:rPr>
                <w:rFonts w:hint="eastAsia"/>
                <w:color w:val="auto"/>
                <w:sz w:val="24"/>
                <w:lang w:val="en-US" w:eastAsia="zh-CN"/>
              </w:rPr>
              <w:t>4</w:t>
            </w:r>
            <w:r>
              <w:rPr>
                <w:color w:val="auto"/>
                <w:sz w:val="24"/>
              </w:rPr>
              <w:t>。</w:t>
            </w:r>
          </w:p>
          <w:p>
            <w:pPr>
              <w:spacing w:line="460" w:lineRule="exact"/>
              <w:jc w:val="center"/>
              <w:rPr>
                <w:b/>
                <w:color w:val="auto"/>
                <w:szCs w:val="21"/>
              </w:rPr>
            </w:pPr>
            <w:r>
              <w:rPr>
                <w:rFonts w:hAnsi="宋体"/>
                <w:b/>
                <w:color w:val="auto"/>
                <w:szCs w:val="21"/>
              </w:rPr>
              <w:t>表</w:t>
            </w:r>
            <w:r>
              <w:rPr>
                <w:b/>
                <w:color w:val="auto"/>
                <w:szCs w:val="21"/>
              </w:rPr>
              <w:t>4.4-</w:t>
            </w:r>
            <w:r>
              <w:rPr>
                <w:rFonts w:hint="eastAsia"/>
                <w:b/>
                <w:color w:val="auto"/>
                <w:szCs w:val="21"/>
                <w:lang w:val="en-US" w:eastAsia="zh-CN"/>
              </w:rPr>
              <w:t>4</w:t>
            </w:r>
            <w:r>
              <w:rPr>
                <w:b/>
                <w:color w:val="auto"/>
                <w:szCs w:val="21"/>
              </w:rPr>
              <w:t xml:space="preserve">  </w:t>
            </w:r>
            <w:r>
              <w:rPr>
                <w:rFonts w:hAnsi="宋体"/>
                <w:b/>
                <w:color w:val="auto"/>
                <w:szCs w:val="21"/>
              </w:rPr>
              <w:t>噪声影响预测结果表</w:t>
            </w:r>
          </w:p>
          <w:p>
            <w:pPr>
              <w:adjustRightInd w:val="0"/>
              <w:snapToGrid w:val="0"/>
              <w:jc w:val="right"/>
              <w:rPr>
                <w:color w:val="auto"/>
                <w:szCs w:val="21"/>
              </w:rPr>
            </w:pPr>
            <w:r>
              <w:rPr>
                <w:rFonts w:hAnsi="宋体"/>
                <w:color w:val="auto"/>
                <w:szCs w:val="21"/>
              </w:rPr>
              <w:t>单位：</w:t>
            </w:r>
            <w:r>
              <w:rPr>
                <w:color w:val="auto"/>
                <w:szCs w:val="21"/>
              </w:rPr>
              <w:t>dB</w:t>
            </w:r>
            <w:r>
              <w:rPr>
                <w:rFonts w:hAnsi="宋体"/>
                <w:color w:val="auto"/>
                <w:szCs w:val="21"/>
              </w:rPr>
              <w:t>（</w:t>
            </w:r>
            <w:r>
              <w:rPr>
                <w:color w:val="auto"/>
                <w:szCs w:val="21"/>
              </w:rPr>
              <w:t>A</w:t>
            </w:r>
            <w:r>
              <w:rPr>
                <w:rFonts w:hAnsi="宋体"/>
                <w:color w:val="auto"/>
                <w:szCs w:val="21"/>
              </w:rPr>
              <w:t>）</w:t>
            </w:r>
          </w:p>
          <w:tbl>
            <w:tblPr>
              <w:tblStyle w:val="40"/>
              <w:tblW w:w="13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89"/>
              <w:gridCol w:w="594"/>
              <w:gridCol w:w="539"/>
              <w:gridCol w:w="548"/>
              <w:gridCol w:w="917"/>
              <w:gridCol w:w="914"/>
              <w:gridCol w:w="870"/>
              <w:gridCol w:w="1025"/>
              <w:gridCol w:w="1004"/>
              <w:gridCol w:w="1081"/>
              <w:gridCol w:w="1137"/>
              <w:gridCol w:w="814"/>
              <w:gridCol w:w="92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1689" w:type="dxa"/>
                  <w:vMerge w:val="restart"/>
                  <w:tcMar>
                    <w:top w:w="15" w:type="dxa"/>
                    <w:left w:w="15" w:type="dxa"/>
                    <w:bottom w:w="0" w:type="dxa"/>
                    <w:right w:w="15" w:type="dxa"/>
                  </w:tcMar>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点位位置</w:t>
                  </w:r>
                </w:p>
              </w:tc>
              <w:tc>
                <w:tcPr>
                  <w:tcW w:w="1681" w:type="dxa"/>
                  <w:gridSpan w:val="3"/>
                  <w:tcMar>
                    <w:top w:w="15" w:type="dxa"/>
                    <w:left w:w="15" w:type="dxa"/>
                    <w:bottom w:w="0" w:type="dxa"/>
                    <w:right w:w="15" w:type="dxa"/>
                  </w:tcMar>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空间相对位置/m</w:t>
                  </w:r>
                </w:p>
              </w:tc>
              <w:tc>
                <w:tcPr>
                  <w:tcW w:w="917" w:type="dxa"/>
                  <w:vMerge w:val="restart"/>
                  <w:tcMar>
                    <w:top w:w="15" w:type="dxa"/>
                    <w:left w:w="15" w:type="dxa"/>
                    <w:bottom w:w="0" w:type="dxa"/>
                    <w:right w:w="15" w:type="dxa"/>
                  </w:tcMar>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时段</w:t>
                  </w:r>
                </w:p>
              </w:tc>
              <w:tc>
                <w:tcPr>
                  <w:tcW w:w="1784" w:type="dxa"/>
                  <w:gridSpan w:val="2"/>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贡献值dB（A）</w:t>
                  </w:r>
                </w:p>
              </w:tc>
              <w:tc>
                <w:tcPr>
                  <w:tcW w:w="2029" w:type="dxa"/>
                  <w:gridSpan w:val="2"/>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现状值dB（A）</w:t>
                  </w:r>
                </w:p>
              </w:tc>
              <w:tc>
                <w:tcPr>
                  <w:tcW w:w="2218" w:type="dxa"/>
                  <w:gridSpan w:val="2"/>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预测值dB（A）</w:t>
                  </w:r>
                </w:p>
              </w:tc>
              <w:tc>
                <w:tcPr>
                  <w:tcW w:w="1734" w:type="dxa"/>
                  <w:gridSpan w:val="2"/>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标准值dB（A）</w:t>
                  </w:r>
                </w:p>
              </w:tc>
              <w:tc>
                <w:tcPr>
                  <w:tcW w:w="1271" w:type="dxa"/>
                  <w:vMerge w:val="restart"/>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环境功能达标情况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689" w:type="dxa"/>
                  <w:vMerge w:val="continue"/>
                  <w:tcMar>
                    <w:top w:w="15" w:type="dxa"/>
                    <w:left w:w="15" w:type="dxa"/>
                    <w:bottom w:w="0" w:type="dxa"/>
                    <w:right w:w="15" w:type="dxa"/>
                  </w:tcMar>
                  <w:vAlign w:val="center"/>
                </w:tcPr>
                <w:p>
                  <w:pPr>
                    <w:pStyle w:val="144"/>
                    <w:spacing w:before="24" w:after="24"/>
                    <w:rPr>
                      <w:rFonts w:ascii="Times New Roman" w:hAnsi="Times New Roman" w:eastAsia="宋体" w:cs="Times New Roman"/>
                      <w:bCs/>
                      <w:sz w:val="21"/>
                      <w:szCs w:val="21"/>
                    </w:rPr>
                  </w:pPr>
                </w:p>
              </w:tc>
              <w:tc>
                <w:tcPr>
                  <w:tcW w:w="594" w:type="dxa"/>
                  <w:tcMar>
                    <w:top w:w="15" w:type="dxa"/>
                    <w:left w:w="15" w:type="dxa"/>
                    <w:bottom w:w="0" w:type="dxa"/>
                    <w:right w:w="15" w:type="dxa"/>
                  </w:tcMar>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X</w:t>
                  </w:r>
                </w:p>
              </w:tc>
              <w:tc>
                <w:tcPr>
                  <w:tcW w:w="539" w:type="dxa"/>
                  <w:tcMar>
                    <w:top w:w="15" w:type="dxa"/>
                    <w:left w:w="15" w:type="dxa"/>
                    <w:bottom w:w="0" w:type="dxa"/>
                    <w:right w:w="15" w:type="dxa"/>
                  </w:tcMar>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Y</w:t>
                  </w:r>
                </w:p>
              </w:tc>
              <w:tc>
                <w:tcPr>
                  <w:tcW w:w="548" w:type="dxa"/>
                  <w:tcMar>
                    <w:top w:w="15" w:type="dxa"/>
                    <w:left w:w="15" w:type="dxa"/>
                    <w:bottom w:w="0" w:type="dxa"/>
                    <w:right w:w="15" w:type="dxa"/>
                  </w:tcMar>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Z</w:t>
                  </w:r>
                </w:p>
              </w:tc>
              <w:tc>
                <w:tcPr>
                  <w:tcW w:w="917" w:type="dxa"/>
                  <w:vMerge w:val="continue"/>
                  <w:tcMar>
                    <w:top w:w="15" w:type="dxa"/>
                    <w:left w:w="15" w:type="dxa"/>
                    <w:bottom w:w="0" w:type="dxa"/>
                    <w:right w:w="15" w:type="dxa"/>
                  </w:tcMar>
                  <w:vAlign w:val="center"/>
                </w:tcPr>
                <w:p>
                  <w:pPr>
                    <w:pStyle w:val="144"/>
                    <w:spacing w:before="24" w:after="24"/>
                    <w:rPr>
                      <w:rFonts w:ascii="Times New Roman" w:hAnsi="Times New Roman" w:eastAsia="宋体" w:cs="Times New Roman"/>
                      <w:bCs/>
                      <w:sz w:val="21"/>
                      <w:szCs w:val="21"/>
                    </w:rPr>
                  </w:pPr>
                </w:p>
              </w:tc>
              <w:tc>
                <w:tcPr>
                  <w:tcW w:w="914" w:type="dxa"/>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昼间</w:t>
                  </w:r>
                </w:p>
              </w:tc>
              <w:tc>
                <w:tcPr>
                  <w:tcW w:w="870" w:type="dxa"/>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夜间</w:t>
                  </w:r>
                </w:p>
              </w:tc>
              <w:tc>
                <w:tcPr>
                  <w:tcW w:w="1025" w:type="dxa"/>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昼间</w:t>
                  </w:r>
                </w:p>
              </w:tc>
              <w:tc>
                <w:tcPr>
                  <w:tcW w:w="1004" w:type="dxa"/>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夜间</w:t>
                  </w:r>
                </w:p>
              </w:tc>
              <w:tc>
                <w:tcPr>
                  <w:tcW w:w="1081" w:type="dxa"/>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昼间</w:t>
                  </w:r>
                </w:p>
              </w:tc>
              <w:tc>
                <w:tcPr>
                  <w:tcW w:w="1137" w:type="dxa"/>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夜间</w:t>
                  </w:r>
                </w:p>
              </w:tc>
              <w:tc>
                <w:tcPr>
                  <w:tcW w:w="814" w:type="dxa"/>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昼间</w:t>
                  </w:r>
                </w:p>
              </w:tc>
              <w:tc>
                <w:tcPr>
                  <w:tcW w:w="920" w:type="dxa"/>
                  <w:vAlign w:val="center"/>
                </w:tcPr>
                <w:p>
                  <w:pPr>
                    <w:pStyle w:val="144"/>
                    <w:spacing w:before="24" w:after="24"/>
                    <w:rPr>
                      <w:rFonts w:ascii="Times New Roman" w:hAnsi="Times New Roman" w:eastAsia="宋体" w:cs="Times New Roman"/>
                      <w:bCs/>
                      <w:sz w:val="21"/>
                      <w:szCs w:val="21"/>
                    </w:rPr>
                  </w:pPr>
                  <w:r>
                    <w:rPr>
                      <w:rFonts w:ascii="Times New Roman" w:hAnsi="Times New Roman" w:eastAsia="宋体" w:cs="Times New Roman"/>
                      <w:bCs/>
                      <w:sz w:val="21"/>
                      <w:szCs w:val="21"/>
                    </w:rPr>
                    <w:t>夜间</w:t>
                  </w:r>
                </w:p>
              </w:tc>
              <w:tc>
                <w:tcPr>
                  <w:tcW w:w="1271" w:type="dxa"/>
                  <w:vMerge w:val="continue"/>
                  <w:vAlign w:val="center"/>
                </w:tcPr>
                <w:p>
                  <w:pPr>
                    <w:pStyle w:val="144"/>
                    <w:spacing w:before="24" w:after="24"/>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1689" w:type="dxa"/>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东侧</w:t>
                  </w:r>
                </w:p>
              </w:tc>
              <w:tc>
                <w:tcPr>
                  <w:tcW w:w="594" w:type="dxa"/>
                  <w:tcMar>
                    <w:top w:w="15" w:type="dxa"/>
                    <w:left w:w="15" w:type="dxa"/>
                    <w:bottom w:w="0" w:type="dxa"/>
                    <w:right w:w="15" w:type="dxa"/>
                  </w:tcMar>
                  <w:vAlign w:val="center"/>
                </w:tcPr>
                <w:p>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25.6</w:t>
                  </w:r>
                </w:p>
              </w:tc>
              <w:tc>
                <w:tcPr>
                  <w:tcW w:w="539" w:type="dxa"/>
                  <w:tcMar>
                    <w:top w:w="15" w:type="dxa"/>
                    <w:left w:w="15" w:type="dxa"/>
                    <w:bottom w:w="0" w:type="dxa"/>
                    <w:right w:w="15" w:type="dxa"/>
                  </w:tcMar>
                  <w:vAlign w:val="center"/>
                </w:tcPr>
                <w:p>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4.9</w:t>
                  </w:r>
                </w:p>
              </w:tc>
              <w:tc>
                <w:tcPr>
                  <w:tcW w:w="548" w:type="dxa"/>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w:t>
                  </w:r>
                </w:p>
              </w:tc>
              <w:tc>
                <w:tcPr>
                  <w:tcW w:w="917" w:type="dxa"/>
                  <w:vMerge w:val="restart"/>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昼间/</w:t>
                  </w:r>
                </w:p>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夜间</w:t>
                  </w:r>
                </w:p>
              </w:tc>
              <w:tc>
                <w:tcPr>
                  <w:tcW w:w="914" w:type="dxa"/>
                  <w:vAlign w:val="center"/>
                </w:tcPr>
                <w:p>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52.6</w:t>
                  </w:r>
                </w:p>
              </w:tc>
              <w:tc>
                <w:tcPr>
                  <w:tcW w:w="870" w:type="dxa"/>
                  <w:vAlign w:val="center"/>
                </w:tcPr>
                <w:p>
                  <w:pPr>
                    <w:jc w:val="center"/>
                    <w:rPr>
                      <w:rFonts w:hint="default" w:ascii="Times New Roman" w:hAnsi="Times New Roman" w:eastAsia="宋体" w:cs="Times New Roman"/>
                      <w:bCs/>
                      <w:kern w:val="2"/>
                      <w:sz w:val="21"/>
                      <w:szCs w:val="21"/>
                      <w:lang w:val="en-US" w:eastAsia="zh-CN" w:bidi="ar-SA"/>
                    </w:rPr>
                  </w:pPr>
                  <w:r>
                    <w:rPr>
                      <w:rFonts w:hint="eastAsia" w:cs="Times New Roman"/>
                      <w:bCs/>
                      <w:sz w:val="21"/>
                      <w:szCs w:val="21"/>
                      <w:lang w:val="en-US" w:eastAsia="zh-CN"/>
                    </w:rPr>
                    <w:t>52.6</w:t>
                  </w:r>
                </w:p>
              </w:tc>
              <w:tc>
                <w:tcPr>
                  <w:tcW w:w="102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56.8</w:t>
                  </w:r>
                </w:p>
              </w:tc>
              <w:tc>
                <w:tcPr>
                  <w:tcW w:w="1004"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48.6</w:t>
                  </w:r>
                </w:p>
              </w:tc>
              <w:tc>
                <w:tcPr>
                  <w:tcW w:w="1081" w:type="dxa"/>
                  <w:vAlign w:val="center"/>
                </w:tcPr>
                <w:p>
                  <w:pPr>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rPr>
                    <w:t>63.</w:t>
                  </w:r>
                  <w:r>
                    <w:rPr>
                      <w:rFonts w:hint="eastAsia" w:cs="Times New Roman"/>
                      <w:bCs/>
                      <w:color w:val="auto"/>
                      <w:sz w:val="21"/>
                      <w:szCs w:val="21"/>
                      <w:lang w:val="en-US" w:eastAsia="zh-CN"/>
                    </w:rPr>
                    <w:t>6</w:t>
                  </w:r>
                </w:p>
              </w:tc>
              <w:tc>
                <w:tcPr>
                  <w:tcW w:w="1137" w:type="dxa"/>
                  <w:vAlign w:val="center"/>
                </w:tcPr>
                <w:p>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52.8</w:t>
                  </w:r>
                </w:p>
              </w:tc>
              <w:tc>
                <w:tcPr>
                  <w:tcW w:w="814"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c>
                <w:tcPr>
                  <w:tcW w:w="920" w:type="dxa"/>
                  <w:vMerge w:val="restart"/>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55</w:t>
                  </w:r>
                </w:p>
              </w:tc>
              <w:tc>
                <w:tcPr>
                  <w:tcW w:w="127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1689" w:type="dxa"/>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南侧</w:t>
                  </w:r>
                </w:p>
              </w:tc>
              <w:tc>
                <w:tcPr>
                  <w:tcW w:w="594" w:type="dxa"/>
                  <w:tcMar>
                    <w:top w:w="15" w:type="dxa"/>
                    <w:left w:w="15" w:type="dxa"/>
                    <w:bottom w:w="0" w:type="dxa"/>
                    <w:right w:w="15" w:type="dxa"/>
                  </w:tcMar>
                  <w:vAlign w:val="center"/>
                </w:tcPr>
                <w:p>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28.4</w:t>
                  </w:r>
                </w:p>
              </w:tc>
              <w:tc>
                <w:tcPr>
                  <w:tcW w:w="539" w:type="dxa"/>
                  <w:tcMar>
                    <w:top w:w="15" w:type="dxa"/>
                    <w:left w:w="15" w:type="dxa"/>
                    <w:bottom w:w="0" w:type="dxa"/>
                    <w:right w:w="15" w:type="dxa"/>
                  </w:tcMar>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w:t>
                  </w:r>
                  <w:r>
                    <w:rPr>
                      <w:rFonts w:hint="eastAsia" w:cs="Times New Roman"/>
                      <w:bCs/>
                      <w:sz w:val="21"/>
                      <w:szCs w:val="21"/>
                      <w:lang w:val="en-US" w:eastAsia="zh-CN"/>
                    </w:rPr>
                    <w:t>11</w:t>
                  </w:r>
                </w:p>
              </w:tc>
              <w:tc>
                <w:tcPr>
                  <w:tcW w:w="548" w:type="dxa"/>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w:t>
                  </w:r>
                </w:p>
              </w:tc>
              <w:tc>
                <w:tcPr>
                  <w:tcW w:w="917" w:type="dxa"/>
                  <w:vMerge w:val="continue"/>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14" w:type="dxa"/>
                  <w:vAlign w:val="center"/>
                </w:tcPr>
                <w:p>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52.4</w:t>
                  </w:r>
                </w:p>
              </w:tc>
              <w:tc>
                <w:tcPr>
                  <w:tcW w:w="870" w:type="dxa"/>
                  <w:vAlign w:val="center"/>
                </w:tcPr>
                <w:p>
                  <w:pPr>
                    <w:jc w:val="center"/>
                    <w:rPr>
                      <w:rFonts w:hint="default" w:ascii="Times New Roman" w:hAnsi="Times New Roman" w:eastAsia="宋体" w:cs="Times New Roman"/>
                      <w:bCs/>
                      <w:kern w:val="2"/>
                      <w:sz w:val="21"/>
                      <w:szCs w:val="21"/>
                      <w:lang w:val="en-US" w:eastAsia="zh-CN" w:bidi="ar-SA"/>
                    </w:rPr>
                  </w:pPr>
                  <w:r>
                    <w:rPr>
                      <w:rFonts w:hint="eastAsia" w:cs="Times New Roman"/>
                      <w:bCs/>
                      <w:sz w:val="21"/>
                      <w:szCs w:val="21"/>
                      <w:lang w:val="en-US" w:eastAsia="zh-CN"/>
                    </w:rPr>
                    <w:t>52.4</w:t>
                  </w:r>
                </w:p>
              </w:tc>
              <w:tc>
                <w:tcPr>
                  <w:tcW w:w="102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56.9</w:t>
                  </w:r>
                </w:p>
              </w:tc>
              <w:tc>
                <w:tcPr>
                  <w:tcW w:w="1004"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48.4</w:t>
                  </w:r>
                </w:p>
              </w:tc>
              <w:tc>
                <w:tcPr>
                  <w:tcW w:w="1081" w:type="dxa"/>
                  <w:vAlign w:val="center"/>
                </w:tcPr>
                <w:p>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58.4</w:t>
                  </w:r>
                </w:p>
              </w:tc>
              <w:tc>
                <w:tcPr>
                  <w:tcW w:w="1137" w:type="dxa"/>
                  <w:vAlign w:val="center"/>
                </w:tcPr>
                <w:p>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51.6</w:t>
                  </w:r>
                </w:p>
              </w:tc>
              <w:tc>
                <w:tcPr>
                  <w:tcW w:w="814" w:type="dxa"/>
                  <w:vMerge w:val="continue"/>
                  <w:vAlign w:val="center"/>
                </w:tcPr>
                <w:p>
                  <w:pPr>
                    <w:jc w:val="center"/>
                    <w:rPr>
                      <w:rFonts w:ascii="Times New Roman" w:hAnsi="Times New Roman" w:eastAsia="宋体" w:cs="Times New Roman"/>
                      <w:bCs/>
                      <w:sz w:val="21"/>
                      <w:szCs w:val="21"/>
                    </w:rPr>
                  </w:pPr>
                </w:p>
              </w:tc>
              <w:tc>
                <w:tcPr>
                  <w:tcW w:w="920" w:type="dxa"/>
                  <w:vMerge w:val="continue"/>
                  <w:vAlign w:val="center"/>
                </w:tcPr>
                <w:p>
                  <w:pPr>
                    <w:jc w:val="center"/>
                    <w:rPr>
                      <w:rFonts w:ascii="Times New Roman" w:hAnsi="Times New Roman" w:eastAsia="宋体" w:cs="Times New Roman"/>
                      <w:bCs/>
                      <w:sz w:val="21"/>
                      <w:szCs w:val="21"/>
                    </w:rPr>
                  </w:pPr>
                </w:p>
              </w:tc>
              <w:tc>
                <w:tcPr>
                  <w:tcW w:w="127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1689" w:type="dxa"/>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西侧</w:t>
                  </w:r>
                </w:p>
              </w:tc>
              <w:tc>
                <w:tcPr>
                  <w:tcW w:w="594" w:type="dxa"/>
                  <w:tcMar>
                    <w:top w:w="15" w:type="dxa"/>
                    <w:left w:w="15" w:type="dxa"/>
                    <w:bottom w:w="0" w:type="dxa"/>
                    <w:right w:w="15" w:type="dxa"/>
                  </w:tcMar>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-3</w:t>
                  </w:r>
                  <w:r>
                    <w:rPr>
                      <w:rFonts w:hint="eastAsia" w:cs="Times New Roman"/>
                      <w:bCs/>
                      <w:sz w:val="21"/>
                      <w:szCs w:val="21"/>
                      <w:lang w:val="en-US" w:eastAsia="zh-CN"/>
                    </w:rPr>
                    <w:t>1.9</w:t>
                  </w:r>
                </w:p>
              </w:tc>
              <w:tc>
                <w:tcPr>
                  <w:tcW w:w="539" w:type="dxa"/>
                  <w:tcMar>
                    <w:top w:w="15" w:type="dxa"/>
                    <w:left w:w="15" w:type="dxa"/>
                    <w:bottom w:w="0" w:type="dxa"/>
                    <w:right w:w="15" w:type="dxa"/>
                  </w:tcMar>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w:t>
                  </w:r>
                  <w:r>
                    <w:rPr>
                      <w:rFonts w:hint="eastAsia" w:cs="Times New Roman"/>
                      <w:bCs/>
                      <w:sz w:val="21"/>
                      <w:szCs w:val="21"/>
                      <w:lang w:val="en-US" w:eastAsia="zh-CN"/>
                    </w:rPr>
                    <w:t>2.8</w:t>
                  </w:r>
                </w:p>
              </w:tc>
              <w:tc>
                <w:tcPr>
                  <w:tcW w:w="548" w:type="dxa"/>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w:t>
                  </w:r>
                </w:p>
              </w:tc>
              <w:tc>
                <w:tcPr>
                  <w:tcW w:w="917" w:type="dxa"/>
                  <w:vMerge w:val="continue"/>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14" w:type="dxa"/>
                  <w:vAlign w:val="center"/>
                </w:tcPr>
                <w:p>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46.9</w:t>
                  </w:r>
                </w:p>
              </w:tc>
              <w:tc>
                <w:tcPr>
                  <w:tcW w:w="870" w:type="dxa"/>
                  <w:vAlign w:val="center"/>
                </w:tcPr>
                <w:p>
                  <w:pPr>
                    <w:jc w:val="center"/>
                    <w:rPr>
                      <w:rFonts w:hint="default" w:ascii="Times New Roman" w:hAnsi="Times New Roman" w:eastAsia="宋体" w:cs="Times New Roman"/>
                      <w:bCs/>
                      <w:kern w:val="2"/>
                      <w:sz w:val="21"/>
                      <w:szCs w:val="21"/>
                      <w:lang w:val="en-US" w:eastAsia="zh-CN" w:bidi="ar-SA"/>
                    </w:rPr>
                  </w:pPr>
                  <w:r>
                    <w:rPr>
                      <w:rFonts w:hint="eastAsia" w:cs="Times New Roman"/>
                      <w:bCs/>
                      <w:sz w:val="21"/>
                      <w:szCs w:val="21"/>
                      <w:lang w:val="en-US" w:eastAsia="zh-CN"/>
                    </w:rPr>
                    <w:t>46.9</w:t>
                  </w:r>
                </w:p>
              </w:tc>
              <w:tc>
                <w:tcPr>
                  <w:tcW w:w="102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57.0</w:t>
                  </w:r>
                </w:p>
              </w:tc>
              <w:tc>
                <w:tcPr>
                  <w:tcW w:w="1004"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48.2</w:t>
                  </w:r>
                </w:p>
              </w:tc>
              <w:tc>
                <w:tcPr>
                  <w:tcW w:w="1081" w:type="dxa"/>
                  <w:vAlign w:val="center"/>
                </w:tcPr>
                <w:p>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63.9</w:t>
                  </w:r>
                </w:p>
              </w:tc>
              <w:tc>
                <w:tcPr>
                  <w:tcW w:w="1137" w:type="dxa"/>
                  <w:vAlign w:val="center"/>
                </w:tcPr>
                <w:p>
                  <w:pPr>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54.4</w:t>
                  </w:r>
                </w:p>
              </w:tc>
              <w:tc>
                <w:tcPr>
                  <w:tcW w:w="814" w:type="dxa"/>
                  <w:vMerge w:val="continue"/>
                  <w:vAlign w:val="center"/>
                </w:tcPr>
                <w:p>
                  <w:pPr>
                    <w:jc w:val="center"/>
                    <w:rPr>
                      <w:rFonts w:ascii="Times New Roman" w:hAnsi="Times New Roman" w:eastAsia="宋体" w:cs="Times New Roman"/>
                      <w:bCs/>
                      <w:sz w:val="21"/>
                      <w:szCs w:val="21"/>
                    </w:rPr>
                  </w:pPr>
                </w:p>
              </w:tc>
              <w:tc>
                <w:tcPr>
                  <w:tcW w:w="920" w:type="dxa"/>
                  <w:vMerge w:val="continue"/>
                  <w:vAlign w:val="center"/>
                </w:tcPr>
                <w:p>
                  <w:pPr>
                    <w:jc w:val="center"/>
                    <w:rPr>
                      <w:rFonts w:ascii="Times New Roman" w:hAnsi="Times New Roman" w:eastAsia="宋体" w:cs="Times New Roman"/>
                      <w:bCs/>
                      <w:sz w:val="21"/>
                      <w:szCs w:val="21"/>
                    </w:rPr>
                  </w:pPr>
                </w:p>
              </w:tc>
              <w:tc>
                <w:tcPr>
                  <w:tcW w:w="127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1689" w:type="dxa"/>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北侧</w:t>
                  </w:r>
                </w:p>
              </w:tc>
              <w:tc>
                <w:tcPr>
                  <w:tcW w:w="594" w:type="dxa"/>
                  <w:tcMar>
                    <w:top w:w="15" w:type="dxa"/>
                    <w:left w:w="15" w:type="dxa"/>
                    <w:bottom w:w="0" w:type="dxa"/>
                    <w:right w:w="15" w:type="dxa"/>
                  </w:tcMar>
                  <w:vAlign w:val="center"/>
                </w:tcPr>
                <w:p>
                  <w:pPr>
                    <w:jc w:val="center"/>
                    <w:rPr>
                      <w:rFonts w:hint="eastAsia" w:ascii="Times New Roman" w:hAnsi="Times New Roman" w:eastAsia="宋体" w:cs="Times New Roman"/>
                      <w:bCs/>
                      <w:sz w:val="21"/>
                      <w:szCs w:val="21"/>
                      <w:lang w:eastAsia="zh-CN"/>
                    </w:rPr>
                  </w:pPr>
                  <w:r>
                    <w:rPr>
                      <w:rFonts w:hint="eastAsia" w:cs="Times New Roman"/>
                      <w:bCs/>
                      <w:sz w:val="21"/>
                      <w:szCs w:val="21"/>
                      <w:lang w:val="en-US" w:eastAsia="zh-CN"/>
                    </w:rPr>
                    <w:t>5</w:t>
                  </w:r>
                </w:p>
              </w:tc>
              <w:tc>
                <w:tcPr>
                  <w:tcW w:w="539" w:type="dxa"/>
                  <w:tcMar>
                    <w:top w:w="15" w:type="dxa"/>
                    <w:left w:w="15" w:type="dxa"/>
                    <w:bottom w:w="0" w:type="dxa"/>
                    <w:right w:w="15" w:type="dxa"/>
                  </w:tcMar>
                  <w:vAlign w:val="center"/>
                </w:tcPr>
                <w:p>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15</w:t>
                  </w:r>
                </w:p>
              </w:tc>
              <w:tc>
                <w:tcPr>
                  <w:tcW w:w="548" w:type="dxa"/>
                  <w:tcMar>
                    <w:top w:w="15" w:type="dxa"/>
                    <w:left w:w="15" w:type="dxa"/>
                    <w:bottom w:w="0" w:type="dxa"/>
                    <w:right w:w="15" w:type="dxa"/>
                  </w:tcMar>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w:t>
                  </w:r>
                </w:p>
              </w:tc>
              <w:tc>
                <w:tcPr>
                  <w:tcW w:w="917" w:type="dxa"/>
                  <w:vMerge w:val="continue"/>
                  <w:tcMar>
                    <w:top w:w="15" w:type="dxa"/>
                    <w:left w:w="15" w:type="dxa"/>
                    <w:bottom w:w="0" w:type="dxa"/>
                    <w:right w:w="15" w:type="dxa"/>
                  </w:tcMar>
                  <w:vAlign w:val="center"/>
                </w:tcPr>
                <w:p>
                  <w:pPr>
                    <w:jc w:val="center"/>
                    <w:rPr>
                      <w:rFonts w:ascii="Times New Roman" w:hAnsi="Times New Roman" w:eastAsia="宋体" w:cs="Times New Roman"/>
                      <w:bCs/>
                      <w:sz w:val="21"/>
                      <w:szCs w:val="21"/>
                    </w:rPr>
                  </w:pPr>
                </w:p>
              </w:tc>
              <w:tc>
                <w:tcPr>
                  <w:tcW w:w="914" w:type="dxa"/>
                  <w:vAlign w:val="center"/>
                </w:tcPr>
                <w:p>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49</w:t>
                  </w:r>
                </w:p>
              </w:tc>
              <w:tc>
                <w:tcPr>
                  <w:tcW w:w="870" w:type="dxa"/>
                  <w:vAlign w:val="center"/>
                </w:tcPr>
                <w:p>
                  <w:pPr>
                    <w:jc w:val="center"/>
                    <w:rPr>
                      <w:rFonts w:hint="default" w:ascii="Times New Roman" w:hAnsi="Times New Roman" w:eastAsia="宋体" w:cs="Times New Roman"/>
                      <w:bCs/>
                      <w:kern w:val="2"/>
                      <w:sz w:val="21"/>
                      <w:szCs w:val="21"/>
                      <w:lang w:val="en-US" w:eastAsia="zh-CN" w:bidi="ar-SA"/>
                    </w:rPr>
                  </w:pPr>
                  <w:r>
                    <w:rPr>
                      <w:rFonts w:hint="eastAsia" w:cs="Times New Roman"/>
                      <w:bCs/>
                      <w:sz w:val="21"/>
                      <w:szCs w:val="21"/>
                      <w:lang w:val="en-US" w:eastAsia="zh-CN"/>
                    </w:rPr>
                    <w:t>49</w:t>
                  </w:r>
                </w:p>
              </w:tc>
              <w:tc>
                <w:tcPr>
                  <w:tcW w:w="102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57.2</w:t>
                  </w:r>
                </w:p>
              </w:tc>
              <w:tc>
                <w:tcPr>
                  <w:tcW w:w="1004"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48.8</w:t>
                  </w:r>
                </w:p>
              </w:tc>
              <w:tc>
                <w:tcPr>
                  <w:tcW w:w="1081" w:type="dxa"/>
                  <w:vAlign w:val="center"/>
                </w:tcPr>
                <w:p>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64.8</w:t>
                  </w:r>
                </w:p>
              </w:tc>
              <w:tc>
                <w:tcPr>
                  <w:tcW w:w="1137" w:type="dxa"/>
                  <w:vAlign w:val="center"/>
                </w:tcPr>
                <w:p>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54.9</w:t>
                  </w:r>
                </w:p>
              </w:tc>
              <w:tc>
                <w:tcPr>
                  <w:tcW w:w="814" w:type="dxa"/>
                  <w:vMerge w:val="continue"/>
                  <w:vAlign w:val="center"/>
                </w:tcPr>
                <w:p>
                  <w:pPr>
                    <w:jc w:val="center"/>
                    <w:rPr>
                      <w:rFonts w:ascii="Times New Roman" w:hAnsi="Times New Roman" w:eastAsia="宋体" w:cs="Times New Roman"/>
                      <w:bCs/>
                      <w:sz w:val="21"/>
                      <w:szCs w:val="21"/>
                    </w:rPr>
                  </w:pPr>
                </w:p>
              </w:tc>
              <w:tc>
                <w:tcPr>
                  <w:tcW w:w="920" w:type="dxa"/>
                  <w:vMerge w:val="continue"/>
                  <w:vAlign w:val="center"/>
                </w:tcPr>
                <w:p>
                  <w:pPr>
                    <w:jc w:val="center"/>
                    <w:rPr>
                      <w:rFonts w:ascii="Times New Roman" w:hAnsi="Times New Roman" w:eastAsia="宋体" w:cs="Times New Roman"/>
                      <w:bCs/>
                      <w:sz w:val="21"/>
                      <w:szCs w:val="21"/>
                    </w:rPr>
                  </w:pPr>
                </w:p>
              </w:tc>
              <w:tc>
                <w:tcPr>
                  <w:tcW w:w="1271" w:type="dxa"/>
                  <w:vAlign w:val="center"/>
                </w:tcPr>
                <w:p>
                  <w:pPr>
                    <w:jc w:val="center"/>
                    <w:rPr>
                      <w:rFonts w:ascii="Times New Roman" w:hAnsi="Times New Roman" w:eastAsia="宋体" w:cs="Times New Roman"/>
                      <w:bCs/>
                      <w:sz w:val="21"/>
                      <w:szCs w:val="21"/>
                    </w:rPr>
                  </w:pPr>
                  <w:r>
                    <w:rPr>
                      <w:rFonts w:ascii="Times New Roman" w:hAnsi="Times New Roman" w:eastAsia="宋体" w:cs="Times New Roman"/>
                      <w:bCs/>
                      <w:sz w:val="21"/>
                      <w:szCs w:val="21"/>
                    </w:rPr>
                    <w:t>达标</w:t>
                  </w:r>
                </w:p>
              </w:tc>
            </w:tr>
          </w:tbl>
          <w:p>
            <w:pPr>
              <w:adjustRightInd w:val="0"/>
              <w:snapToGrid w:val="0"/>
              <w:spacing w:line="460" w:lineRule="exact"/>
              <w:jc w:val="center"/>
            </w:pPr>
            <w:r>
              <w:rPr>
                <w:rFonts w:ascii="Times New Roman" w:hAnsi="Times New Roman" w:cs="Times New Roman"/>
                <w:b/>
                <w:bCs/>
                <w:szCs w:val="21"/>
              </w:rPr>
              <w:t>表</w:t>
            </w:r>
            <w:r>
              <w:rPr>
                <w:rFonts w:hint="eastAsia" w:cs="Times New Roman"/>
                <w:b/>
                <w:bCs/>
                <w:szCs w:val="21"/>
                <w:lang w:val="en-US" w:eastAsia="zh-CN"/>
              </w:rPr>
              <w:t xml:space="preserve">4.4-5 </w:t>
            </w:r>
            <w:r>
              <w:rPr>
                <w:rFonts w:hint="eastAsia" w:ascii="Times New Roman" w:hAnsi="Times New Roman" w:cs="Times New Roman"/>
                <w:b/>
                <w:bCs/>
                <w:szCs w:val="21"/>
              </w:rPr>
              <w:t>工业企业声环境保护目标</w:t>
            </w:r>
            <w:r>
              <w:rPr>
                <w:rFonts w:ascii="Times New Roman" w:hAnsi="Times New Roman" w:cs="Times New Roman"/>
                <w:b/>
                <w:bCs/>
                <w:szCs w:val="21"/>
              </w:rPr>
              <w:t>噪声预测结果</w:t>
            </w:r>
            <w:r>
              <w:rPr>
                <w:rFonts w:hint="eastAsia" w:ascii="Times New Roman" w:hAnsi="Times New Roman" w:cs="Times New Roman"/>
                <w:b/>
                <w:bCs/>
                <w:szCs w:val="21"/>
              </w:rPr>
              <w:t>与达标分析表</w:t>
            </w:r>
          </w:p>
          <w:tbl>
            <w:tblPr>
              <w:tblStyle w:val="41"/>
              <w:tblW w:w="13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
              <w:gridCol w:w="1305"/>
              <w:gridCol w:w="832"/>
              <w:gridCol w:w="832"/>
              <w:gridCol w:w="832"/>
              <w:gridCol w:w="833"/>
              <w:gridCol w:w="833"/>
              <w:gridCol w:w="833"/>
              <w:gridCol w:w="833"/>
              <w:gridCol w:w="833"/>
              <w:gridCol w:w="833"/>
              <w:gridCol w:w="833"/>
              <w:gridCol w:w="833"/>
              <w:gridCol w:w="833"/>
              <w:gridCol w:w="834"/>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Merge w:val="restart"/>
                  <w:vAlign w:val="center"/>
                </w:tcPr>
                <w:p>
                  <w:pPr>
                    <w:pStyle w:val="144"/>
                    <w:spacing w:before="24" w:after="24" w:line="240" w:lineRule="auto"/>
                    <w:rPr>
                      <w:rFonts w:ascii="Times New Roman" w:hAnsi="Times New Roman" w:eastAsia="宋体" w:cs="Times New Roman"/>
                      <w:bCs/>
                      <w:sz w:val="21"/>
                      <w:szCs w:val="21"/>
                    </w:rPr>
                  </w:pPr>
                  <w:r>
                    <w:rPr>
                      <w:rFonts w:ascii="Times New Roman" w:hAnsi="Times New Roman" w:eastAsia="宋体" w:cs="Times New Roman"/>
                      <w:bCs/>
                      <w:sz w:val="21"/>
                      <w:szCs w:val="21"/>
                    </w:rPr>
                    <w:t>序号</w:t>
                  </w:r>
                </w:p>
              </w:tc>
              <w:tc>
                <w:tcPr>
                  <w:tcW w:w="1305" w:type="dxa"/>
                  <w:vMerge w:val="restart"/>
                  <w:vAlign w:val="center"/>
                </w:tcPr>
                <w:p>
                  <w:pPr>
                    <w:pStyle w:val="144"/>
                    <w:spacing w:before="24" w:after="24" w:line="240" w:lineRule="auto"/>
                    <w:rPr>
                      <w:rFonts w:ascii="Times New Roman" w:hAnsi="Times New Roman" w:eastAsia="宋体" w:cs="Times New Roman"/>
                      <w:bCs/>
                      <w:sz w:val="21"/>
                      <w:szCs w:val="21"/>
                    </w:rPr>
                  </w:pPr>
                  <w:r>
                    <w:rPr>
                      <w:rFonts w:ascii="Times New Roman" w:hAnsi="Times New Roman" w:eastAsia="宋体" w:cs="Times New Roman"/>
                      <w:bCs/>
                      <w:sz w:val="21"/>
                      <w:szCs w:val="21"/>
                    </w:rPr>
                    <w:t>声环境保护目标</w:t>
                  </w:r>
                </w:p>
              </w:tc>
              <w:tc>
                <w:tcPr>
                  <w:tcW w:w="1664" w:type="dxa"/>
                  <w:gridSpan w:val="2"/>
                  <w:vAlign w:val="center"/>
                </w:tcPr>
                <w:p>
                  <w:pPr>
                    <w:jc w:val="center"/>
                    <w:rPr>
                      <w:rFonts w:ascii="Times New Roman" w:hAnsi="Times New Roman" w:cs="Times New Roman"/>
                      <w:bCs/>
                      <w:sz w:val="18"/>
                      <w:szCs w:val="18"/>
                    </w:rPr>
                  </w:pPr>
                  <w:r>
                    <w:rPr>
                      <w:rFonts w:ascii="Times New Roman" w:hAnsi="Times New Roman" w:eastAsia="宋体" w:cs="Times New Roman"/>
                      <w:bCs/>
                      <w:kern w:val="0"/>
                      <w:sz w:val="18"/>
                      <w:szCs w:val="18"/>
                    </w:rPr>
                    <w:t>噪声背景值</w:t>
                  </w:r>
                  <w:r>
                    <w:rPr>
                      <w:rFonts w:ascii="Times New Roman" w:hAnsi="Times New Roman" w:eastAsia="宋体" w:cs="Times New Roman"/>
                      <w:bCs/>
                      <w:sz w:val="18"/>
                      <w:szCs w:val="18"/>
                    </w:rPr>
                    <w:t>dB（A）</w:t>
                  </w:r>
                </w:p>
              </w:tc>
              <w:tc>
                <w:tcPr>
                  <w:tcW w:w="1665" w:type="dxa"/>
                  <w:gridSpan w:val="2"/>
                  <w:vAlign w:val="center"/>
                </w:tcPr>
                <w:p>
                  <w:pPr>
                    <w:jc w:val="center"/>
                    <w:rPr>
                      <w:rFonts w:ascii="Times New Roman" w:hAnsi="Times New Roman" w:cs="Times New Roman"/>
                      <w:bCs/>
                      <w:sz w:val="18"/>
                      <w:szCs w:val="18"/>
                    </w:rPr>
                  </w:pPr>
                  <w:r>
                    <w:rPr>
                      <w:rFonts w:ascii="Times New Roman" w:hAnsi="Times New Roman" w:eastAsia="宋体" w:cs="Times New Roman"/>
                      <w:bCs/>
                      <w:kern w:val="0"/>
                      <w:sz w:val="18"/>
                      <w:szCs w:val="18"/>
                    </w:rPr>
                    <w:t>噪声现状值</w:t>
                  </w:r>
                  <w:r>
                    <w:rPr>
                      <w:rFonts w:ascii="Times New Roman" w:hAnsi="Times New Roman" w:eastAsia="宋体" w:cs="Times New Roman"/>
                      <w:bCs/>
                      <w:sz w:val="18"/>
                      <w:szCs w:val="18"/>
                    </w:rPr>
                    <w:t>dB（A）</w:t>
                  </w:r>
                </w:p>
              </w:tc>
              <w:tc>
                <w:tcPr>
                  <w:tcW w:w="1666" w:type="dxa"/>
                  <w:gridSpan w:val="2"/>
                  <w:vAlign w:val="center"/>
                </w:tcPr>
                <w:p>
                  <w:pPr>
                    <w:jc w:val="center"/>
                    <w:rPr>
                      <w:rFonts w:ascii="Times New Roman" w:hAnsi="Times New Roman" w:cs="Times New Roman"/>
                      <w:bCs/>
                      <w:sz w:val="18"/>
                      <w:szCs w:val="18"/>
                    </w:rPr>
                  </w:pPr>
                  <w:r>
                    <w:rPr>
                      <w:rFonts w:ascii="Times New Roman" w:hAnsi="Times New Roman" w:eastAsia="宋体" w:cs="Times New Roman"/>
                      <w:bCs/>
                      <w:kern w:val="0"/>
                      <w:sz w:val="18"/>
                      <w:szCs w:val="18"/>
                    </w:rPr>
                    <w:t>噪声标准</w:t>
                  </w:r>
                  <w:r>
                    <w:rPr>
                      <w:rFonts w:ascii="Times New Roman" w:hAnsi="Times New Roman" w:eastAsia="宋体" w:cs="Times New Roman"/>
                      <w:bCs/>
                      <w:sz w:val="18"/>
                      <w:szCs w:val="18"/>
                    </w:rPr>
                    <w:t>dB（A）</w:t>
                  </w:r>
                </w:p>
              </w:tc>
              <w:tc>
                <w:tcPr>
                  <w:tcW w:w="1666" w:type="dxa"/>
                  <w:gridSpan w:val="2"/>
                  <w:vAlign w:val="center"/>
                </w:tcPr>
                <w:p>
                  <w:pPr>
                    <w:jc w:val="center"/>
                    <w:rPr>
                      <w:rFonts w:ascii="Times New Roman" w:hAnsi="Times New Roman" w:cs="Times New Roman"/>
                      <w:bCs/>
                      <w:sz w:val="18"/>
                      <w:szCs w:val="18"/>
                    </w:rPr>
                  </w:pPr>
                  <w:r>
                    <w:rPr>
                      <w:rFonts w:ascii="Times New Roman" w:hAnsi="Times New Roman" w:eastAsia="宋体" w:cs="Times New Roman"/>
                      <w:bCs/>
                      <w:kern w:val="0"/>
                      <w:sz w:val="18"/>
                      <w:szCs w:val="18"/>
                    </w:rPr>
                    <w:t>噪声贡献值</w:t>
                  </w:r>
                  <w:r>
                    <w:rPr>
                      <w:rFonts w:ascii="Times New Roman" w:hAnsi="Times New Roman" w:eastAsia="宋体" w:cs="Times New Roman"/>
                      <w:bCs/>
                      <w:sz w:val="18"/>
                      <w:szCs w:val="18"/>
                    </w:rPr>
                    <w:t>dB（A）</w:t>
                  </w:r>
                </w:p>
              </w:tc>
              <w:tc>
                <w:tcPr>
                  <w:tcW w:w="1666" w:type="dxa"/>
                  <w:gridSpan w:val="2"/>
                  <w:vAlign w:val="center"/>
                </w:tcPr>
                <w:p>
                  <w:pPr>
                    <w:jc w:val="center"/>
                    <w:rPr>
                      <w:rFonts w:ascii="Times New Roman" w:hAnsi="Times New Roman" w:cs="Times New Roman"/>
                      <w:bCs/>
                      <w:sz w:val="18"/>
                      <w:szCs w:val="18"/>
                    </w:rPr>
                  </w:pPr>
                  <w:r>
                    <w:rPr>
                      <w:rFonts w:ascii="Times New Roman" w:hAnsi="Times New Roman" w:eastAsia="宋体" w:cs="Times New Roman"/>
                      <w:bCs/>
                      <w:kern w:val="0"/>
                      <w:sz w:val="18"/>
                      <w:szCs w:val="18"/>
                    </w:rPr>
                    <w:t>噪声预测值</w:t>
                  </w:r>
                  <w:r>
                    <w:rPr>
                      <w:rFonts w:ascii="Times New Roman" w:hAnsi="Times New Roman" w:eastAsia="宋体" w:cs="Times New Roman"/>
                      <w:bCs/>
                      <w:sz w:val="18"/>
                      <w:szCs w:val="18"/>
                    </w:rPr>
                    <w:t>dB（A）</w:t>
                  </w:r>
                </w:p>
              </w:tc>
              <w:tc>
                <w:tcPr>
                  <w:tcW w:w="1666" w:type="dxa"/>
                  <w:gridSpan w:val="2"/>
                  <w:vAlign w:val="center"/>
                </w:tcPr>
                <w:p>
                  <w:pPr>
                    <w:jc w:val="center"/>
                    <w:rPr>
                      <w:rFonts w:ascii="Times New Roman" w:hAnsi="Times New Roman" w:cs="Times New Roman"/>
                      <w:bCs/>
                      <w:sz w:val="18"/>
                      <w:szCs w:val="18"/>
                    </w:rPr>
                  </w:pPr>
                  <w:r>
                    <w:rPr>
                      <w:rFonts w:ascii="Times New Roman" w:hAnsi="Times New Roman" w:eastAsia="宋体" w:cs="Times New Roman"/>
                      <w:bCs/>
                      <w:kern w:val="0"/>
                      <w:sz w:val="18"/>
                      <w:szCs w:val="18"/>
                    </w:rPr>
                    <w:t>较现状增量</w:t>
                  </w:r>
                  <w:r>
                    <w:rPr>
                      <w:rFonts w:ascii="Times New Roman" w:hAnsi="Times New Roman" w:eastAsia="宋体" w:cs="Times New Roman"/>
                      <w:bCs/>
                      <w:sz w:val="18"/>
                      <w:szCs w:val="18"/>
                    </w:rPr>
                    <w:t>dB（A）</w:t>
                  </w:r>
                </w:p>
              </w:tc>
              <w:tc>
                <w:tcPr>
                  <w:tcW w:w="1668" w:type="dxa"/>
                  <w:gridSpan w:val="2"/>
                  <w:vAlign w:val="center"/>
                </w:tcPr>
                <w:p>
                  <w:pPr>
                    <w:jc w:val="center"/>
                    <w:rPr>
                      <w:rFonts w:ascii="Times New Roman" w:hAnsi="Times New Roman" w:cs="Times New Roman"/>
                      <w:bCs/>
                      <w:sz w:val="18"/>
                      <w:szCs w:val="18"/>
                    </w:rPr>
                  </w:pPr>
                  <w:r>
                    <w:rPr>
                      <w:rFonts w:ascii="Times New Roman" w:hAnsi="Times New Roman" w:eastAsia="宋体" w:cs="Times New Roman"/>
                      <w:bCs/>
                      <w:kern w:val="0"/>
                      <w:sz w:val="18"/>
                      <w:szCs w:val="18"/>
                    </w:rPr>
                    <w:t>超标和达标情况</w:t>
                  </w:r>
                  <w:r>
                    <w:rPr>
                      <w:rFonts w:ascii="Times New Roman" w:hAnsi="Times New Roman" w:eastAsia="宋体" w:cs="Times New Roman"/>
                      <w:bCs/>
                      <w:sz w:val="18"/>
                      <w:szCs w:val="18"/>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Merge w:val="continue"/>
                  <w:vAlign w:val="center"/>
                </w:tcPr>
                <w:p>
                  <w:pPr>
                    <w:jc w:val="center"/>
                    <w:rPr>
                      <w:rFonts w:ascii="Times New Roman" w:hAnsi="Times New Roman" w:cs="Times New Roman"/>
                      <w:bCs/>
                      <w:sz w:val="21"/>
                      <w:szCs w:val="21"/>
                    </w:rPr>
                  </w:pPr>
                </w:p>
              </w:tc>
              <w:tc>
                <w:tcPr>
                  <w:tcW w:w="1305" w:type="dxa"/>
                  <w:vMerge w:val="continue"/>
                  <w:vAlign w:val="center"/>
                </w:tcPr>
                <w:p>
                  <w:pPr>
                    <w:jc w:val="center"/>
                    <w:rPr>
                      <w:rFonts w:ascii="Times New Roman" w:hAnsi="Times New Roman" w:cs="Times New Roman"/>
                      <w:bCs/>
                      <w:sz w:val="21"/>
                      <w:szCs w:val="21"/>
                    </w:rPr>
                  </w:pPr>
                </w:p>
              </w:tc>
              <w:tc>
                <w:tcPr>
                  <w:tcW w:w="832"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昼间</w:t>
                  </w:r>
                </w:p>
              </w:tc>
              <w:tc>
                <w:tcPr>
                  <w:tcW w:w="832"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夜间</w:t>
                  </w:r>
                </w:p>
              </w:tc>
              <w:tc>
                <w:tcPr>
                  <w:tcW w:w="832"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昼间</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夜间</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昼间</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夜间</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昼间</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夜间</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昼间</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夜间</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昼间</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夜间</w:t>
                  </w:r>
                </w:p>
              </w:tc>
              <w:tc>
                <w:tcPr>
                  <w:tcW w:w="834"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昼间</w:t>
                  </w:r>
                </w:p>
              </w:tc>
              <w:tc>
                <w:tcPr>
                  <w:tcW w:w="834"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1</w:t>
                  </w:r>
                </w:p>
              </w:tc>
              <w:tc>
                <w:tcPr>
                  <w:tcW w:w="1305" w:type="dxa"/>
                  <w:vAlign w:val="center"/>
                </w:tcPr>
                <w:p>
                  <w:pPr>
                    <w:pStyle w:val="3"/>
                    <w:ind w:firstLine="0"/>
                    <w:jc w:val="center"/>
                    <w:rPr>
                      <w:rFonts w:ascii="Times New Roman" w:hAnsi="Times New Roman" w:cs="Times New Roman"/>
                      <w:bCs/>
                      <w:sz w:val="21"/>
                      <w:szCs w:val="21"/>
                    </w:rPr>
                  </w:pPr>
                  <w:r>
                    <w:rPr>
                      <w:rFonts w:hint="eastAsia" w:ascii="Times New Roman" w:hAnsi="Times New Roman" w:cs="Times New Roman"/>
                      <w:bCs/>
                    </w:rPr>
                    <w:t>龙从村㘰里住宅</w:t>
                  </w:r>
                </w:p>
              </w:tc>
              <w:tc>
                <w:tcPr>
                  <w:tcW w:w="832" w:type="dxa"/>
                  <w:vAlign w:val="center"/>
                </w:tcPr>
                <w:p>
                  <w:pPr>
                    <w:tabs>
                      <w:tab w:val="left" w:pos="2760"/>
                    </w:tabs>
                    <w:spacing w:line="240" w:lineRule="exact"/>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53.9</w:t>
                  </w:r>
                </w:p>
              </w:tc>
              <w:tc>
                <w:tcPr>
                  <w:tcW w:w="832" w:type="dxa"/>
                  <w:vAlign w:val="center"/>
                </w:tcPr>
                <w:p>
                  <w:pPr>
                    <w:tabs>
                      <w:tab w:val="left" w:pos="2760"/>
                    </w:tabs>
                    <w:spacing w:line="240" w:lineRule="exact"/>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46.4</w:t>
                  </w:r>
                </w:p>
              </w:tc>
              <w:tc>
                <w:tcPr>
                  <w:tcW w:w="832" w:type="dxa"/>
                  <w:vAlign w:val="center"/>
                </w:tcPr>
                <w:p>
                  <w:pPr>
                    <w:tabs>
                      <w:tab w:val="left" w:pos="2760"/>
                    </w:tabs>
                    <w:spacing w:line="240" w:lineRule="exac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bCs/>
                      <w:sz w:val="21"/>
                      <w:szCs w:val="21"/>
                      <w:lang w:val="en-US" w:eastAsia="zh-CN"/>
                    </w:rPr>
                    <w:t>53.9</w:t>
                  </w:r>
                </w:p>
              </w:tc>
              <w:tc>
                <w:tcPr>
                  <w:tcW w:w="833" w:type="dxa"/>
                  <w:vAlign w:val="center"/>
                </w:tcPr>
                <w:p>
                  <w:pPr>
                    <w:tabs>
                      <w:tab w:val="left" w:pos="2760"/>
                    </w:tabs>
                    <w:spacing w:line="240" w:lineRule="exac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bCs/>
                      <w:sz w:val="21"/>
                      <w:szCs w:val="21"/>
                      <w:lang w:val="en-US" w:eastAsia="zh-CN"/>
                    </w:rPr>
                    <w:t>46.4</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60</w:t>
                  </w:r>
                </w:p>
              </w:tc>
              <w:tc>
                <w:tcPr>
                  <w:tcW w:w="833"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50</w:t>
                  </w:r>
                </w:p>
              </w:tc>
              <w:tc>
                <w:tcPr>
                  <w:tcW w:w="833" w:type="dxa"/>
                  <w:vAlign w:val="center"/>
                </w:tcPr>
                <w:p>
                  <w:pPr>
                    <w:tabs>
                      <w:tab w:val="left" w:pos="2760"/>
                    </w:tabs>
                    <w:spacing w:line="240" w:lineRule="exact"/>
                    <w:jc w:val="center"/>
                    <w:rPr>
                      <w:rFonts w:ascii="Times New Roman" w:hAnsi="Times New Roman" w:cs="Times New Roman"/>
                      <w:bCs/>
                      <w:sz w:val="21"/>
                      <w:szCs w:val="21"/>
                    </w:rPr>
                  </w:pPr>
                  <w:r>
                    <w:rPr>
                      <w:rFonts w:hint="eastAsia" w:ascii="Times New Roman" w:hAnsi="Times New Roman" w:cs="Times New Roman"/>
                      <w:bCs/>
                      <w:sz w:val="21"/>
                      <w:szCs w:val="21"/>
                    </w:rPr>
                    <w:t>48.9</w:t>
                  </w:r>
                </w:p>
              </w:tc>
              <w:tc>
                <w:tcPr>
                  <w:tcW w:w="833" w:type="dxa"/>
                  <w:vAlign w:val="center"/>
                </w:tcPr>
                <w:p>
                  <w:pPr>
                    <w:tabs>
                      <w:tab w:val="left" w:pos="2760"/>
                    </w:tabs>
                    <w:spacing w:line="240" w:lineRule="exact"/>
                    <w:jc w:val="center"/>
                    <w:rPr>
                      <w:rFonts w:ascii="Times New Roman" w:hAnsi="Times New Roman" w:cs="Times New Roman"/>
                      <w:bCs/>
                      <w:sz w:val="21"/>
                      <w:szCs w:val="21"/>
                    </w:rPr>
                  </w:pPr>
                  <w:r>
                    <w:rPr>
                      <w:rFonts w:hint="eastAsia" w:ascii="Times New Roman" w:hAnsi="Times New Roman" w:cs="Times New Roman"/>
                      <w:bCs/>
                      <w:sz w:val="21"/>
                      <w:szCs w:val="21"/>
                    </w:rPr>
                    <w:t>48.9</w:t>
                  </w:r>
                </w:p>
              </w:tc>
              <w:tc>
                <w:tcPr>
                  <w:tcW w:w="833" w:type="dxa"/>
                  <w:vAlign w:val="center"/>
                </w:tcPr>
                <w:p>
                  <w:pPr>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56.6</w:t>
                  </w:r>
                </w:p>
              </w:tc>
              <w:tc>
                <w:tcPr>
                  <w:tcW w:w="833" w:type="dxa"/>
                  <w:vAlign w:val="center"/>
                </w:tcPr>
                <w:p>
                  <w:pPr>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48.</w:t>
                  </w:r>
                  <w:r>
                    <w:rPr>
                      <w:rFonts w:hint="eastAsia" w:ascii="Times New Roman" w:hAnsi="Times New Roman" w:eastAsia="宋体" w:cs="Times New Roman"/>
                      <w:bCs/>
                      <w:color w:val="auto"/>
                      <w:sz w:val="21"/>
                      <w:szCs w:val="21"/>
                    </w:rPr>
                    <w:t>8</w:t>
                  </w:r>
                </w:p>
              </w:tc>
              <w:tc>
                <w:tcPr>
                  <w:tcW w:w="833" w:type="dxa"/>
                  <w:vAlign w:val="center"/>
                </w:tcPr>
                <w:p>
                  <w:pPr>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0</w:t>
                  </w:r>
                </w:p>
              </w:tc>
              <w:tc>
                <w:tcPr>
                  <w:tcW w:w="833" w:type="dxa"/>
                  <w:vAlign w:val="center"/>
                </w:tcPr>
                <w:p>
                  <w:pPr>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0</w:t>
                  </w:r>
                </w:p>
              </w:tc>
              <w:tc>
                <w:tcPr>
                  <w:tcW w:w="834"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达标</w:t>
                  </w:r>
                </w:p>
              </w:tc>
              <w:tc>
                <w:tcPr>
                  <w:tcW w:w="834" w:type="dxa"/>
                  <w:vAlign w:val="center"/>
                </w:tcPr>
                <w:p>
                  <w:pPr>
                    <w:jc w:val="center"/>
                    <w:rPr>
                      <w:rFonts w:ascii="Times New Roman" w:hAnsi="Times New Roman" w:cs="Times New Roman"/>
                      <w:bCs/>
                      <w:sz w:val="21"/>
                      <w:szCs w:val="21"/>
                    </w:rPr>
                  </w:pPr>
                  <w:r>
                    <w:rPr>
                      <w:rFonts w:ascii="Times New Roman" w:hAnsi="Times New Roman" w:cs="Times New Roman"/>
                      <w:bCs/>
                      <w:sz w:val="21"/>
                      <w:szCs w:val="21"/>
                    </w:rPr>
                    <w:t>达标</w:t>
                  </w:r>
                </w:p>
              </w:tc>
            </w:tr>
          </w:tbl>
          <w:p>
            <w:pPr>
              <w:spacing w:line="500" w:lineRule="exact"/>
              <w:ind w:firstLine="480" w:firstLineChars="200"/>
              <w:contextualSpacing/>
              <w:rPr>
                <w:color w:val="auto"/>
                <w:sz w:val="24"/>
              </w:rPr>
            </w:pPr>
            <w:r>
              <w:rPr>
                <w:rFonts w:hAnsi="宋体"/>
                <w:color w:val="auto"/>
                <w:sz w:val="24"/>
                <w:lang w:val="zh-CN"/>
              </w:rPr>
              <w:t>由预测结果可知，</w:t>
            </w:r>
            <w:r>
              <w:rPr>
                <w:rFonts w:hAnsi="宋体"/>
                <w:color w:val="auto"/>
                <w:sz w:val="24"/>
                <w:szCs w:val="22"/>
              </w:rPr>
              <w:t>在采取相应的噪声防治措施后，</w:t>
            </w:r>
            <w:r>
              <w:rPr>
                <w:rFonts w:hAnsi="宋体"/>
                <w:color w:val="auto"/>
                <w:sz w:val="24"/>
                <w:lang w:val="zh-CN"/>
              </w:rPr>
              <w:t>厂界四周噪声</w:t>
            </w:r>
            <w:r>
              <w:rPr>
                <w:rFonts w:hAnsi="宋体"/>
                <w:color w:val="auto"/>
                <w:sz w:val="24"/>
              </w:rPr>
              <w:t>昼夜间贡献值</w:t>
            </w:r>
            <w:r>
              <w:rPr>
                <w:rFonts w:hAnsi="宋体"/>
                <w:color w:val="auto"/>
                <w:sz w:val="24"/>
                <w:lang w:val="zh-CN"/>
              </w:rPr>
              <w:t>能达到</w:t>
            </w:r>
            <w:r>
              <w:rPr>
                <w:rFonts w:hAnsi="宋体"/>
                <w:color w:val="auto"/>
                <w:sz w:val="24"/>
              </w:rPr>
              <w:t>《工业企业厂界环境噪声排放标准》（</w:t>
            </w:r>
            <w:r>
              <w:rPr>
                <w:color w:val="auto"/>
                <w:sz w:val="24"/>
              </w:rPr>
              <w:t>GB12348-2008</w:t>
            </w:r>
            <w:r>
              <w:rPr>
                <w:rFonts w:hAnsi="宋体"/>
                <w:color w:val="auto"/>
                <w:sz w:val="24"/>
              </w:rPr>
              <w:t>）</w:t>
            </w:r>
            <w:r>
              <w:rPr>
                <w:rFonts w:hAnsi="宋体"/>
                <w:color w:val="auto"/>
                <w:sz w:val="24"/>
                <w:lang w:val="zh-CN"/>
              </w:rPr>
              <w:t>中的</w:t>
            </w:r>
            <w:r>
              <w:rPr>
                <w:color w:val="auto"/>
                <w:sz w:val="24"/>
              </w:rPr>
              <w:t>3</w:t>
            </w:r>
            <w:r>
              <w:rPr>
                <w:rFonts w:hAnsi="宋体"/>
                <w:color w:val="auto"/>
                <w:sz w:val="24"/>
                <w:lang w:val="zh-CN"/>
              </w:rPr>
              <w:t>类标准要求，</w:t>
            </w:r>
            <w:r>
              <w:rPr>
                <w:rFonts w:hAnsi="宋体"/>
                <w:color w:val="auto"/>
                <w:sz w:val="24"/>
                <w:szCs w:val="22"/>
              </w:rPr>
              <w:t>预测值能达到</w:t>
            </w:r>
            <w:r>
              <w:rPr>
                <w:rFonts w:hAnsi="宋体"/>
                <w:color w:val="auto"/>
                <w:sz w:val="24"/>
              </w:rPr>
              <w:t>《声环境质量标准》（</w:t>
            </w:r>
            <w:r>
              <w:rPr>
                <w:color w:val="auto"/>
                <w:sz w:val="24"/>
              </w:rPr>
              <w:t>GB3096-2008</w:t>
            </w:r>
            <w:r>
              <w:rPr>
                <w:rFonts w:hAnsi="宋体"/>
                <w:color w:val="auto"/>
                <w:sz w:val="24"/>
              </w:rPr>
              <w:t>）中的</w:t>
            </w:r>
            <w:r>
              <w:rPr>
                <w:color w:val="auto"/>
                <w:sz w:val="24"/>
              </w:rPr>
              <w:t>3</w:t>
            </w:r>
            <w:r>
              <w:rPr>
                <w:rFonts w:hAnsi="宋体"/>
                <w:color w:val="auto"/>
                <w:sz w:val="24"/>
              </w:rPr>
              <w:t>类标准，</w:t>
            </w:r>
            <w:r>
              <w:rPr>
                <w:rFonts w:hint="eastAsia" w:hAnsi="宋体"/>
                <w:color w:val="auto"/>
                <w:sz w:val="24"/>
                <w:lang w:eastAsia="zh-CN"/>
              </w:rPr>
              <w:t>西</w:t>
            </w:r>
            <w:r>
              <w:rPr>
                <w:rFonts w:hAnsi="宋体"/>
                <w:color w:val="auto"/>
                <w:sz w:val="24"/>
              </w:rPr>
              <w:t>侧敏感点噪声预测值</w:t>
            </w:r>
            <w:r>
              <w:rPr>
                <w:rFonts w:hAnsi="宋体"/>
                <w:color w:val="auto"/>
                <w:sz w:val="24"/>
                <w:szCs w:val="22"/>
              </w:rPr>
              <w:t>能达到</w:t>
            </w:r>
            <w:r>
              <w:rPr>
                <w:rFonts w:hAnsi="宋体"/>
                <w:color w:val="auto"/>
                <w:sz w:val="24"/>
              </w:rPr>
              <w:t>《声环境质量标准》（</w:t>
            </w:r>
            <w:r>
              <w:rPr>
                <w:color w:val="auto"/>
                <w:sz w:val="24"/>
              </w:rPr>
              <w:t>GB3096-2008</w:t>
            </w:r>
            <w:r>
              <w:rPr>
                <w:rFonts w:hAnsi="宋体"/>
                <w:color w:val="auto"/>
                <w:sz w:val="24"/>
              </w:rPr>
              <w:t>）中的</w:t>
            </w:r>
            <w:r>
              <w:rPr>
                <w:color w:val="auto"/>
                <w:sz w:val="24"/>
              </w:rPr>
              <w:t>2</w:t>
            </w:r>
            <w:r>
              <w:rPr>
                <w:rFonts w:hAnsi="宋体"/>
                <w:color w:val="auto"/>
                <w:sz w:val="24"/>
              </w:rPr>
              <w:t>类标准。因此，本项目实施不会对周边声环境造成明显影响。</w:t>
            </w:r>
          </w:p>
          <w:p>
            <w:pPr>
              <w:adjustRightInd w:val="0"/>
              <w:snapToGrid w:val="0"/>
              <w:spacing w:line="500" w:lineRule="exact"/>
              <w:ind w:firstLine="29" w:firstLineChars="12"/>
              <w:rPr>
                <w:color w:val="auto"/>
                <w:sz w:val="24"/>
              </w:rPr>
            </w:pPr>
            <w:r>
              <w:rPr>
                <w:b/>
                <w:bCs/>
                <w:color w:val="auto"/>
                <w:sz w:val="24"/>
              </w:rPr>
              <w:t>4.4.4</w:t>
            </w:r>
            <w:r>
              <w:rPr>
                <w:rFonts w:hAnsi="宋体"/>
                <w:b/>
                <w:bCs/>
                <w:color w:val="auto"/>
                <w:sz w:val="24"/>
              </w:rPr>
              <w:t>监测计划</w:t>
            </w:r>
          </w:p>
          <w:p>
            <w:pPr>
              <w:adjustRightInd w:val="0"/>
              <w:snapToGrid w:val="0"/>
              <w:spacing w:line="500" w:lineRule="exact"/>
              <w:ind w:firstLine="480" w:firstLineChars="200"/>
              <w:rPr>
                <w:b/>
                <w:szCs w:val="21"/>
              </w:rPr>
            </w:pPr>
            <w:r>
              <w:rPr>
                <w:rFonts w:hAnsi="宋体"/>
                <w:kern w:val="0"/>
                <w:sz w:val="24"/>
              </w:rPr>
              <w:t>根据《排污单位自行监测技术指南</w:t>
            </w:r>
            <w:r>
              <w:rPr>
                <w:kern w:val="0"/>
                <w:sz w:val="24"/>
              </w:rPr>
              <w:t xml:space="preserve">  </w:t>
            </w:r>
            <w:r>
              <w:rPr>
                <w:rFonts w:hAnsi="宋体"/>
                <w:kern w:val="0"/>
                <w:sz w:val="24"/>
              </w:rPr>
              <w:t>总则》（</w:t>
            </w:r>
            <w:r>
              <w:rPr>
                <w:kern w:val="0"/>
                <w:sz w:val="24"/>
              </w:rPr>
              <w:t>HJ819-2017</w:t>
            </w:r>
            <w:r>
              <w:rPr>
                <w:rFonts w:hAnsi="宋体"/>
                <w:kern w:val="0"/>
                <w:sz w:val="24"/>
              </w:rPr>
              <w:t>），制定本项目噪声监测计划。</w:t>
            </w:r>
            <w:r>
              <w:rPr>
                <w:rFonts w:hAnsi="宋体"/>
                <w:bCs/>
                <w:sz w:val="24"/>
              </w:rPr>
              <w:t>根据《建设项目环境保护管理条例》（国务院第</w:t>
            </w:r>
            <w:r>
              <w:rPr>
                <w:bCs/>
                <w:sz w:val="24"/>
              </w:rPr>
              <w:t>682</w:t>
            </w:r>
            <w:r>
              <w:rPr>
                <w:rFonts w:hAnsi="宋体"/>
                <w:bCs/>
                <w:sz w:val="24"/>
              </w:rPr>
              <w:t>号令），企业自行验收，噪声竣工验收监测计划，</w:t>
            </w:r>
            <w:r>
              <w:rPr>
                <w:rFonts w:hAnsi="宋体"/>
                <w:sz w:val="24"/>
              </w:rPr>
              <w:t>详见表</w:t>
            </w:r>
            <w:r>
              <w:rPr>
                <w:sz w:val="24"/>
              </w:rPr>
              <w:t>4.4-</w:t>
            </w:r>
            <w:r>
              <w:rPr>
                <w:rFonts w:hint="eastAsia"/>
                <w:sz w:val="24"/>
                <w:lang w:val="en-US" w:eastAsia="zh-CN"/>
              </w:rPr>
              <w:t>6</w:t>
            </w:r>
            <w:r>
              <w:rPr>
                <w:rFonts w:hAnsi="宋体"/>
                <w:sz w:val="24"/>
              </w:rPr>
              <w:t>。</w:t>
            </w:r>
          </w:p>
          <w:p>
            <w:pPr>
              <w:adjustRightInd w:val="0"/>
              <w:snapToGrid w:val="0"/>
              <w:spacing w:line="460" w:lineRule="exact"/>
              <w:ind w:firstLine="27" w:firstLineChars="13"/>
              <w:jc w:val="center"/>
              <w:rPr>
                <w:sz w:val="24"/>
              </w:rPr>
            </w:pPr>
            <w:r>
              <w:rPr>
                <w:rFonts w:hAnsi="宋体"/>
                <w:b/>
                <w:szCs w:val="21"/>
              </w:rPr>
              <w:t>表</w:t>
            </w:r>
            <w:r>
              <w:rPr>
                <w:b/>
                <w:szCs w:val="21"/>
              </w:rPr>
              <w:t>4.4-</w:t>
            </w:r>
            <w:r>
              <w:rPr>
                <w:rFonts w:hint="eastAsia"/>
                <w:b/>
                <w:szCs w:val="21"/>
                <w:lang w:val="en-US" w:eastAsia="zh-CN"/>
              </w:rPr>
              <w:t>6</w:t>
            </w:r>
            <w:r>
              <w:rPr>
                <w:b/>
                <w:szCs w:val="21"/>
              </w:rPr>
              <w:t xml:space="preserve">  </w:t>
            </w:r>
            <w:r>
              <w:rPr>
                <w:rFonts w:hAnsi="宋体"/>
                <w:b/>
                <w:szCs w:val="21"/>
              </w:rPr>
              <w:t>噪声监测计划表</w:t>
            </w:r>
          </w:p>
          <w:tbl>
            <w:tblPr>
              <w:tblStyle w:val="40"/>
              <w:tblW w:w="133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79"/>
              <w:gridCol w:w="2209"/>
              <w:gridCol w:w="3173"/>
              <w:gridCol w:w="3784"/>
              <w:gridCol w:w="247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72"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项目</w:t>
                  </w:r>
                </w:p>
              </w:tc>
              <w:tc>
                <w:tcPr>
                  <w:tcW w:w="1410"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监测点位</w:t>
                  </w:r>
                </w:p>
              </w:tc>
              <w:tc>
                <w:tcPr>
                  <w:tcW w:w="2025"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监测指标</w:t>
                  </w:r>
                </w:p>
              </w:tc>
              <w:tc>
                <w:tcPr>
                  <w:tcW w:w="2415"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监测频率</w:t>
                  </w:r>
                </w:p>
              </w:tc>
              <w:tc>
                <w:tcPr>
                  <w:tcW w:w="1582"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72"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噪声</w:t>
                  </w:r>
                </w:p>
              </w:tc>
              <w:tc>
                <w:tcPr>
                  <w:tcW w:w="1410"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厂界、敏感点</w:t>
                  </w:r>
                </w:p>
              </w:tc>
              <w:tc>
                <w:tcPr>
                  <w:tcW w:w="2025"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等效</w:t>
                  </w:r>
                  <w:r>
                    <w:rPr>
                      <w:sz w:val="21"/>
                      <w:szCs w:val="21"/>
                    </w:rPr>
                    <w:t>A</w:t>
                  </w:r>
                  <w:r>
                    <w:rPr>
                      <w:rFonts w:hAnsi="宋体"/>
                      <w:sz w:val="21"/>
                      <w:szCs w:val="21"/>
                    </w:rPr>
                    <w:t>声级</w:t>
                  </w:r>
                  <w:r>
                    <w:rPr>
                      <w:sz w:val="21"/>
                      <w:szCs w:val="21"/>
                    </w:rPr>
                    <w:t>(Leq)</w:t>
                  </w:r>
                </w:p>
              </w:tc>
              <w:tc>
                <w:tcPr>
                  <w:tcW w:w="2415"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sz w:val="21"/>
                      <w:szCs w:val="21"/>
                    </w:rPr>
                    <w:t>1</w:t>
                  </w:r>
                  <w:r>
                    <w:rPr>
                      <w:rFonts w:hAnsi="宋体"/>
                      <w:sz w:val="21"/>
                      <w:szCs w:val="21"/>
                    </w:rPr>
                    <w:t>次</w:t>
                  </w:r>
                  <w:r>
                    <w:rPr>
                      <w:sz w:val="21"/>
                      <w:szCs w:val="21"/>
                    </w:rPr>
                    <w:t>/</w:t>
                  </w:r>
                  <w:r>
                    <w:rPr>
                      <w:rFonts w:hAnsi="宋体"/>
                      <w:sz w:val="21"/>
                      <w:szCs w:val="21"/>
                    </w:rPr>
                    <w:t>季</w:t>
                  </w:r>
                </w:p>
              </w:tc>
              <w:tc>
                <w:tcPr>
                  <w:tcW w:w="1582"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sz w:val="21"/>
                      <w:szCs w:val="21"/>
                    </w:rPr>
                    <w:t>日常监测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72" w:type="dxa"/>
                  <w:tcBorders>
                    <w:top w:val="single" w:color="auto" w:sz="4" w:space="0"/>
                    <w:left w:val="single" w:color="auto" w:sz="4" w:space="0"/>
                    <w:right w:val="single" w:color="auto" w:sz="4" w:space="0"/>
                  </w:tcBorders>
                  <w:noWrap/>
                  <w:vAlign w:val="center"/>
                </w:tcPr>
                <w:p>
                  <w:pPr>
                    <w:pStyle w:val="117"/>
                    <w:adjustRightInd w:val="0"/>
                    <w:rPr>
                      <w:sz w:val="21"/>
                      <w:szCs w:val="21"/>
                    </w:rPr>
                  </w:pPr>
                  <w:r>
                    <w:rPr>
                      <w:rFonts w:hAnsi="宋体"/>
                      <w:sz w:val="21"/>
                      <w:szCs w:val="21"/>
                    </w:rPr>
                    <w:t>噪声</w:t>
                  </w:r>
                </w:p>
              </w:tc>
              <w:tc>
                <w:tcPr>
                  <w:tcW w:w="1410"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jc w:val="center"/>
                    <w:rPr>
                      <w:bCs/>
                      <w:szCs w:val="21"/>
                    </w:rPr>
                  </w:pPr>
                  <w:r>
                    <w:rPr>
                      <w:rFonts w:hAnsi="宋体"/>
                      <w:bCs/>
                      <w:szCs w:val="21"/>
                    </w:rPr>
                    <w:t>厂界</w:t>
                  </w:r>
                  <w:r>
                    <w:rPr>
                      <w:rFonts w:hAnsi="宋体"/>
                      <w:szCs w:val="21"/>
                    </w:rPr>
                    <w:t>、敏感点</w:t>
                  </w:r>
                </w:p>
              </w:tc>
              <w:tc>
                <w:tcPr>
                  <w:tcW w:w="2025"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jc w:val="center"/>
                    <w:rPr>
                      <w:bCs/>
                      <w:szCs w:val="21"/>
                    </w:rPr>
                  </w:pPr>
                  <w:r>
                    <w:rPr>
                      <w:rFonts w:hAnsi="宋体"/>
                      <w:spacing w:val="2"/>
                      <w:szCs w:val="21"/>
                    </w:rPr>
                    <w:t>等效</w:t>
                  </w:r>
                  <w:r>
                    <w:rPr>
                      <w:spacing w:val="2"/>
                      <w:szCs w:val="21"/>
                    </w:rPr>
                    <w:t>A</w:t>
                  </w:r>
                  <w:r>
                    <w:rPr>
                      <w:rFonts w:hAnsi="宋体"/>
                      <w:spacing w:val="2"/>
                      <w:szCs w:val="21"/>
                    </w:rPr>
                    <w:t>声级</w:t>
                  </w:r>
                  <w:r>
                    <w:rPr>
                      <w:spacing w:val="2"/>
                      <w:szCs w:val="21"/>
                    </w:rPr>
                    <w:t>(Leq)</w:t>
                  </w:r>
                </w:p>
              </w:tc>
              <w:tc>
                <w:tcPr>
                  <w:tcW w:w="2415"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jc w:val="center"/>
                    <w:rPr>
                      <w:bCs/>
                      <w:szCs w:val="21"/>
                    </w:rPr>
                  </w:pPr>
                  <w:r>
                    <w:rPr>
                      <w:rFonts w:hAnsi="宋体"/>
                      <w:bCs/>
                      <w:szCs w:val="21"/>
                    </w:rPr>
                    <w:t>监测</w:t>
                  </w:r>
                  <w:r>
                    <w:rPr>
                      <w:bCs/>
                      <w:szCs w:val="21"/>
                    </w:rPr>
                    <w:t>2</w:t>
                  </w:r>
                  <w:r>
                    <w:rPr>
                      <w:rFonts w:hAnsi="宋体"/>
                      <w:bCs/>
                      <w:szCs w:val="21"/>
                    </w:rPr>
                    <w:t>天，每天监测</w:t>
                  </w:r>
                  <w:r>
                    <w:rPr>
                      <w:bCs/>
                      <w:szCs w:val="21"/>
                    </w:rPr>
                    <w:t>1</w:t>
                  </w:r>
                  <w:r>
                    <w:rPr>
                      <w:rFonts w:hAnsi="宋体"/>
                      <w:bCs/>
                      <w:szCs w:val="21"/>
                    </w:rPr>
                    <w:t>次</w:t>
                  </w:r>
                </w:p>
              </w:tc>
              <w:tc>
                <w:tcPr>
                  <w:tcW w:w="1582" w:type="dxa"/>
                  <w:tcBorders>
                    <w:top w:val="single" w:color="auto" w:sz="4" w:space="0"/>
                    <w:left w:val="single" w:color="auto" w:sz="4" w:space="0"/>
                    <w:bottom w:val="single" w:color="auto" w:sz="4" w:space="0"/>
                    <w:right w:val="single" w:color="auto" w:sz="4" w:space="0"/>
                  </w:tcBorders>
                  <w:noWrap/>
                  <w:vAlign w:val="center"/>
                </w:tcPr>
                <w:p>
                  <w:pPr>
                    <w:pStyle w:val="117"/>
                    <w:adjustRightInd w:val="0"/>
                    <w:rPr>
                      <w:sz w:val="21"/>
                      <w:szCs w:val="21"/>
                    </w:rPr>
                  </w:pPr>
                  <w:r>
                    <w:rPr>
                      <w:rFonts w:hAnsi="宋体"/>
                      <w:bCs/>
                      <w:sz w:val="21"/>
                      <w:szCs w:val="21"/>
                    </w:rPr>
                    <w:t>竣工验收监测</w:t>
                  </w:r>
                </w:p>
              </w:tc>
            </w:tr>
          </w:tbl>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eastAsia="宋体"/>
                <w:lang w:eastAsia="zh-CN"/>
              </w:rPr>
            </w:pPr>
          </w:p>
        </w:tc>
      </w:tr>
    </w:tbl>
    <w:p>
      <w:pPr>
        <w:tabs>
          <w:tab w:val="left" w:pos="750"/>
        </w:tabs>
      </w:pPr>
    </w:p>
    <w:p>
      <w:pPr>
        <w:tabs>
          <w:tab w:val="left" w:pos="750"/>
        </w:tabs>
        <w:sectPr>
          <w:pgSz w:w="16838" w:h="11906" w:orient="landscape"/>
          <w:pgMar w:top="1588" w:right="1588" w:bottom="1588" w:left="1588" w:header="851" w:footer="992" w:gutter="0"/>
          <w:pgBorders>
            <w:top w:val="none" w:sz="0" w:space="0"/>
            <w:left w:val="none" w:sz="0" w:space="0"/>
            <w:bottom w:val="none" w:sz="0" w:space="0"/>
            <w:right w:val="none" w:sz="0" w:space="0"/>
          </w:pgBorders>
          <w:cols w:space="720" w:num="1"/>
          <w:docGrid w:linePitch="312" w:charSpace="0"/>
        </w:sect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Align w:val="center"/>
          </w:tcPr>
          <w:p>
            <w:pPr>
              <w:adjustRightInd w:val="0"/>
              <w:snapToGrid w:val="0"/>
              <w:jc w:val="center"/>
              <w:rPr>
                <w:bCs/>
                <w:szCs w:val="21"/>
              </w:rPr>
            </w:pPr>
            <w:r>
              <w:rPr>
                <w:rFonts w:hAnsi="宋体"/>
                <w:bCs/>
                <w:szCs w:val="21"/>
              </w:rPr>
              <w:t>运营</w:t>
            </w:r>
          </w:p>
          <w:p>
            <w:pPr>
              <w:adjustRightInd w:val="0"/>
              <w:snapToGrid w:val="0"/>
              <w:jc w:val="center"/>
              <w:rPr>
                <w:bCs/>
                <w:szCs w:val="21"/>
              </w:rPr>
            </w:pPr>
            <w:r>
              <w:rPr>
                <w:rFonts w:hAnsi="宋体"/>
                <w:bCs/>
                <w:szCs w:val="21"/>
              </w:rPr>
              <w:t>期环</w:t>
            </w:r>
          </w:p>
          <w:p>
            <w:pPr>
              <w:adjustRightInd w:val="0"/>
              <w:snapToGrid w:val="0"/>
              <w:jc w:val="center"/>
              <w:rPr>
                <w:bCs/>
                <w:szCs w:val="21"/>
              </w:rPr>
            </w:pPr>
            <w:r>
              <w:rPr>
                <w:rFonts w:hAnsi="宋体"/>
                <w:bCs/>
                <w:szCs w:val="21"/>
              </w:rPr>
              <w:t>境影</w:t>
            </w:r>
          </w:p>
          <w:p>
            <w:pPr>
              <w:adjustRightInd w:val="0"/>
              <w:snapToGrid w:val="0"/>
              <w:jc w:val="center"/>
              <w:rPr>
                <w:bCs/>
                <w:szCs w:val="21"/>
              </w:rPr>
            </w:pPr>
            <w:r>
              <w:rPr>
                <w:rFonts w:hAnsi="宋体"/>
                <w:bCs/>
                <w:szCs w:val="21"/>
              </w:rPr>
              <w:t>响和</w:t>
            </w:r>
          </w:p>
          <w:p>
            <w:pPr>
              <w:adjustRightInd w:val="0"/>
              <w:snapToGrid w:val="0"/>
              <w:jc w:val="center"/>
              <w:rPr>
                <w:bCs/>
                <w:szCs w:val="21"/>
              </w:rPr>
            </w:pPr>
            <w:r>
              <w:rPr>
                <w:rFonts w:hAnsi="宋体"/>
                <w:bCs/>
                <w:szCs w:val="21"/>
              </w:rPr>
              <w:t>保护</w:t>
            </w:r>
          </w:p>
          <w:p>
            <w:pPr>
              <w:pStyle w:val="5"/>
              <w:jc w:val="center"/>
              <w:rPr>
                <w:vertAlign w:val="baseline"/>
              </w:rPr>
            </w:pPr>
            <w:r>
              <w:rPr>
                <w:rFonts w:hAnsi="宋体"/>
                <w:bCs/>
                <w:szCs w:val="21"/>
              </w:rPr>
              <w:t>措施</w:t>
            </w:r>
          </w:p>
        </w:tc>
        <w:tc>
          <w:tcPr>
            <w:tcW w:w="8494" w:type="dxa"/>
          </w:tcPr>
          <w:p>
            <w:pPr>
              <w:adjustRightInd w:val="0"/>
              <w:snapToGrid w:val="0"/>
              <w:spacing w:line="500" w:lineRule="exact"/>
              <w:rPr>
                <w:b/>
                <w:bCs/>
                <w:sz w:val="24"/>
              </w:rPr>
            </w:pPr>
            <w:r>
              <w:rPr>
                <w:b/>
                <w:bCs/>
                <w:sz w:val="24"/>
              </w:rPr>
              <w:t>4.5</w:t>
            </w:r>
            <w:r>
              <w:rPr>
                <w:rFonts w:hAnsi="宋体"/>
                <w:b/>
                <w:bCs/>
                <w:sz w:val="24"/>
              </w:rPr>
              <w:t>固体废物</w:t>
            </w:r>
          </w:p>
          <w:p>
            <w:pPr>
              <w:adjustRightInd w:val="0"/>
              <w:snapToGrid w:val="0"/>
              <w:spacing w:line="500" w:lineRule="exact"/>
              <w:rPr>
                <w:bCs/>
                <w:kern w:val="0"/>
                <w:szCs w:val="21"/>
              </w:rPr>
            </w:pPr>
            <w:r>
              <w:rPr>
                <w:b/>
                <w:bCs/>
                <w:sz w:val="24"/>
              </w:rPr>
              <w:t>4.5.1</w:t>
            </w:r>
            <w:r>
              <w:rPr>
                <w:rFonts w:hAnsi="宋体"/>
                <w:b/>
                <w:bCs/>
                <w:sz w:val="24"/>
              </w:rPr>
              <w:t>固体废物产生情况及处置</w:t>
            </w:r>
          </w:p>
          <w:p>
            <w:pPr>
              <w:pageBreakBefore/>
              <w:spacing w:line="500" w:lineRule="exact"/>
              <w:contextualSpacing/>
              <w:outlineLvl w:val="1"/>
              <w:rPr>
                <w:b/>
                <w:szCs w:val="21"/>
              </w:rPr>
            </w:pPr>
            <w:r>
              <w:rPr>
                <w:b/>
                <w:sz w:val="24"/>
              </w:rPr>
              <w:t xml:space="preserve">4.5.1.1 </w:t>
            </w:r>
            <w:r>
              <w:rPr>
                <w:rFonts w:hAnsi="宋体"/>
                <w:b/>
                <w:sz w:val="24"/>
              </w:rPr>
              <w:t>废源强汇总</w:t>
            </w:r>
          </w:p>
          <w:p>
            <w:pPr>
              <w:pageBreakBefore/>
              <w:spacing w:line="460" w:lineRule="exact"/>
              <w:contextualSpacing/>
              <w:jc w:val="center"/>
              <w:outlineLvl w:val="1"/>
              <w:rPr>
                <w:b/>
                <w:szCs w:val="21"/>
              </w:rPr>
            </w:pPr>
            <w:r>
              <w:rPr>
                <w:rFonts w:hAnsi="宋体"/>
                <w:b/>
                <w:szCs w:val="21"/>
              </w:rPr>
              <w:t>表</w:t>
            </w:r>
            <w:r>
              <w:rPr>
                <w:b/>
                <w:szCs w:val="21"/>
              </w:rPr>
              <w:t xml:space="preserve">4.5-1  </w:t>
            </w:r>
            <w:r>
              <w:rPr>
                <w:rFonts w:hAnsi="宋体"/>
                <w:b/>
                <w:szCs w:val="21"/>
              </w:rPr>
              <w:t>项目固废污染源源强核算结果及相关参数一览表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077"/>
              <w:gridCol w:w="1038"/>
              <w:gridCol w:w="1169"/>
              <w:gridCol w:w="923"/>
              <w:gridCol w:w="780"/>
              <w:gridCol w:w="888"/>
              <w:gridCol w:w="1078"/>
              <w:gridCol w:w="745"/>
              <w:gridCol w:w="5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vMerge w:val="restart"/>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工序/生</w:t>
                  </w:r>
                </w:p>
                <w:p>
                  <w:pPr>
                    <w:tabs>
                      <w:tab w:val="right" w:leader="dot" w:pos="9072"/>
                    </w:tabs>
                    <w:overflowPunct w:val="0"/>
                    <w:adjustRightInd w:val="0"/>
                    <w:snapToGrid w:val="0"/>
                    <w:jc w:val="center"/>
                    <w:rPr>
                      <w:bCs/>
                      <w:color w:val="auto"/>
                      <w:szCs w:val="21"/>
                      <w:highlight w:val="none"/>
                    </w:rPr>
                  </w:pPr>
                  <w:r>
                    <w:rPr>
                      <w:bCs/>
                      <w:color w:val="auto"/>
                      <w:szCs w:val="21"/>
                      <w:highlight w:val="none"/>
                    </w:rPr>
                    <w:t>产线</w:t>
                  </w:r>
                </w:p>
              </w:tc>
              <w:tc>
                <w:tcPr>
                  <w:tcW w:w="1038" w:type="dxa"/>
                  <w:vMerge w:val="restart"/>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装置</w:t>
                  </w:r>
                </w:p>
              </w:tc>
              <w:tc>
                <w:tcPr>
                  <w:tcW w:w="1169" w:type="dxa"/>
                  <w:vMerge w:val="restart"/>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固体废物名称</w:t>
                  </w:r>
                </w:p>
              </w:tc>
              <w:tc>
                <w:tcPr>
                  <w:tcW w:w="923" w:type="dxa"/>
                  <w:vMerge w:val="restart"/>
                  <w:noWrap w:val="0"/>
                  <w:vAlign w:val="center"/>
                </w:tcPr>
                <w:p>
                  <w:pPr>
                    <w:tabs>
                      <w:tab w:val="left" w:pos="2471"/>
                      <w:tab w:val="right" w:leader="dot" w:pos="9072"/>
                    </w:tabs>
                    <w:overflowPunct w:val="0"/>
                    <w:adjustRightInd w:val="0"/>
                    <w:snapToGrid w:val="0"/>
                    <w:jc w:val="center"/>
                    <w:rPr>
                      <w:bCs/>
                      <w:color w:val="auto"/>
                      <w:szCs w:val="21"/>
                      <w:highlight w:val="none"/>
                    </w:rPr>
                  </w:pPr>
                  <w:r>
                    <w:rPr>
                      <w:bCs/>
                      <w:color w:val="auto"/>
                      <w:szCs w:val="21"/>
                      <w:highlight w:val="none"/>
                    </w:rPr>
                    <w:t>固体废物属性</w:t>
                  </w:r>
                </w:p>
              </w:tc>
              <w:tc>
                <w:tcPr>
                  <w:tcW w:w="1668" w:type="dxa"/>
                  <w:gridSpan w:val="2"/>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产生情况</w:t>
                  </w:r>
                </w:p>
              </w:tc>
              <w:tc>
                <w:tcPr>
                  <w:tcW w:w="1823" w:type="dxa"/>
                  <w:gridSpan w:val="2"/>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处置措施</w:t>
                  </w:r>
                </w:p>
              </w:tc>
              <w:tc>
                <w:tcPr>
                  <w:tcW w:w="522" w:type="dxa"/>
                  <w:vMerge w:val="restart"/>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最终去向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1038"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1169"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923" w:type="dxa"/>
                  <w:vMerge w:val="continue"/>
                  <w:noWrap w:val="0"/>
                  <w:vAlign w:val="center"/>
                </w:tcPr>
                <w:p>
                  <w:pPr>
                    <w:tabs>
                      <w:tab w:val="right" w:leader="dot" w:pos="9072"/>
                    </w:tabs>
                    <w:overflowPunct w:val="0"/>
                    <w:adjustRightInd w:val="0"/>
                    <w:snapToGrid w:val="0"/>
                    <w:jc w:val="center"/>
                    <w:rPr>
                      <w:bCs/>
                      <w:color w:val="auto"/>
                      <w:szCs w:val="21"/>
                      <w:highlight w:val="none"/>
                    </w:rPr>
                  </w:pPr>
                </w:p>
              </w:tc>
              <w:tc>
                <w:tcPr>
                  <w:tcW w:w="780" w:type="dxa"/>
                  <w:noWrap w:val="0"/>
                  <w:vAlign w:val="center"/>
                </w:tcPr>
                <w:p>
                  <w:pPr>
                    <w:tabs>
                      <w:tab w:val="right" w:leader="dot" w:pos="9072"/>
                    </w:tabs>
                    <w:overflowPunct w:val="0"/>
                    <w:adjustRightInd w:val="0"/>
                    <w:snapToGrid w:val="0"/>
                    <w:jc w:val="center"/>
                    <w:rPr>
                      <w:color w:val="auto"/>
                      <w:szCs w:val="21"/>
                      <w:highlight w:val="none"/>
                    </w:rPr>
                  </w:pPr>
                  <w:r>
                    <w:rPr>
                      <w:color w:val="auto"/>
                      <w:szCs w:val="21"/>
                      <w:highlight w:val="none"/>
                    </w:rPr>
                    <w:t>核算</w:t>
                  </w:r>
                </w:p>
                <w:p>
                  <w:pPr>
                    <w:tabs>
                      <w:tab w:val="right" w:leader="dot" w:pos="9072"/>
                    </w:tabs>
                    <w:overflowPunct w:val="0"/>
                    <w:adjustRightInd w:val="0"/>
                    <w:snapToGrid w:val="0"/>
                    <w:jc w:val="center"/>
                    <w:rPr>
                      <w:color w:val="auto"/>
                      <w:szCs w:val="21"/>
                      <w:highlight w:val="none"/>
                    </w:rPr>
                  </w:pPr>
                  <w:r>
                    <w:rPr>
                      <w:color w:val="auto"/>
                      <w:szCs w:val="21"/>
                      <w:highlight w:val="none"/>
                    </w:rPr>
                    <w:t>方法</w:t>
                  </w:r>
                </w:p>
              </w:tc>
              <w:tc>
                <w:tcPr>
                  <w:tcW w:w="888" w:type="dxa"/>
                  <w:noWrap w:val="0"/>
                  <w:vAlign w:val="center"/>
                </w:tcPr>
                <w:p>
                  <w:pPr>
                    <w:tabs>
                      <w:tab w:val="right" w:leader="dot" w:pos="9072"/>
                    </w:tabs>
                    <w:overflowPunct w:val="0"/>
                    <w:adjustRightInd w:val="0"/>
                    <w:snapToGrid w:val="0"/>
                    <w:jc w:val="center"/>
                    <w:rPr>
                      <w:color w:val="auto"/>
                      <w:szCs w:val="21"/>
                      <w:highlight w:val="none"/>
                    </w:rPr>
                  </w:pPr>
                  <w:r>
                    <w:rPr>
                      <w:bCs/>
                      <w:color w:val="auto"/>
                      <w:szCs w:val="21"/>
                      <w:highlight w:val="none"/>
                    </w:rPr>
                    <w:t>产生量（t/a）</w:t>
                  </w:r>
                </w:p>
              </w:tc>
              <w:tc>
                <w:tcPr>
                  <w:tcW w:w="1078"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工艺</w:t>
                  </w:r>
                </w:p>
              </w:tc>
              <w:tc>
                <w:tcPr>
                  <w:tcW w:w="745" w:type="dxa"/>
                  <w:noWrap w:val="0"/>
                  <w:vAlign w:val="center"/>
                </w:tcPr>
                <w:p>
                  <w:pPr>
                    <w:tabs>
                      <w:tab w:val="right" w:leader="dot" w:pos="9072"/>
                    </w:tabs>
                    <w:overflowPunct w:val="0"/>
                    <w:adjustRightInd w:val="0"/>
                    <w:snapToGrid w:val="0"/>
                    <w:jc w:val="center"/>
                    <w:rPr>
                      <w:bCs/>
                      <w:color w:val="auto"/>
                      <w:szCs w:val="21"/>
                      <w:highlight w:val="none"/>
                    </w:rPr>
                  </w:pPr>
                  <w:r>
                    <w:rPr>
                      <w:bCs/>
                      <w:color w:val="auto"/>
                      <w:szCs w:val="21"/>
                      <w:highlight w:val="none"/>
                    </w:rPr>
                    <w:t>处置量（t/a）</w:t>
                  </w:r>
                </w:p>
              </w:tc>
              <w:tc>
                <w:tcPr>
                  <w:tcW w:w="522" w:type="dxa"/>
                  <w:vMerge w:val="continue"/>
                  <w:noWrap w:val="0"/>
                  <w:vAlign w:val="center"/>
                </w:tcPr>
                <w:p>
                  <w:pPr>
                    <w:tabs>
                      <w:tab w:val="right" w:leader="dot" w:pos="9072"/>
                    </w:tabs>
                    <w:overflowPunct w:val="0"/>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noWrap w:val="0"/>
                  <w:vAlign w:val="center"/>
                </w:tcPr>
                <w:p>
                  <w:pPr>
                    <w:snapToGrid w:val="0"/>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cs="Times New Roman"/>
                      <w:sz w:val="21"/>
                      <w:szCs w:val="21"/>
                    </w:rPr>
                    <w:t>职工生活</w:t>
                  </w:r>
                </w:p>
              </w:tc>
              <w:tc>
                <w:tcPr>
                  <w:tcW w:w="1038" w:type="dxa"/>
                  <w:noWrap w:val="0"/>
                  <w:vAlign w:val="center"/>
                </w:tcPr>
                <w:p>
                  <w:pPr>
                    <w:snapToGrid w:val="0"/>
                    <w:jc w:val="center"/>
                    <w:rPr>
                      <w:rFonts w:ascii="Times New Roman" w:hAnsi="Times New Roman" w:eastAsia="宋体" w:cs="Times New Roman"/>
                      <w:bCs/>
                      <w:kern w:val="2"/>
                      <w:sz w:val="21"/>
                      <w:szCs w:val="21"/>
                      <w:lang w:val="en-US" w:eastAsia="zh-CN" w:bidi="ar-SA"/>
                    </w:rPr>
                  </w:pPr>
                  <w:r>
                    <w:rPr>
                      <w:rFonts w:ascii="Times New Roman" w:hAnsi="Times New Roman" w:eastAsia="宋体" w:cs="Times New Roman"/>
                      <w:sz w:val="21"/>
                      <w:szCs w:val="21"/>
                    </w:rPr>
                    <w:t>职工生活</w:t>
                  </w:r>
                </w:p>
              </w:tc>
              <w:tc>
                <w:tcPr>
                  <w:tcW w:w="1169" w:type="dxa"/>
                  <w:noWrap w:val="0"/>
                  <w:vAlign w:val="center"/>
                </w:tcPr>
                <w:p>
                  <w:pPr>
                    <w:jc w:val="center"/>
                    <w:rPr>
                      <w:rFonts w:hint="eastAsia"/>
                      <w:bCs/>
                      <w:color w:val="auto"/>
                      <w:szCs w:val="21"/>
                      <w:highlight w:val="none"/>
                    </w:rPr>
                  </w:pPr>
                  <w:r>
                    <w:rPr>
                      <w:bCs/>
                      <w:color w:val="auto"/>
                      <w:szCs w:val="21"/>
                      <w:highlight w:val="none"/>
                    </w:rPr>
                    <w:t>生活垃圾</w:t>
                  </w:r>
                </w:p>
              </w:tc>
              <w:tc>
                <w:tcPr>
                  <w:tcW w:w="923" w:type="dxa"/>
                  <w:noWrap w:val="0"/>
                  <w:vAlign w:val="center"/>
                </w:tcPr>
                <w:p>
                  <w:pPr>
                    <w:tabs>
                      <w:tab w:val="right" w:leader="dot" w:pos="9072"/>
                    </w:tabs>
                    <w:overflowPunct w:val="0"/>
                    <w:adjustRightInd w:val="0"/>
                    <w:snapToGrid w:val="0"/>
                    <w:jc w:val="center"/>
                    <w:rPr>
                      <w:rFonts w:hint="eastAsia"/>
                      <w:bCs/>
                      <w:color w:val="auto"/>
                      <w:szCs w:val="21"/>
                      <w:highlight w:val="none"/>
                    </w:rPr>
                  </w:pPr>
                  <w:r>
                    <w:rPr>
                      <w:rFonts w:hint="eastAsia"/>
                      <w:bCs/>
                      <w:color w:val="auto"/>
                      <w:szCs w:val="21"/>
                      <w:highlight w:val="none"/>
                    </w:rPr>
                    <w:t>/</w:t>
                  </w:r>
                </w:p>
              </w:tc>
              <w:tc>
                <w:tcPr>
                  <w:tcW w:w="780" w:type="dxa"/>
                  <w:noWrap w:val="0"/>
                  <w:vAlign w:val="center"/>
                </w:tcPr>
                <w:p>
                  <w:pPr>
                    <w:tabs>
                      <w:tab w:val="right" w:leader="dot" w:pos="9072"/>
                    </w:tabs>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888" w:type="dxa"/>
                  <w:noWrap w:val="0"/>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15</w:t>
                  </w:r>
                </w:p>
              </w:tc>
              <w:tc>
                <w:tcPr>
                  <w:tcW w:w="1078" w:type="dxa"/>
                  <w:noWrap w:val="0"/>
                  <w:vAlign w:val="center"/>
                </w:tcPr>
                <w:p>
                  <w:pPr>
                    <w:tabs>
                      <w:tab w:val="right" w:leader="dot" w:pos="9072"/>
                    </w:tabs>
                    <w:overflowPunct w:val="0"/>
                    <w:adjustRightInd w:val="0"/>
                    <w:snapToGrid w:val="0"/>
                    <w:jc w:val="center"/>
                    <w:rPr>
                      <w:rFonts w:hint="eastAsia"/>
                      <w:bCs/>
                      <w:color w:val="auto"/>
                      <w:szCs w:val="21"/>
                      <w:highlight w:val="none"/>
                    </w:rPr>
                  </w:pPr>
                  <w:r>
                    <w:rPr>
                      <w:rFonts w:hint="eastAsia"/>
                      <w:bCs/>
                      <w:color w:val="auto"/>
                      <w:szCs w:val="21"/>
                      <w:highlight w:val="none"/>
                    </w:rPr>
                    <w:t>委托环卫部门清运</w:t>
                  </w:r>
                </w:p>
              </w:tc>
              <w:tc>
                <w:tcPr>
                  <w:tcW w:w="745" w:type="dxa"/>
                  <w:noWrap w:val="0"/>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15</w:t>
                  </w:r>
                </w:p>
              </w:tc>
              <w:tc>
                <w:tcPr>
                  <w:tcW w:w="522" w:type="dxa"/>
                  <w:vMerge w:val="restart"/>
                  <w:noWrap w:val="0"/>
                  <w:vAlign w:val="center"/>
                </w:tcPr>
                <w:p>
                  <w:pPr>
                    <w:tabs>
                      <w:tab w:val="right" w:leader="dot" w:pos="9072"/>
                    </w:tabs>
                    <w:overflowPunct w:val="0"/>
                    <w:adjustRightInd w:val="0"/>
                    <w:snapToGrid w:val="0"/>
                    <w:jc w:val="center"/>
                    <w:rPr>
                      <w:rFonts w:hint="eastAsia"/>
                      <w:bCs/>
                      <w:color w:val="auto"/>
                      <w:szCs w:val="21"/>
                      <w:highlight w:val="none"/>
                    </w:rPr>
                  </w:pPr>
                  <w:r>
                    <w:rPr>
                      <w:rFonts w:hint="eastAsia"/>
                      <w:bCs/>
                      <w:color w:val="auto"/>
                      <w:szCs w:val="21"/>
                      <w:highlight w:val="none"/>
                    </w:rPr>
                    <w:t>均能妥善处置，不排放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noWrap w:val="0"/>
                  <w:vAlign w:val="center"/>
                </w:tcPr>
                <w:p>
                  <w:pPr>
                    <w:snapToGrid w:val="0"/>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cs="Times New Roman"/>
                      <w:sz w:val="21"/>
                      <w:szCs w:val="21"/>
                    </w:rPr>
                    <w:t>生产过程</w:t>
                  </w:r>
                </w:p>
              </w:tc>
              <w:tc>
                <w:tcPr>
                  <w:tcW w:w="1038" w:type="dxa"/>
                  <w:noWrap w:val="0"/>
                  <w:vAlign w:val="center"/>
                </w:tcPr>
                <w:p>
                  <w:pPr>
                    <w:snapToGrid w:val="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喷水织机</w:t>
                  </w:r>
                </w:p>
              </w:tc>
              <w:tc>
                <w:tcPr>
                  <w:tcW w:w="1169" w:type="dxa"/>
                  <w:noWrap w:val="0"/>
                  <w:vAlign w:val="center"/>
                </w:tcPr>
                <w:p>
                  <w:pPr>
                    <w:snapToGrid w:val="0"/>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cs="Times New Roman"/>
                      <w:sz w:val="21"/>
                      <w:szCs w:val="21"/>
                    </w:rPr>
                    <w:t>废丝、废布</w:t>
                  </w:r>
                </w:p>
              </w:tc>
              <w:tc>
                <w:tcPr>
                  <w:tcW w:w="923" w:type="dxa"/>
                  <w:noWrap w:val="0"/>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一般</w:t>
                  </w:r>
                </w:p>
                <w:p>
                  <w:pPr>
                    <w:widowControl/>
                    <w:snapToGrid w:val="0"/>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cs="Times New Roman"/>
                      <w:sz w:val="21"/>
                      <w:szCs w:val="21"/>
                    </w:rPr>
                    <w:t>固废</w:t>
                  </w:r>
                </w:p>
              </w:tc>
              <w:tc>
                <w:tcPr>
                  <w:tcW w:w="780" w:type="dxa"/>
                  <w:noWrap w:val="0"/>
                  <w:vAlign w:val="center"/>
                </w:tcPr>
                <w:p>
                  <w:pPr>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888" w:type="dxa"/>
                  <w:noWrap w:val="0"/>
                  <w:vAlign w:val="center"/>
                </w:tcPr>
                <w:p>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 w:val="21"/>
                      <w:szCs w:val="21"/>
                      <w:lang w:val="en-US" w:eastAsia="zh-CN"/>
                    </w:rPr>
                    <w:t>38</w:t>
                  </w:r>
                </w:p>
              </w:tc>
              <w:tc>
                <w:tcPr>
                  <w:tcW w:w="1078" w:type="dxa"/>
                  <w:vMerge w:val="restart"/>
                  <w:noWrap w:val="0"/>
                  <w:vAlign w:val="center"/>
                </w:tcPr>
                <w:p>
                  <w:pPr>
                    <w:tabs>
                      <w:tab w:val="right" w:leader="dot" w:pos="9072"/>
                    </w:tabs>
                    <w:overflowPunct w:val="0"/>
                    <w:adjustRightInd w:val="0"/>
                    <w:snapToGrid w:val="0"/>
                    <w:jc w:val="center"/>
                    <w:rPr>
                      <w:rFonts w:hint="eastAsia"/>
                      <w:bCs/>
                      <w:color w:val="auto"/>
                      <w:szCs w:val="21"/>
                      <w:highlight w:val="none"/>
                    </w:rPr>
                  </w:pPr>
                  <w:r>
                    <w:rPr>
                      <w:rFonts w:hint="eastAsia"/>
                      <w:bCs/>
                      <w:color w:val="auto"/>
                      <w:szCs w:val="21"/>
                      <w:highlight w:val="none"/>
                    </w:rPr>
                    <w:t>收集后出售废旧物资回收公司</w:t>
                  </w:r>
                </w:p>
              </w:tc>
              <w:tc>
                <w:tcPr>
                  <w:tcW w:w="745" w:type="dxa"/>
                  <w:noWrap w:val="0"/>
                  <w:vAlign w:val="center"/>
                </w:tcPr>
                <w:p>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 w:val="21"/>
                      <w:szCs w:val="21"/>
                      <w:lang w:val="en-US" w:eastAsia="zh-CN"/>
                    </w:rPr>
                    <w:t>38</w:t>
                  </w:r>
                </w:p>
              </w:tc>
              <w:tc>
                <w:tcPr>
                  <w:tcW w:w="522"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原料使用完毕</w:t>
                  </w:r>
                </w:p>
              </w:tc>
              <w:tc>
                <w:tcPr>
                  <w:tcW w:w="1038"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原料</w:t>
                  </w:r>
                  <w:r>
                    <w:rPr>
                      <w:rFonts w:hint="eastAsia" w:ascii="Times New Roman" w:hAnsi="Times New Roman" w:cs="Times New Roman"/>
                      <w:sz w:val="21"/>
                      <w:szCs w:val="21"/>
                      <w:lang w:eastAsia="zh-CN"/>
                    </w:rPr>
                    <w:t>包装</w:t>
                  </w:r>
                </w:p>
              </w:tc>
              <w:tc>
                <w:tcPr>
                  <w:tcW w:w="1169"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废包装材料</w:t>
                  </w:r>
                </w:p>
              </w:tc>
              <w:tc>
                <w:tcPr>
                  <w:tcW w:w="923" w:type="dxa"/>
                  <w:noWrap w:val="0"/>
                  <w:vAlign w:val="center"/>
                </w:tcPr>
                <w:p>
                  <w:pPr>
                    <w:widowControl/>
                    <w:snapToGrid w:val="0"/>
                    <w:jc w:val="center"/>
                  </w:pPr>
                  <w:r>
                    <w:rPr>
                      <w:rFonts w:ascii="Times New Roman" w:hAnsi="Times New Roman" w:eastAsia="宋体" w:cs="Times New Roman"/>
                      <w:sz w:val="21"/>
                      <w:szCs w:val="21"/>
                    </w:rPr>
                    <w:t>一般</w:t>
                  </w:r>
                </w:p>
                <w:p>
                  <w:pPr>
                    <w:widowControl/>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固废</w:t>
                  </w:r>
                </w:p>
              </w:tc>
              <w:tc>
                <w:tcPr>
                  <w:tcW w:w="780" w:type="dxa"/>
                  <w:noWrap w:val="0"/>
                  <w:vAlign w:val="center"/>
                </w:tcPr>
                <w:p>
                  <w:pPr>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8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35.88</w:t>
                  </w:r>
                </w:p>
              </w:tc>
              <w:tc>
                <w:tcPr>
                  <w:tcW w:w="1078"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745"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35.88</w:t>
                  </w:r>
                </w:p>
              </w:tc>
              <w:tc>
                <w:tcPr>
                  <w:tcW w:w="522"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生产过程</w:t>
                  </w:r>
                </w:p>
              </w:tc>
              <w:tc>
                <w:tcPr>
                  <w:tcW w:w="1038"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Cs/>
                      <w:kern w:val="2"/>
                      <w:sz w:val="21"/>
                      <w:szCs w:val="21"/>
                      <w:lang w:val="en-US" w:eastAsia="zh-CN" w:bidi="ar-SA"/>
                    </w:rPr>
                    <w:t>喷水织机</w:t>
                  </w:r>
                </w:p>
              </w:tc>
              <w:tc>
                <w:tcPr>
                  <w:tcW w:w="1169"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废棕丝</w:t>
                  </w:r>
                </w:p>
              </w:tc>
              <w:tc>
                <w:tcPr>
                  <w:tcW w:w="923" w:type="dxa"/>
                  <w:noWrap w:val="0"/>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一般</w:t>
                  </w:r>
                </w:p>
                <w:p>
                  <w:pPr>
                    <w:widowControl/>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固废</w:t>
                  </w:r>
                </w:p>
              </w:tc>
              <w:tc>
                <w:tcPr>
                  <w:tcW w:w="780" w:type="dxa"/>
                  <w:noWrap w:val="0"/>
                  <w:vAlign w:val="center"/>
                </w:tcPr>
                <w:p>
                  <w:pPr>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8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0.345</w:t>
                  </w:r>
                </w:p>
              </w:tc>
              <w:tc>
                <w:tcPr>
                  <w:tcW w:w="1078"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745"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0.345</w:t>
                  </w:r>
                </w:p>
              </w:tc>
              <w:tc>
                <w:tcPr>
                  <w:tcW w:w="522"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生产过程</w:t>
                  </w:r>
                </w:p>
              </w:tc>
              <w:tc>
                <w:tcPr>
                  <w:tcW w:w="1038"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Cs/>
                      <w:kern w:val="2"/>
                      <w:sz w:val="21"/>
                      <w:szCs w:val="21"/>
                      <w:lang w:val="en-US" w:eastAsia="zh-CN" w:bidi="ar-SA"/>
                    </w:rPr>
                    <w:t>喷水织机</w:t>
                  </w:r>
                </w:p>
              </w:tc>
              <w:tc>
                <w:tcPr>
                  <w:tcW w:w="1169"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废滤网</w:t>
                  </w:r>
                </w:p>
              </w:tc>
              <w:tc>
                <w:tcPr>
                  <w:tcW w:w="923" w:type="dxa"/>
                  <w:noWrap w:val="0"/>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一般</w:t>
                  </w:r>
                </w:p>
                <w:p>
                  <w:pPr>
                    <w:widowControl/>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固废</w:t>
                  </w:r>
                </w:p>
              </w:tc>
              <w:tc>
                <w:tcPr>
                  <w:tcW w:w="780" w:type="dxa"/>
                  <w:noWrap w:val="0"/>
                  <w:vAlign w:val="center"/>
                </w:tcPr>
                <w:p>
                  <w:pPr>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8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0.173</w:t>
                  </w:r>
                </w:p>
              </w:tc>
              <w:tc>
                <w:tcPr>
                  <w:tcW w:w="1078"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745"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0.173</w:t>
                  </w:r>
                </w:p>
              </w:tc>
              <w:tc>
                <w:tcPr>
                  <w:tcW w:w="522"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设备维修</w:t>
                  </w:r>
                </w:p>
              </w:tc>
              <w:tc>
                <w:tcPr>
                  <w:tcW w:w="1038"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设备维修</w:t>
                  </w:r>
                </w:p>
              </w:tc>
              <w:tc>
                <w:tcPr>
                  <w:tcW w:w="1169"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废机油</w:t>
                  </w:r>
                </w:p>
              </w:tc>
              <w:tc>
                <w:tcPr>
                  <w:tcW w:w="923" w:type="dxa"/>
                  <w:noWrap w:val="0"/>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危险</w:t>
                  </w:r>
                </w:p>
                <w:p>
                  <w:pPr>
                    <w:widowControl/>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废物</w:t>
                  </w:r>
                </w:p>
              </w:tc>
              <w:tc>
                <w:tcPr>
                  <w:tcW w:w="780" w:type="dxa"/>
                  <w:noWrap w:val="0"/>
                  <w:vAlign w:val="center"/>
                </w:tcPr>
                <w:p>
                  <w:pPr>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8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1.6</w:t>
                  </w:r>
                </w:p>
              </w:tc>
              <w:tc>
                <w:tcPr>
                  <w:tcW w:w="1078" w:type="dxa"/>
                  <w:vMerge w:val="restart"/>
                  <w:noWrap w:val="0"/>
                  <w:vAlign w:val="center"/>
                </w:tcPr>
                <w:p>
                  <w:pPr>
                    <w:tabs>
                      <w:tab w:val="right" w:leader="dot" w:pos="9072"/>
                    </w:tabs>
                    <w:overflowPunct w:val="0"/>
                    <w:adjustRightInd w:val="0"/>
                    <w:snapToGrid w:val="0"/>
                    <w:jc w:val="center"/>
                    <w:rPr>
                      <w:rFonts w:hint="eastAsia"/>
                      <w:bCs/>
                      <w:color w:val="auto"/>
                      <w:szCs w:val="21"/>
                      <w:highlight w:val="none"/>
                    </w:rPr>
                  </w:pPr>
                  <w:r>
                    <w:rPr>
                      <w:rFonts w:hint="eastAsia"/>
                      <w:bCs/>
                      <w:color w:val="auto"/>
                      <w:szCs w:val="21"/>
                      <w:highlight w:val="none"/>
                    </w:rPr>
                    <w:t>收集后委托资质单位处置</w:t>
                  </w:r>
                </w:p>
              </w:tc>
              <w:tc>
                <w:tcPr>
                  <w:tcW w:w="745"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1.6</w:t>
                  </w:r>
                </w:p>
              </w:tc>
              <w:tc>
                <w:tcPr>
                  <w:tcW w:w="522"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设备维修</w:t>
                  </w:r>
                </w:p>
              </w:tc>
              <w:tc>
                <w:tcPr>
                  <w:tcW w:w="1038"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设备维修</w:t>
                  </w:r>
                </w:p>
              </w:tc>
              <w:tc>
                <w:tcPr>
                  <w:tcW w:w="1169"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废包装桶</w:t>
                  </w:r>
                </w:p>
              </w:tc>
              <w:tc>
                <w:tcPr>
                  <w:tcW w:w="923" w:type="dxa"/>
                  <w:noWrap w:val="0"/>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危险</w:t>
                  </w:r>
                </w:p>
                <w:p>
                  <w:pPr>
                    <w:widowControl/>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废物</w:t>
                  </w:r>
                </w:p>
              </w:tc>
              <w:tc>
                <w:tcPr>
                  <w:tcW w:w="780" w:type="dxa"/>
                  <w:noWrap w:val="0"/>
                  <w:vAlign w:val="center"/>
                </w:tcPr>
                <w:p>
                  <w:pPr>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8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0.1</w:t>
                  </w:r>
                </w:p>
              </w:tc>
              <w:tc>
                <w:tcPr>
                  <w:tcW w:w="1078"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745"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0.1</w:t>
                  </w:r>
                </w:p>
              </w:tc>
              <w:tc>
                <w:tcPr>
                  <w:tcW w:w="522"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1077"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设备维修</w:t>
                  </w:r>
                </w:p>
              </w:tc>
              <w:tc>
                <w:tcPr>
                  <w:tcW w:w="1038"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设备维修</w:t>
                  </w:r>
                </w:p>
              </w:tc>
              <w:tc>
                <w:tcPr>
                  <w:tcW w:w="1169"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废弃的含油抹布、劳保用品</w:t>
                  </w:r>
                </w:p>
              </w:tc>
              <w:tc>
                <w:tcPr>
                  <w:tcW w:w="923" w:type="dxa"/>
                  <w:noWrap w:val="0"/>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危险</w:t>
                  </w:r>
                </w:p>
                <w:p>
                  <w:pPr>
                    <w:widowControl/>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废物</w:t>
                  </w:r>
                </w:p>
              </w:tc>
              <w:tc>
                <w:tcPr>
                  <w:tcW w:w="780" w:type="dxa"/>
                  <w:noWrap w:val="0"/>
                  <w:vAlign w:val="center"/>
                </w:tcPr>
                <w:p>
                  <w:pPr>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8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0.03</w:t>
                  </w:r>
                </w:p>
              </w:tc>
              <w:tc>
                <w:tcPr>
                  <w:tcW w:w="1078"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c>
                <w:tcPr>
                  <w:tcW w:w="745"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0.03</w:t>
                  </w:r>
                </w:p>
              </w:tc>
              <w:tc>
                <w:tcPr>
                  <w:tcW w:w="522" w:type="dxa"/>
                  <w:vMerge w:val="continue"/>
                  <w:noWrap w:val="0"/>
                  <w:vAlign w:val="center"/>
                </w:tcPr>
                <w:p>
                  <w:pPr>
                    <w:tabs>
                      <w:tab w:val="right" w:leader="dot" w:pos="9072"/>
                    </w:tabs>
                    <w:overflowPunct w:val="0"/>
                    <w:adjustRightInd w:val="0"/>
                    <w:snapToGrid w:val="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0" w:type="auto"/>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废气处理装置</w:t>
                  </w:r>
                </w:p>
              </w:tc>
              <w:tc>
                <w:tcPr>
                  <w:tcW w:w="0" w:type="auto"/>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废气处理装置</w:t>
                  </w:r>
                </w:p>
              </w:tc>
              <w:tc>
                <w:tcPr>
                  <w:tcW w:w="0" w:type="auto"/>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cs="Times New Roman"/>
                      <w:color w:val="auto"/>
                      <w:sz w:val="21"/>
                      <w:szCs w:val="21"/>
                      <w:highlight w:val="none"/>
                      <w:lang w:eastAsia="zh-CN"/>
                    </w:rPr>
                    <w:t>喷淋废液</w:t>
                  </w:r>
                </w:p>
              </w:tc>
              <w:tc>
                <w:tcPr>
                  <w:tcW w:w="0" w:type="auto"/>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危险</w:t>
                  </w:r>
                </w:p>
                <w:p>
                  <w:pPr>
                    <w:widowControl/>
                    <w:snapToGrid w:val="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废物</w:t>
                  </w:r>
                </w:p>
              </w:tc>
              <w:tc>
                <w:tcPr>
                  <w:tcW w:w="0" w:type="auto"/>
                  <w:vAlign w:val="center"/>
                </w:tcPr>
                <w:p>
                  <w:pPr>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w:t>
                  </w:r>
                </w:p>
              </w:tc>
              <w:tc>
                <w:tcPr>
                  <w:tcW w:w="1078" w:type="dxa"/>
                  <w:vMerge w:val="continue"/>
                </w:tcPr>
                <w:p>
                  <w:pPr>
                    <w:tabs>
                      <w:tab w:val="right" w:leader="dot" w:pos="9072"/>
                    </w:tabs>
                    <w:overflowPunct w:val="0"/>
                    <w:adjustRightInd w:val="0"/>
                    <w:snapToGrid w:val="0"/>
                    <w:jc w:val="center"/>
                    <w:rPr>
                      <w:rFonts w:hint="eastAsia"/>
                      <w:bCs/>
                      <w:color w:val="auto"/>
                      <w:szCs w:val="21"/>
                      <w:highlight w:val="none"/>
                    </w:rPr>
                  </w:pP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w:t>
                  </w:r>
                </w:p>
              </w:tc>
              <w:tc>
                <w:tcPr>
                  <w:tcW w:w="0" w:type="auto"/>
                </w:tcPr>
                <w:p>
                  <w:pPr>
                    <w:tabs>
                      <w:tab w:val="right" w:leader="dot" w:pos="9072"/>
                    </w:tabs>
                    <w:overflowPunct w:val="0"/>
                    <w:adjustRightInd w:val="0"/>
                    <w:snapToGrid w:val="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0" w:type="auto"/>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水浆</w:t>
                  </w:r>
                  <w:r>
                    <w:rPr>
                      <w:rFonts w:hint="eastAsia" w:ascii="Times New Roman" w:hAnsi="Times New Roman" w:cs="Times New Roman"/>
                      <w:sz w:val="21"/>
                      <w:szCs w:val="21"/>
                      <w:lang w:eastAsia="zh-CN"/>
                    </w:rPr>
                    <w:t>、加弹油</w:t>
                  </w:r>
                  <w:r>
                    <w:rPr>
                      <w:rFonts w:hint="eastAsia" w:ascii="Times New Roman" w:hAnsi="Times New Roman" w:eastAsia="宋体" w:cs="Times New Roman"/>
                      <w:sz w:val="21"/>
                      <w:szCs w:val="21"/>
                      <w:lang w:eastAsia="zh-CN"/>
                    </w:rPr>
                    <w:t>包装</w:t>
                  </w:r>
                </w:p>
              </w:tc>
              <w:tc>
                <w:tcPr>
                  <w:tcW w:w="0" w:type="auto"/>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水浆</w:t>
                  </w:r>
                  <w:r>
                    <w:rPr>
                      <w:rFonts w:hint="eastAsia" w:ascii="Times New Roman" w:hAnsi="Times New Roman" w:cs="Times New Roman"/>
                      <w:sz w:val="21"/>
                      <w:szCs w:val="21"/>
                      <w:lang w:eastAsia="zh-CN"/>
                    </w:rPr>
                    <w:t>、加弹油</w:t>
                  </w:r>
                  <w:r>
                    <w:rPr>
                      <w:rFonts w:hint="eastAsia" w:ascii="Times New Roman" w:hAnsi="Times New Roman" w:eastAsia="宋体" w:cs="Times New Roman"/>
                      <w:sz w:val="21"/>
                      <w:szCs w:val="21"/>
                      <w:lang w:eastAsia="zh-CN"/>
                    </w:rPr>
                    <w:t>包装</w:t>
                  </w:r>
                </w:p>
              </w:tc>
              <w:tc>
                <w:tcPr>
                  <w:tcW w:w="0" w:type="auto"/>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吨桶</w:t>
                  </w:r>
                </w:p>
              </w:tc>
              <w:tc>
                <w:tcPr>
                  <w:tcW w:w="0" w:type="auto"/>
                  <w:vAlign w:val="center"/>
                </w:tcPr>
                <w:p>
                  <w:pPr>
                    <w:widowControl/>
                    <w:snapToGrid w:val="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0" w:type="auto"/>
                  <w:vAlign w:val="center"/>
                </w:tcPr>
                <w:p>
                  <w:pPr>
                    <w:overflowPunct w:val="0"/>
                    <w:adjustRightInd w:val="0"/>
                    <w:snapToGrid w:val="0"/>
                    <w:jc w:val="center"/>
                    <w:rPr>
                      <w:rFonts w:hint="eastAsia"/>
                      <w:color w:val="auto"/>
                      <w:szCs w:val="21"/>
                      <w:highlight w:val="none"/>
                    </w:rPr>
                  </w:pPr>
                  <w:r>
                    <w:rPr>
                      <w:rFonts w:hint="eastAsia"/>
                      <w:color w:val="auto"/>
                      <w:szCs w:val="21"/>
                      <w:highlight w:val="none"/>
                    </w:rPr>
                    <w:t>类比法</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w:t>
                  </w:r>
                  <w:r>
                    <w:rPr>
                      <w:rFonts w:hint="eastAsia" w:ascii="Times New Roman" w:hAnsi="Times New Roman" w:cs="Times New Roman"/>
                      <w:sz w:val="21"/>
                      <w:szCs w:val="21"/>
                      <w:lang w:val="en-US" w:eastAsia="zh-CN"/>
                    </w:rPr>
                    <w:t>2</w:t>
                  </w:r>
                  <w:r>
                    <w:rPr>
                      <w:rFonts w:hint="eastAsia" w:ascii="Times New Roman" w:hAnsi="Times New Roman" w:eastAsia="宋体" w:cs="Times New Roman"/>
                      <w:sz w:val="21"/>
                      <w:szCs w:val="21"/>
                      <w:lang w:val="en-US" w:eastAsia="zh-CN"/>
                    </w:rPr>
                    <w:t>个/a</w:t>
                  </w:r>
                </w:p>
              </w:tc>
              <w:tc>
                <w:tcPr>
                  <w:tcW w:w="0" w:type="auto"/>
                </w:tcPr>
                <w:p>
                  <w:pPr>
                    <w:tabs>
                      <w:tab w:val="right" w:leader="dot" w:pos="9072"/>
                    </w:tabs>
                    <w:overflowPunct w:val="0"/>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由供货商回收</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w:t>
                  </w:r>
                  <w:r>
                    <w:rPr>
                      <w:rFonts w:hint="eastAsia" w:ascii="Times New Roman" w:hAnsi="Times New Roman" w:cs="Times New Roman"/>
                      <w:sz w:val="21"/>
                      <w:szCs w:val="21"/>
                      <w:lang w:val="en-US" w:eastAsia="zh-CN"/>
                    </w:rPr>
                    <w:t>2</w:t>
                  </w:r>
                  <w:r>
                    <w:rPr>
                      <w:rFonts w:hint="eastAsia" w:ascii="Times New Roman" w:hAnsi="Times New Roman" w:eastAsia="宋体" w:cs="Times New Roman"/>
                      <w:sz w:val="21"/>
                      <w:szCs w:val="21"/>
                      <w:lang w:val="en-US" w:eastAsia="zh-CN"/>
                    </w:rPr>
                    <w:t>个/a</w:t>
                  </w:r>
                </w:p>
              </w:tc>
              <w:tc>
                <w:tcPr>
                  <w:tcW w:w="0" w:type="auto"/>
                </w:tcPr>
                <w:p>
                  <w:pPr>
                    <w:tabs>
                      <w:tab w:val="right" w:leader="dot" w:pos="9072"/>
                    </w:tabs>
                    <w:overflowPunct w:val="0"/>
                    <w:adjustRightInd w:val="0"/>
                    <w:snapToGrid w:val="0"/>
                    <w:jc w:val="center"/>
                    <w:rPr>
                      <w:rFonts w:hint="eastAsia"/>
                      <w:bCs/>
                      <w:color w:val="auto"/>
                      <w:szCs w:val="21"/>
                      <w:highlight w:val="none"/>
                    </w:rPr>
                  </w:pPr>
                </w:p>
              </w:tc>
            </w:tr>
          </w:tbl>
          <w:p>
            <w:pPr>
              <w:pageBreakBefore/>
              <w:spacing w:line="500" w:lineRule="exact"/>
              <w:contextualSpacing/>
              <w:outlineLvl w:val="1"/>
              <w:rPr>
                <w:b/>
                <w:sz w:val="24"/>
              </w:rPr>
            </w:pPr>
            <w:r>
              <w:rPr>
                <w:b/>
                <w:sz w:val="24"/>
              </w:rPr>
              <w:t xml:space="preserve">4.5.1.2 </w:t>
            </w:r>
            <w:r>
              <w:rPr>
                <w:rFonts w:hAnsi="宋体"/>
                <w:b/>
                <w:sz w:val="24"/>
              </w:rPr>
              <w:t>固废源强核算</w:t>
            </w:r>
          </w:p>
          <w:p>
            <w:pPr>
              <w:pageBreakBefore/>
              <w:spacing w:line="500" w:lineRule="exact"/>
              <w:ind w:firstLine="480" w:firstLineChars="200"/>
              <w:contextualSpacing/>
              <w:outlineLvl w:val="1"/>
              <w:rPr>
                <w:sz w:val="24"/>
              </w:rPr>
            </w:pPr>
            <w:r>
              <w:rPr>
                <w:sz w:val="24"/>
              </w:rPr>
              <w:t>（1）生活垃圾</w:t>
            </w:r>
          </w:p>
          <w:p>
            <w:pPr>
              <w:spacing w:line="500" w:lineRule="exact"/>
              <w:ind w:firstLine="480" w:firstLineChars="200"/>
              <w:rPr>
                <w:sz w:val="24"/>
              </w:rPr>
            </w:pPr>
            <w:r>
              <w:rPr>
                <w:sz w:val="24"/>
              </w:rPr>
              <w:t>项目职工定员</w:t>
            </w:r>
            <w:r>
              <w:rPr>
                <w:rFonts w:hint="eastAsia"/>
                <w:sz w:val="24"/>
                <w:lang w:val="en-US" w:eastAsia="zh-CN"/>
              </w:rPr>
              <w:t>50</w:t>
            </w:r>
            <w:r>
              <w:rPr>
                <w:sz w:val="24"/>
              </w:rPr>
              <w:t>人，年工作天数为</w:t>
            </w:r>
            <w:r>
              <w:rPr>
                <w:rFonts w:hint="eastAsia"/>
                <w:sz w:val="24"/>
                <w:lang w:val="en-US" w:eastAsia="zh-CN"/>
              </w:rPr>
              <w:t>300</w:t>
            </w:r>
            <w:r>
              <w:rPr>
                <w:sz w:val="24"/>
              </w:rPr>
              <w:t>d，按每人每天产生生活垃圾1.0kg计算，生活垃圾产生量约为</w:t>
            </w:r>
            <w:r>
              <w:rPr>
                <w:rFonts w:hint="eastAsia"/>
                <w:sz w:val="24"/>
                <w:lang w:val="en-US" w:eastAsia="zh-CN"/>
              </w:rPr>
              <w:t>15t</w:t>
            </w:r>
            <w:r>
              <w:rPr>
                <w:sz w:val="24"/>
              </w:rPr>
              <w:t>/a，经收集后委托当地环卫部门清运处理，不外排。</w:t>
            </w:r>
          </w:p>
          <w:p>
            <w:pPr>
              <w:spacing w:line="500" w:lineRule="exact"/>
              <w:ind w:firstLine="480" w:firstLineChars="200"/>
              <w:rPr>
                <w:sz w:val="24"/>
              </w:rPr>
            </w:pPr>
            <w:r>
              <w:rPr>
                <w:sz w:val="24"/>
              </w:rPr>
              <w:t>（2）生产固废</w:t>
            </w:r>
          </w:p>
          <w:p>
            <w:pPr>
              <w:pStyle w:val="215"/>
              <w:spacing w:before="0" w:line="500" w:lineRule="exact"/>
              <w:ind w:firstLine="480" w:firstLineChars="200"/>
              <w:rPr>
                <w:rFonts w:hint="eastAsia" w:ascii="Times New Roman" w:hAnsi="Times New Roman" w:eastAsia="宋体"/>
                <w:b w:val="0"/>
                <w:szCs w:val="24"/>
                <w:lang w:eastAsia="zh-CN"/>
              </w:rPr>
            </w:pPr>
            <w:r>
              <w:rPr>
                <w:rFonts w:ascii="Times New Roman" w:hAnsi="Times New Roman"/>
                <w:b w:val="0"/>
                <w:szCs w:val="24"/>
              </w:rPr>
              <w:t>a）废丝</w:t>
            </w:r>
            <w:r>
              <w:rPr>
                <w:rFonts w:hint="eastAsia" w:ascii="Times New Roman" w:hAnsi="Times New Roman"/>
                <w:b w:val="0"/>
                <w:szCs w:val="24"/>
                <w:lang w:eastAsia="zh-CN"/>
              </w:rPr>
              <w:t>、废布</w:t>
            </w:r>
          </w:p>
          <w:p>
            <w:pPr>
              <w:pStyle w:val="215"/>
              <w:spacing w:before="0" w:line="500" w:lineRule="exact"/>
              <w:ind w:firstLine="480" w:firstLineChars="200"/>
              <w:rPr>
                <w:rFonts w:ascii="Times New Roman" w:hAnsi="Times New Roman"/>
                <w:b w:val="0"/>
                <w:szCs w:val="24"/>
              </w:rPr>
            </w:pPr>
            <w:r>
              <w:rPr>
                <w:rFonts w:ascii="Times New Roman" w:hAnsi="Times New Roman"/>
                <w:b w:val="0"/>
                <w:szCs w:val="24"/>
              </w:rPr>
              <w:t>在络丝、织造</w:t>
            </w:r>
            <w:r>
              <w:rPr>
                <w:rFonts w:hint="eastAsia" w:ascii="Times New Roman" w:hAnsi="Times New Roman"/>
                <w:b w:val="0"/>
                <w:szCs w:val="24"/>
                <w:lang w:eastAsia="zh-CN"/>
              </w:rPr>
              <w:t>、检验</w:t>
            </w:r>
            <w:r>
              <w:rPr>
                <w:rFonts w:ascii="Times New Roman" w:hAnsi="Times New Roman"/>
                <w:b w:val="0"/>
                <w:szCs w:val="24"/>
              </w:rPr>
              <w:t>等过程中会产生少量的废丝</w:t>
            </w:r>
            <w:r>
              <w:rPr>
                <w:rFonts w:hint="eastAsia" w:ascii="Times New Roman" w:hAnsi="Times New Roman"/>
                <w:b w:val="0"/>
                <w:szCs w:val="24"/>
                <w:lang w:eastAsia="zh-CN"/>
              </w:rPr>
              <w:t>和废布</w:t>
            </w:r>
            <w:r>
              <w:rPr>
                <w:rFonts w:ascii="Times New Roman" w:hAnsi="Times New Roman"/>
                <w:b w:val="0"/>
                <w:szCs w:val="24"/>
              </w:rPr>
              <w:t>，</w:t>
            </w:r>
            <w:r>
              <w:rPr>
                <w:rFonts w:hint="eastAsia" w:ascii="Times New Roman" w:hAnsi="Times New Roman"/>
                <w:b w:val="0"/>
                <w:szCs w:val="24"/>
              </w:rPr>
              <w:t>根据同类型项目生产经验，每万米布产生10kg废丝和废布，本项目年产化纤布</w:t>
            </w:r>
            <w:r>
              <w:rPr>
                <w:rFonts w:hint="eastAsia" w:ascii="Times New Roman" w:hAnsi="Times New Roman"/>
                <w:b w:val="0"/>
                <w:szCs w:val="24"/>
                <w:lang w:val="en-US" w:eastAsia="zh-CN"/>
              </w:rPr>
              <w:t>3800</w:t>
            </w:r>
            <w:r>
              <w:rPr>
                <w:rFonts w:hint="eastAsia" w:ascii="Times New Roman" w:hAnsi="Times New Roman"/>
                <w:b w:val="0"/>
                <w:szCs w:val="24"/>
              </w:rPr>
              <w:t>万米，则废丝和废布产生量约</w:t>
            </w:r>
            <w:r>
              <w:rPr>
                <w:rFonts w:hint="eastAsia" w:ascii="Times New Roman" w:hAnsi="Times New Roman"/>
                <w:b w:val="0"/>
                <w:szCs w:val="24"/>
                <w:lang w:val="en-US" w:eastAsia="zh-CN"/>
              </w:rPr>
              <w:t>38</w:t>
            </w:r>
            <w:r>
              <w:rPr>
                <w:rFonts w:hint="eastAsia" w:ascii="Times New Roman" w:hAnsi="Times New Roman"/>
                <w:b w:val="0"/>
                <w:szCs w:val="24"/>
              </w:rPr>
              <w:t>t/a</w:t>
            </w:r>
            <w:r>
              <w:rPr>
                <w:rFonts w:ascii="Times New Roman" w:hAnsi="Times New Roman"/>
                <w:b w:val="0"/>
                <w:szCs w:val="24"/>
              </w:rPr>
              <w:t>，</w:t>
            </w:r>
            <w:r>
              <w:rPr>
                <w:rFonts w:ascii="Times New Roman" w:hAnsi="Times New Roman"/>
                <w:b w:val="0"/>
              </w:rPr>
              <w:t>为</w:t>
            </w:r>
            <w:r>
              <w:rPr>
                <w:rFonts w:ascii="Times New Roman" w:hAnsi="Times New Roman"/>
                <w:b w:val="0"/>
                <w:szCs w:val="24"/>
              </w:rPr>
              <w:t>一般固废，收集后出售给物资回收公司，</w:t>
            </w:r>
            <w:r>
              <w:rPr>
                <w:rFonts w:ascii="Times New Roman" w:hAnsi="Times New Roman"/>
                <w:b w:val="0"/>
              </w:rPr>
              <w:t>不外排</w:t>
            </w:r>
            <w:r>
              <w:rPr>
                <w:rFonts w:ascii="Times New Roman" w:hAnsi="Times New Roman"/>
                <w:b w:val="0"/>
                <w:szCs w:val="24"/>
              </w:rPr>
              <w:t>。</w:t>
            </w:r>
          </w:p>
          <w:p>
            <w:pPr>
              <w:pStyle w:val="215"/>
              <w:spacing w:before="0" w:line="500" w:lineRule="exact"/>
              <w:ind w:left="0" w:leftChars="0" w:firstLine="480" w:firstLineChars="200"/>
              <w:rPr>
                <w:rFonts w:ascii="Times New Roman" w:hAnsi="Times New Roman"/>
                <w:b w:val="0"/>
                <w:szCs w:val="24"/>
              </w:rPr>
            </w:pPr>
            <w:r>
              <w:rPr>
                <w:rFonts w:hint="eastAsia" w:ascii="Times New Roman" w:hAnsi="Times New Roman"/>
                <w:b w:val="0"/>
                <w:szCs w:val="24"/>
                <w:lang w:val="en-US" w:eastAsia="zh-CN"/>
              </w:rPr>
              <w:t>b</w:t>
            </w:r>
            <w:r>
              <w:rPr>
                <w:rFonts w:ascii="Times New Roman" w:hAnsi="Times New Roman"/>
                <w:b w:val="0"/>
                <w:szCs w:val="24"/>
              </w:rPr>
              <w:t>）废包装材料</w:t>
            </w:r>
          </w:p>
          <w:p>
            <w:pPr>
              <w:spacing w:line="500" w:lineRule="exact"/>
              <w:ind w:firstLine="480" w:firstLineChars="200"/>
              <w:rPr>
                <w:bCs/>
                <w:color w:val="auto"/>
                <w:sz w:val="24"/>
              </w:rPr>
            </w:pPr>
            <w:r>
              <w:rPr>
                <w:rFonts w:hint="eastAsia" w:ascii="Times New Roman" w:hAnsi="Times New Roman" w:eastAsia="宋体" w:cs="Times New Roman"/>
                <w:color w:val="auto"/>
                <w:sz w:val="24"/>
                <w:szCs w:val="24"/>
                <w:highlight w:val="none"/>
              </w:rPr>
              <w:t>本项目化纤丝等原料使用完毕后会产生一定量的废包装材料，主要为废纸箱等，按照</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吨原料产生</w:t>
            </w:r>
            <w:r>
              <w:rPr>
                <w:rFonts w:hint="default" w:ascii="Times New Roman" w:hAnsi="Times New Roman" w:eastAsia="宋体" w:cs="Times New Roman"/>
                <w:color w:val="auto"/>
                <w:sz w:val="24"/>
                <w:szCs w:val="24"/>
                <w:highlight w:val="none"/>
              </w:rPr>
              <w:t>0.004t</w:t>
            </w:r>
            <w:r>
              <w:rPr>
                <w:rFonts w:hint="eastAsia" w:ascii="Times New Roman" w:hAnsi="Times New Roman" w:eastAsia="宋体" w:cs="Times New Roman"/>
                <w:color w:val="auto"/>
                <w:sz w:val="24"/>
                <w:szCs w:val="24"/>
                <w:highlight w:val="none"/>
              </w:rPr>
              <w:t>原料包装，本项目</w:t>
            </w:r>
            <w:r>
              <w:rPr>
                <w:rFonts w:hint="eastAsia" w:ascii="Times New Roman" w:hAnsi="Times New Roman" w:eastAsia="宋体" w:cs="Times New Roman"/>
                <w:color w:val="auto"/>
                <w:sz w:val="24"/>
                <w:szCs w:val="24"/>
                <w:highlight w:val="none"/>
                <w:lang w:eastAsia="zh-CN"/>
              </w:rPr>
              <w:t>各</w:t>
            </w:r>
            <w:r>
              <w:rPr>
                <w:rFonts w:hint="eastAsia" w:ascii="Times New Roman" w:hAnsi="Times New Roman" w:eastAsia="宋体" w:cs="Times New Roman"/>
                <w:color w:val="auto"/>
                <w:sz w:val="24"/>
                <w:szCs w:val="24"/>
                <w:highlight w:val="none"/>
              </w:rPr>
              <w:t>原料用量</w:t>
            </w:r>
            <w:r>
              <w:rPr>
                <w:rFonts w:hint="eastAsia" w:ascii="Times New Roman" w:hAnsi="Times New Roman" w:eastAsia="宋体" w:cs="Times New Roman"/>
                <w:color w:val="auto"/>
                <w:sz w:val="24"/>
                <w:szCs w:val="24"/>
                <w:highlight w:val="none"/>
                <w:lang w:eastAsia="zh-CN"/>
              </w:rPr>
              <w:t>共计</w:t>
            </w:r>
            <w:r>
              <w:rPr>
                <w:rFonts w:hint="eastAsia" w:ascii="Times New Roman" w:hAnsi="Times New Roman" w:eastAsia="宋体" w:cs="Times New Roman"/>
                <w:color w:val="auto"/>
                <w:sz w:val="24"/>
                <w:szCs w:val="24"/>
                <w:highlight w:val="none"/>
                <w:lang w:val="en-US" w:eastAsia="zh-CN"/>
              </w:rPr>
              <w:t>8970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rPr>
              <w:t>，预计产生一般废包装材料约</w:t>
            </w:r>
            <w:r>
              <w:rPr>
                <w:rFonts w:hint="eastAsia" w:ascii="Times New Roman" w:hAnsi="Times New Roman" w:eastAsia="宋体" w:cs="Times New Roman"/>
                <w:color w:val="auto"/>
                <w:sz w:val="24"/>
                <w:szCs w:val="24"/>
                <w:highlight w:val="none"/>
                <w:lang w:val="en-US" w:eastAsia="zh-CN"/>
              </w:rPr>
              <w:t>35.88</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，为一般固废，收集后出售给物资回收公司，不外排</w:t>
            </w:r>
            <w:r>
              <w:rPr>
                <w:rFonts w:hAnsi="宋体"/>
                <w:bCs/>
                <w:color w:val="auto"/>
                <w:sz w:val="24"/>
              </w:rPr>
              <w:t>。</w:t>
            </w:r>
          </w:p>
          <w:p>
            <w:pPr>
              <w:pStyle w:val="215"/>
              <w:spacing w:before="0" w:line="500" w:lineRule="exact"/>
              <w:ind w:left="0" w:leftChars="0" w:firstLine="480" w:firstLineChars="200"/>
              <w:rPr>
                <w:rFonts w:hint="eastAsia" w:ascii="Times New Roman" w:hAnsi="Times New Roman"/>
                <w:b w:val="0"/>
                <w:szCs w:val="24"/>
                <w:lang w:val="en-US" w:eastAsia="zh-CN"/>
              </w:rPr>
            </w:pPr>
            <w:r>
              <w:rPr>
                <w:rFonts w:hint="eastAsia" w:ascii="Times New Roman" w:hAnsi="Times New Roman"/>
                <w:b w:val="0"/>
                <w:szCs w:val="24"/>
                <w:lang w:val="en-US" w:eastAsia="zh-CN"/>
              </w:rPr>
              <w:t>c）废包装桶</w:t>
            </w:r>
          </w:p>
          <w:p>
            <w:pPr>
              <w:spacing w:line="500" w:lineRule="exact"/>
              <w:ind w:firstLine="480" w:firstLineChars="200"/>
              <w:rPr>
                <w:bCs/>
                <w:color w:val="auto"/>
                <w:sz w:val="24"/>
              </w:rPr>
            </w:pPr>
            <w:r>
              <w:rPr>
                <w:rFonts w:hint="eastAsia" w:hAnsi="宋体"/>
                <w:sz w:val="24"/>
              </w:rPr>
              <w:t>机油</w:t>
            </w:r>
            <w:r>
              <w:rPr>
                <w:rFonts w:hAnsi="宋体"/>
                <w:sz w:val="24"/>
              </w:rPr>
              <w:t>采用</w:t>
            </w:r>
            <w:r>
              <w:rPr>
                <w:rFonts w:hint="eastAsia" w:hAnsi="宋体"/>
                <w:sz w:val="24"/>
              </w:rPr>
              <w:t>铁桶包装桶</w:t>
            </w:r>
            <w:r>
              <w:rPr>
                <w:rFonts w:hAnsi="宋体"/>
                <w:sz w:val="24"/>
              </w:rPr>
              <w:t>，使用完毕后会产生废包装桶，</w:t>
            </w:r>
            <w:r>
              <w:rPr>
                <w:rFonts w:hint="eastAsia" w:hAnsi="宋体"/>
                <w:sz w:val="24"/>
                <w:lang w:eastAsia="zh-CN"/>
              </w:rPr>
              <w:t>年使用机油量为</w:t>
            </w:r>
            <w:r>
              <w:rPr>
                <w:rFonts w:hint="eastAsia" w:hAnsi="宋体"/>
                <w:sz w:val="24"/>
                <w:lang w:val="en-US" w:eastAsia="zh-CN"/>
              </w:rPr>
              <w:t>2t/a，</w:t>
            </w:r>
            <w:r>
              <w:rPr>
                <w:rFonts w:hint="eastAsia" w:hAnsi="宋体"/>
                <w:sz w:val="24"/>
              </w:rPr>
              <w:t>机油桶按10kg/个计，机油包装为200kg/桶，产生机油桶重量为</w:t>
            </w:r>
            <w:r>
              <w:rPr>
                <w:rFonts w:hint="eastAsia" w:hAnsi="宋体"/>
                <w:sz w:val="24"/>
                <w:lang w:val="en-US" w:eastAsia="zh-CN"/>
              </w:rPr>
              <w:t>0.1</w:t>
            </w:r>
            <w:r>
              <w:rPr>
                <w:rFonts w:hint="eastAsia" w:hAnsi="宋体"/>
                <w:sz w:val="24"/>
              </w:rPr>
              <w:t>t/a</w:t>
            </w:r>
            <w:r>
              <w:rPr>
                <w:rFonts w:hint="eastAsia" w:hAnsi="宋体"/>
                <w:sz w:val="24"/>
                <w:lang w:eastAsia="zh-CN"/>
              </w:rPr>
              <w:t>；加弹油</w:t>
            </w:r>
            <w:r>
              <w:rPr>
                <w:rFonts w:hAnsi="宋体"/>
                <w:sz w:val="24"/>
              </w:rPr>
              <w:t>。</w:t>
            </w:r>
            <w:r>
              <w:rPr>
                <w:rFonts w:hAnsi="宋体"/>
                <w:bCs/>
                <w:sz w:val="24"/>
              </w:rPr>
              <w:t>对照《国家危险废物名录》，该部分为危险废物，废物类别为</w:t>
            </w:r>
            <w:r>
              <w:rPr>
                <w:bCs/>
                <w:sz w:val="24"/>
              </w:rPr>
              <w:t>HW08</w:t>
            </w:r>
            <w:r>
              <w:rPr>
                <w:rFonts w:hAnsi="宋体"/>
                <w:bCs/>
                <w:sz w:val="24"/>
              </w:rPr>
              <w:t>（废矿物油与含矿物油废物），废物代码900-249-08（</w:t>
            </w:r>
            <w:r>
              <w:rPr>
                <w:rFonts w:hint="eastAsia" w:hAnsi="宋体"/>
                <w:bCs/>
                <w:sz w:val="24"/>
              </w:rPr>
              <w:t>其他生产、销售、使用过程中</w:t>
            </w:r>
            <w:r>
              <w:rPr>
                <w:rFonts w:hint="eastAsia" w:hAnsi="宋体"/>
                <w:bCs/>
                <w:color w:val="auto"/>
                <w:sz w:val="24"/>
              </w:rPr>
              <w:t>产生的废矿物油及沾染矿物油的废弃包装物</w:t>
            </w:r>
            <w:r>
              <w:rPr>
                <w:rFonts w:hAnsi="宋体"/>
                <w:bCs/>
                <w:color w:val="auto"/>
                <w:sz w:val="24"/>
              </w:rPr>
              <w:t>），收集委托有资质单位</w:t>
            </w:r>
            <w:r>
              <w:rPr>
                <w:rFonts w:hint="eastAsia" w:hAnsi="宋体"/>
                <w:bCs/>
                <w:color w:val="auto"/>
                <w:sz w:val="24"/>
              </w:rPr>
              <w:t>集中处置，不外排</w:t>
            </w:r>
            <w:r>
              <w:rPr>
                <w:rFonts w:hAnsi="宋体"/>
                <w:bCs/>
                <w:color w:val="auto"/>
                <w:sz w:val="24"/>
              </w:rPr>
              <w:t>。</w:t>
            </w:r>
          </w:p>
          <w:p>
            <w:pPr>
              <w:spacing w:line="500" w:lineRule="exact"/>
              <w:ind w:firstLine="480" w:firstLineChars="200"/>
              <w:rPr>
                <w:rFonts w:hint="eastAsia" w:eastAsia="宋体"/>
                <w:bCs/>
                <w:color w:val="auto"/>
                <w:sz w:val="24"/>
                <w:lang w:eastAsia="zh-CN"/>
              </w:rPr>
            </w:pPr>
            <w:r>
              <w:rPr>
                <w:bCs/>
                <w:color w:val="auto"/>
                <w:sz w:val="24"/>
              </w:rPr>
              <w:t>d</w:t>
            </w:r>
            <w:r>
              <w:rPr>
                <w:rFonts w:hAnsi="宋体"/>
                <w:bCs/>
                <w:color w:val="auto"/>
                <w:sz w:val="24"/>
              </w:rPr>
              <w:t>）</w:t>
            </w:r>
            <w:r>
              <w:rPr>
                <w:rFonts w:hint="eastAsia" w:hAnsi="宋体"/>
                <w:color w:val="auto"/>
                <w:sz w:val="24"/>
                <w:lang w:eastAsia="zh-CN"/>
              </w:rPr>
              <w:t>废机油</w:t>
            </w:r>
          </w:p>
          <w:p>
            <w:pPr>
              <w:spacing w:line="500" w:lineRule="exact"/>
              <w:ind w:firstLine="480" w:firstLineChars="200"/>
              <w:rPr>
                <w:bCs/>
                <w:color w:val="auto"/>
                <w:sz w:val="24"/>
              </w:rPr>
            </w:pPr>
            <w:bookmarkStart w:id="27" w:name="_Toc23590"/>
            <w:bookmarkStart w:id="28" w:name="_Toc24136"/>
            <w:bookmarkStart w:id="29" w:name="_Toc3896"/>
            <w:bookmarkStart w:id="30" w:name="_Toc12609"/>
            <w:r>
              <w:rPr>
                <w:rFonts w:hint="eastAsia" w:ascii="Times New Roman" w:hAnsi="Times New Roman" w:eastAsia="宋体" w:cs="Times New Roman"/>
                <w:color w:val="auto"/>
                <w:sz w:val="24"/>
                <w:szCs w:val="24"/>
                <w:highlight w:val="none"/>
              </w:rPr>
              <w:t>本项目设备维修过程中会产生一定量的废机油，废机油产生量约为机油用量的</w:t>
            </w:r>
            <w:r>
              <w:rPr>
                <w:rFonts w:hint="default" w:ascii="Times New Roman" w:hAnsi="Times New Roman" w:eastAsia="宋体" w:cs="Times New Roman"/>
                <w:color w:val="auto"/>
                <w:sz w:val="24"/>
                <w:szCs w:val="24"/>
                <w:highlight w:val="none"/>
              </w:rPr>
              <w:t>80%</w:t>
            </w:r>
            <w:r>
              <w:rPr>
                <w:rFonts w:hint="eastAsia" w:ascii="Times New Roman" w:hAnsi="Times New Roman" w:eastAsia="宋体" w:cs="Times New Roman"/>
                <w:color w:val="auto"/>
                <w:sz w:val="24"/>
                <w:szCs w:val="24"/>
                <w:highlight w:val="none"/>
              </w:rPr>
              <w:t>，则废机油产生量为</w:t>
            </w:r>
            <w:r>
              <w:rPr>
                <w:rFonts w:hint="eastAsia" w:ascii="Times New Roman" w:hAnsi="Times New Roman" w:eastAsia="宋体" w:cs="Times New Roman"/>
                <w:color w:val="auto"/>
                <w:sz w:val="24"/>
                <w:szCs w:val="24"/>
                <w:highlight w:val="none"/>
                <w:lang w:val="en-US" w:eastAsia="zh-CN"/>
              </w:rPr>
              <w:t>1.6</w:t>
            </w:r>
            <w:r>
              <w:rPr>
                <w:rFonts w:hint="eastAsia" w:ascii="Times New Roman" w:hAnsi="Times New Roman" w:eastAsia="宋体" w:cs="Times New Roman"/>
                <w:color w:val="auto"/>
                <w:sz w:val="24"/>
                <w:szCs w:val="24"/>
                <w:highlight w:val="none"/>
              </w:rPr>
              <w:t>t。对照《国家危险废物名录》（</w:t>
            </w:r>
            <w:r>
              <w:rPr>
                <w:rFonts w:hint="default" w:ascii="Times New Roman" w:hAnsi="Times New Roman" w:eastAsia="宋体" w:cs="Times New Roman"/>
                <w:color w:val="auto"/>
                <w:sz w:val="24"/>
                <w:szCs w:val="24"/>
                <w:highlight w:val="none"/>
              </w:rPr>
              <w:t>2021</w:t>
            </w:r>
            <w:r>
              <w:rPr>
                <w:rFonts w:hint="eastAsia" w:ascii="Times New Roman" w:hAnsi="Times New Roman" w:eastAsia="宋体" w:cs="Times New Roman"/>
                <w:color w:val="auto"/>
                <w:sz w:val="24"/>
                <w:szCs w:val="24"/>
                <w:highlight w:val="none"/>
              </w:rPr>
              <w:t>年版），废机油属于危险废物，废物类别为HW08</w:t>
            </w:r>
            <w:r>
              <w:rPr>
                <w:rFonts w:hAnsi="宋体"/>
                <w:bCs/>
                <w:sz w:val="24"/>
              </w:rPr>
              <w:t>（废矿物油与含矿物油废物）</w:t>
            </w:r>
            <w:r>
              <w:rPr>
                <w:rFonts w:hint="eastAsia" w:ascii="Times New Roman" w:hAnsi="Times New Roman" w:eastAsia="宋体" w:cs="Times New Roman"/>
                <w:color w:val="auto"/>
                <w:sz w:val="24"/>
                <w:szCs w:val="24"/>
                <w:highlight w:val="none"/>
              </w:rPr>
              <w:t>，废物代码为900-2</w:t>
            </w:r>
            <w:r>
              <w:rPr>
                <w:rFonts w:hint="eastAsia" w:ascii="Times New Roman" w:hAnsi="Times New Roman" w:eastAsia="宋体" w:cs="Times New Roman"/>
                <w:color w:val="auto"/>
                <w:sz w:val="24"/>
                <w:szCs w:val="24"/>
                <w:highlight w:val="none"/>
                <w:lang w:val="en-US" w:eastAsia="zh-CN"/>
              </w:rPr>
              <w:t>49</w:t>
            </w:r>
            <w:r>
              <w:rPr>
                <w:rFonts w:hint="eastAsia" w:ascii="Times New Roman" w:hAnsi="Times New Roman" w:eastAsia="宋体" w:cs="Times New Roman"/>
                <w:color w:val="auto"/>
                <w:sz w:val="24"/>
                <w:szCs w:val="24"/>
                <w:highlight w:val="none"/>
              </w:rPr>
              <w:t>-08</w:t>
            </w:r>
            <w:r>
              <w:rPr>
                <w:rFonts w:hAnsi="宋体"/>
                <w:bCs/>
                <w:sz w:val="24"/>
              </w:rPr>
              <w:t>（</w:t>
            </w:r>
            <w:r>
              <w:rPr>
                <w:rFonts w:hint="eastAsia" w:hAnsi="宋体"/>
                <w:bCs/>
                <w:sz w:val="24"/>
              </w:rPr>
              <w:t>其他生产、销售、使用过程中</w:t>
            </w:r>
            <w:r>
              <w:rPr>
                <w:rFonts w:hint="eastAsia" w:hAnsi="宋体"/>
                <w:bCs/>
                <w:color w:val="auto"/>
                <w:sz w:val="24"/>
              </w:rPr>
              <w:t>产生的废矿物油及沾染矿物油的废弃包装物</w:t>
            </w:r>
            <w:r>
              <w:rPr>
                <w:rFonts w:hAnsi="宋体"/>
                <w:bCs/>
                <w:color w:val="auto"/>
                <w:sz w:val="24"/>
              </w:rPr>
              <w:t>）</w:t>
            </w:r>
            <w:r>
              <w:rPr>
                <w:rFonts w:hint="eastAsia" w:ascii="Times New Roman" w:hAnsi="Times New Roman" w:eastAsia="宋体" w:cs="Times New Roman"/>
                <w:color w:val="auto"/>
                <w:sz w:val="24"/>
                <w:szCs w:val="24"/>
                <w:highlight w:val="none"/>
              </w:rPr>
              <w:t>，</w:t>
            </w:r>
            <w:r>
              <w:rPr>
                <w:rFonts w:hAnsi="宋体"/>
                <w:bCs/>
                <w:color w:val="auto"/>
                <w:sz w:val="24"/>
              </w:rPr>
              <w:t>收集委托有资质单位</w:t>
            </w:r>
            <w:r>
              <w:rPr>
                <w:rFonts w:hint="eastAsia" w:hAnsi="宋体"/>
                <w:bCs/>
                <w:color w:val="auto"/>
                <w:sz w:val="24"/>
              </w:rPr>
              <w:t>集中处置</w:t>
            </w:r>
            <w:r>
              <w:rPr>
                <w:rFonts w:hint="eastAsia" w:hAnsi="宋体"/>
                <w:bCs/>
                <w:color w:val="auto"/>
                <w:sz w:val="24"/>
                <w:lang w:eastAsia="zh-CN"/>
              </w:rPr>
              <w:t>，</w:t>
            </w:r>
            <w:r>
              <w:rPr>
                <w:rFonts w:hint="eastAsia" w:ascii="Times New Roman" w:hAnsi="Times New Roman" w:eastAsia="宋体" w:cs="Times New Roman"/>
                <w:color w:val="auto"/>
                <w:sz w:val="24"/>
                <w:szCs w:val="24"/>
                <w:highlight w:val="none"/>
              </w:rPr>
              <w:t>不排放</w:t>
            </w:r>
            <w:r>
              <w:rPr>
                <w:rFonts w:hAnsi="宋体"/>
                <w:color w:val="auto"/>
                <w:sz w:val="24"/>
              </w:rPr>
              <w:t>。</w:t>
            </w:r>
            <w:bookmarkEnd w:id="27"/>
            <w:bookmarkEnd w:id="28"/>
            <w:bookmarkEnd w:id="29"/>
            <w:bookmarkEnd w:id="30"/>
          </w:p>
          <w:p>
            <w:pPr>
              <w:spacing w:line="500" w:lineRule="exact"/>
              <w:ind w:firstLine="480" w:firstLineChars="200"/>
              <w:rPr>
                <w:rFonts w:hint="eastAsia" w:eastAsia="宋体"/>
                <w:bCs/>
                <w:color w:val="auto"/>
                <w:sz w:val="24"/>
                <w:lang w:eastAsia="zh-CN"/>
              </w:rPr>
            </w:pPr>
            <w:r>
              <w:rPr>
                <w:rFonts w:hint="eastAsia"/>
                <w:bCs/>
                <w:color w:val="auto"/>
                <w:sz w:val="24"/>
                <w:lang w:val="en-US" w:eastAsia="zh-CN"/>
              </w:rPr>
              <w:t>e</w:t>
            </w:r>
            <w:r>
              <w:rPr>
                <w:rFonts w:hAnsi="宋体"/>
                <w:bCs/>
                <w:color w:val="auto"/>
                <w:sz w:val="24"/>
              </w:rPr>
              <w:t>）</w:t>
            </w:r>
            <w:r>
              <w:rPr>
                <w:rFonts w:hint="eastAsia" w:ascii="Times New Roman" w:hAnsi="Times New Roman" w:eastAsia="宋体" w:cs="Times New Roman"/>
                <w:color w:val="auto"/>
                <w:sz w:val="24"/>
                <w:szCs w:val="24"/>
                <w:highlight w:val="none"/>
              </w:rPr>
              <w:t>废弃的含油抹布、劳保用品</w:t>
            </w:r>
          </w:p>
          <w:p>
            <w:pPr>
              <w:tabs>
                <w:tab w:val="left" w:pos="4230"/>
              </w:tabs>
              <w:spacing w:line="500" w:lineRule="exact"/>
              <w:ind w:firstLine="480" w:firstLineChars="200"/>
              <w:rPr>
                <w:sz w:val="24"/>
                <w:szCs w:val="20"/>
              </w:rPr>
            </w:pPr>
            <w:r>
              <w:rPr>
                <w:rFonts w:hint="eastAsia" w:ascii="Times New Roman" w:hAnsi="Times New Roman" w:eastAsia="宋体" w:cs="Times New Roman"/>
                <w:color w:val="auto"/>
                <w:sz w:val="24"/>
                <w:szCs w:val="24"/>
                <w:highlight w:val="none"/>
              </w:rPr>
              <w:t>本项目生产过程中会产生一定量废弃的含油抹布、劳保用品，预计年产生量</w:t>
            </w:r>
            <w:r>
              <w:rPr>
                <w:rFonts w:hint="default" w:ascii="Times New Roman" w:hAnsi="Times New Roman" w:eastAsia="宋体" w:cs="Times New Roman"/>
                <w:color w:val="auto"/>
                <w:sz w:val="24"/>
                <w:szCs w:val="24"/>
                <w:highlight w:val="none"/>
              </w:rPr>
              <w:t>0.0</w:t>
            </w:r>
            <w:r>
              <w:rPr>
                <w:rFonts w:hint="eastAsia" w:ascii="Times New Roman" w:hAnsi="Times New Roman" w:eastAsia="宋体" w:cs="Times New Roman"/>
                <w:color w:val="auto"/>
                <w:sz w:val="24"/>
                <w:szCs w:val="24"/>
                <w:highlight w:val="none"/>
              </w:rPr>
              <w:t>3</w:t>
            </w:r>
            <w:r>
              <w:rPr>
                <w:rFonts w:hint="default" w:ascii="Times New Roman" w:hAnsi="Times New Roman" w:eastAsia="宋体" w:cs="Times New Roman"/>
                <w:color w:val="auto"/>
                <w:sz w:val="24"/>
                <w:szCs w:val="24"/>
                <w:highlight w:val="none"/>
              </w:rPr>
              <w:t>t</w:t>
            </w:r>
            <w:r>
              <w:rPr>
                <w:rFonts w:hint="eastAsia" w:ascii="Times New Roman" w:hAnsi="Times New Roman" w:eastAsia="宋体" w:cs="Times New Roman"/>
                <w:color w:val="auto"/>
                <w:sz w:val="24"/>
                <w:szCs w:val="24"/>
                <w:highlight w:val="none"/>
              </w:rPr>
              <w:t>。对照《国家危险废物名录》（</w:t>
            </w:r>
            <w:r>
              <w:rPr>
                <w:rFonts w:hint="default" w:ascii="Times New Roman" w:hAnsi="Times New Roman" w:eastAsia="宋体" w:cs="Times New Roman"/>
                <w:color w:val="auto"/>
                <w:sz w:val="24"/>
                <w:szCs w:val="24"/>
                <w:highlight w:val="none"/>
              </w:rPr>
              <w:t>2021</w:t>
            </w:r>
            <w:r>
              <w:rPr>
                <w:rFonts w:hint="eastAsia" w:ascii="Times New Roman" w:hAnsi="Times New Roman" w:eastAsia="宋体" w:cs="Times New Roman"/>
                <w:color w:val="auto"/>
                <w:sz w:val="24"/>
                <w:szCs w:val="24"/>
                <w:highlight w:val="none"/>
              </w:rPr>
              <w:t>年版），该固废属于危险固废，废物类别为</w:t>
            </w:r>
            <w:r>
              <w:rPr>
                <w:rFonts w:hint="default" w:ascii="Times New Roman" w:hAnsi="Times New Roman" w:eastAsia="宋体" w:cs="Times New Roman"/>
                <w:color w:val="auto"/>
                <w:sz w:val="24"/>
                <w:szCs w:val="24"/>
                <w:highlight w:val="none"/>
              </w:rPr>
              <w:t>HW49</w:t>
            </w:r>
            <w:r>
              <w:rPr>
                <w:rFonts w:hint="eastAsia" w:ascii="Times New Roman" w:hAnsi="Times New Roman" w:eastAsia="宋体" w:cs="Times New Roman"/>
                <w:color w:val="auto"/>
                <w:sz w:val="24"/>
                <w:szCs w:val="24"/>
                <w:highlight w:val="none"/>
              </w:rPr>
              <w:t>其他废物，废物代码为</w:t>
            </w:r>
            <w:r>
              <w:rPr>
                <w:rFonts w:hint="default" w:ascii="Times New Roman" w:hAnsi="Times New Roman" w:eastAsia="宋体" w:cs="Times New Roman"/>
                <w:color w:val="auto"/>
                <w:sz w:val="24"/>
                <w:szCs w:val="24"/>
                <w:highlight w:val="none"/>
              </w:rPr>
              <w:t>900-041-49</w:t>
            </w:r>
            <w:r>
              <w:rPr>
                <w:rFonts w:hint="eastAsia" w:ascii="Times New Roman" w:hAnsi="Times New Roman" w:eastAsia="宋体" w:cs="Times New Roman"/>
                <w:color w:val="auto"/>
                <w:sz w:val="24"/>
                <w:szCs w:val="24"/>
                <w:highlight w:val="none"/>
              </w:rPr>
              <w:t>，集中收集后委托资质单位进行处置，不排放</w:t>
            </w:r>
            <w:r>
              <w:rPr>
                <w:rFonts w:hAnsi="宋体"/>
                <w:bCs/>
                <w:sz w:val="24"/>
              </w:rPr>
              <w:t>。</w:t>
            </w:r>
          </w:p>
          <w:p>
            <w:pPr>
              <w:spacing w:line="500" w:lineRule="exact"/>
              <w:ind w:firstLine="480" w:firstLineChars="200"/>
              <w:rPr>
                <w:rFonts w:hint="eastAsia" w:eastAsia="宋体"/>
                <w:bCs/>
                <w:color w:val="auto"/>
                <w:sz w:val="24"/>
                <w:lang w:eastAsia="zh-CN"/>
              </w:rPr>
            </w:pPr>
            <w:r>
              <w:rPr>
                <w:rFonts w:hint="eastAsia"/>
                <w:bCs/>
                <w:color w:val="auto"/>
                <w:sz w:val="24"/>
                <w:lang w:val="en-US" w:eastAsia="zh-CN"/>
              </w:rPr>
              <w:t>f</w:t>
            </w:r>
            <w:r>
              <w:rPr>
                <w:rFonts w:hAnsi="宋体"/>
                <w:bCs/>
                <w:color w:val="auto"/>
                <w:sz w:val="24"/>
              </w:rPr>
              <w:t>）</w:t>
            </w:r>
            <w:r>
              <w:rPr>
                <w:rFonts w:hint="eastAsia" w:ascii="Times New Roman" w:hAnsi="Times New Roman" w:eastAsia="宋体" w:cs="Times New Roman"/>
                <w:color w:val="auto"/>
                <w:sz w:val="24"/>
                <w:szCs w:val="24"/>
                <w:highlight w:val="none"/>
              </w:rPr>
              <w:t>废棕丝</w:t>
            </w:r>
          </w:p>
          <w:p>
            <w:pPr>
              <w:spacing w:line="500" w:lineRule="exact"/>
              <w:ind w:firstLine="480" w:firstLineChars="200"/>
              <w:rPr>
                <w:rFonts w:hint="eastAsia"/>
                <w:bCs/>
                <w:color w:val="auto"/>
                <w:sz w:val="24"/>
                <w:lang w:val="en-US" w:eastAsia="zh-CN"/>
              </w:rPr>
            </w:pPr>
            <w:r>
              <w:rPr>
                <w:rFonts w:hint="eastAsia" w:ascii="Times New Roman" w:hAnsi="Times New Roman" w:eastAsia="宋体" w:cs="Times New Roman"/>
                <w:color w:val="auto"/>
                <w:sz w:val="24"/>
                <w:szCs w:val="24"/>
                <w:highlight w:val="none"/>
              </w:rPr>
              <w:t>本项目棕丝需定期更换，根据企业提供资料，每台喷水织机产生废棕丝约1</w:t>
            </w:r>
            <w:r>
              <w:rPr>
                <w:rFonts w:hint="default" w:ascii="Times New Roman" w:hAnsi="Times New Roman" w:eastAsia="宋体" w:cs="Times New Roman"/>
                <w:color w:val="auto"/>
                <w:sz w:val="24"/>
                <w:szCs w:val="24"/>
                <w:highlight w:val="none"/>
              </w:rPr>
              <w:t>kg/a</w:t>
            </w:r>
            <w:r>
              <w:rPr>
                <w:rFonts w:hint="eastAsia" w:ascii="Times New Roman" w:hAnsi="Times New Roman" w:eastAsia="宋体" w:cs="Times New Roman"/>
                <w:color w:val="auto"/>
                <w:sz w:val="24"/>
                <w:szCs w:val="24"/>
                <w:highlight w:val="none"/>
              </w:rPr>
              <w:t>，则废棕丝产生量约</w:t>
            </w:r>
            <w:r>
              <w:rPr>
                <w:rFonts w:hint="eastAsia" w:ascii="Times New Roman" w:hAnsi="Times New Roman" w:eastAsia="宋体" w:cs="Times New Roman"/>
                <w:color w:val="auto"/>
                <w:sz w:val="24"/>
                <w:szCs w:val="24"/>
                <w:highlight w:val="none"/>
                <w:lang w:val="en-US" w:eastAsia="zh-CN"/>
              </w:rPr>
              <w:t>0.345</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rPr>
              <w:t>，属于一般固废，根据《一般固体废物分类与代码》（</w:t>
            </w:r>
            <w:r>
              <w:rPr>
                <w:rFonts w:hint="default" w:ascii="Times New Roman" w:hAnsi="Times New Roman" w:eastAsia="宋体" w:cs="Times New Roman"/>
                <w:color w:val="auto"/>
                <w:sz w:val="24"/>
                <w:szCs w:val="24"/>
                <w:highlight w:val="none"/>
              </w:rPr>
              <w:t>GB/T39198-2020</w:t>
            </w:r>
            <w:r>
              <w:rPr>
                <w:rFonts w:hint="eastAsia" w:ascii="Times New Roman" w:hAnsi="Times New Roman" w:eastAsia="宋体" w:cs="Times New Roman"/>
                <w:color w:val="auto"/>
                <w:sz w:val="24"/>
                <w:szCs w:val="24"/>
                <w:highlight w:val="none"/>
              </w:rPr>
              <w:t>），其一般固体代码为</w:t>
            </w:r>
            <w:r>
              <w:rPr>
                <w:rFonts w:hint="default" w:ascii="Times New Roman" w:hAnsi="Times New Roman" w:eastAsia="宋体" w:cs="Times New Roman"/>
                <w:color w:val="auto"/>
                <w:sz w:val="24"/>
                <w:szCs w:val="24"/>
                <w:highlight w:val="none"/>
              </w:rPr>
              <w:t>175-999-99</w:t>
            </w:r>
            <w:r>
              <w:rPr>
                <w:rFonts w:hint="eastAsia" w:ascii="Times New Roman" w:hAnsi="Times New Roman" w:eastAsia="宋体" w:cs="Times New Roman"/>
                <w:color w:val="auto"/>
                <w:sz w:val="24"/>
                <w:szCs w:val="24"/>
                <w:highlight w:val="none"/>
              </w:rPr>
              <w:t>。集中收集后出售给废旧物资回收公司，不排放</w:t>
            </w:r>
          </w:p>
          <w:p>
            <w:pPr>
              <w:spacing w:line="500" w:lineRule="exact"/>
              <w:ind w:firstLine="480" w:firstLineChars="200"/>
              <w:rPr>
                <w:rFonts w:hint="eastAsia" w:eastAsia="宋体"/>
                <w:bCs/>
                <w:color w:val="auto"/>
                <w:sz w:val="24"/>
                <w:lang w:eastAsia="zh-CN"/>
              </w:rPr>
            </w:pPr>
            <w:r>
              <w:rPr>
                <w:rFonts w:hint="eastAsia"/>
                <w:bCs/>
                <w:color w:val="auto"/>
                <w:sz w:val="24"/>
                <w:lang w:val="en-US" w:eastAsia="zh-CN"/>
              </w:rPr>
              <w:t>g</w:t>
            </w:r>
            <w:r>
              <w:rPr>
                <w:rFonts w:hAnsi="宋体"/>
                <w:bCs/>
                <w:color w:val="auto"/>
                <w:sz w:val="24"/>
              </w:rPr>
              <w:t>）</w:t>
            </w:r>
            <w:r>
              <w:rPr>
                <w:rFonts w:hint="eastAsia" w:ascii="Times New Roman" w:hAnsi="Times New Roman" w:eastAsia="宋体" w:cs="Times New Roman"/>
                <w:color w:val="auto"/>
                <w:sz w:val="24"/>
                <w:szCs w:val="24"/>
                <w:highlight w:val="none"/>
              </w:rPr>
              <w:t>废</w:t>
            </w:r>
            <w:r>
              <w:rPr>
                <w:rFonts w:hint="eastAsia" w:cs="Times New Roman"/>
                <w:color w:val="auto"/>
                <w:sz w:val="24"/>
                <w:szCs w:val="24"/>
                <w:highlight w:val="none"/>
                <w:lang w:eastAsia="zh-CN"/>
              </w:rPr>
              <w:t>滤网</w:t>
            </w:r>
          </w:p>
          <w:p>
            <w:pPr>
              <w:pStyle w:val="333"/>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本项目滤网需定期更换，根据企业提供资料，每台喷水织机产生废滤网约</w:t>
            </w:r>
            <w:r>
              <w:rPr>
                <w:rFonts w:hint="default" w:ascii="Times New Roman" w:hAnsi="Times New Roman" w:eastAsia="宋体" w:cs="Times New Roman"/>
                <w:color w:val="auto"/>
                <w:sz w:val="24"/>
                <w:szCs w:val="24"/>
                <w:highlight w:val="none"/>
              </w:rPr>
              <w:t>0.5kg/a</w:t>
            </w:r>
            <w:r>
              <w:rPr>
                <w:rFonts w:hint="eastAsia" w:ascii="Times New Roman" w:hAnsi="Times New Roman" w:eastAsia="宋体" w:cs="Times New Roman"/>
                <w:color w:val="auto"/>
                <w:sz w:val="24"/>
                <w:szCs w:val="24"/>
                <w:highlight w:val="none"/>
              </w:rPr>
              <w:t>，则废滤网产生量约0</w:t>
            </w:r>
            <w:r>
              <w:rPr>
                <w:rFonts w:hint="eastAsia" w:ascii="Times New Roman" w:hAnsi="Times New Roman" w:eastAsia="宋体" w:cs="Times New Roman"/>
                <w:color w:val="auto"/>
                <w:sz w:val="24"/>
                <w:szCs w:val="24"/>
                <w:highlight w:val="none"/>
                <w:lang w:val="en-US" w:eastAsia="zh-CN"/>
              </w:rPr>
              <w:t>.173</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rPr>
              <w:t>，属于一般固废，集中收集后出售给废旧物资回收公司，不排放</w:t>
            </w:r>
            <w:r>
              <w:rPr>
                <w:rFonts w:hint="eastAsia" w:ascii="Times New Roman" w:hAnsi="Times New Roman" w:eastAsia="宋体" w:cs="Times New Roman"/>
                <w:color w:val="auto"/>
                <w:sz w:val="24"/>
                <w:szCs w:val="24"/>
                <w:highlight w:val="none"/>
                <w:lang w:eastAsia="zh-CN"/>
              </w:rPr>
              <w:t>。</w:t>
            </w:r>
          </w:p>
          <w:p>
            <w:pPr>
              <w:spacing w:line="500" w:lineRule="exact"/>
              <w:ind w:firstLine="480" w:firstLineChars="200"/>
              <w:rPr>
                <w:rFonts w:hint="eastAsia" w:eastAsia="宋体"/>
                <w:bCs/>
                <w:color w:val="auto"/>
                <w:sz w:val="24"/>
                <w:lang w:eastAsia="zh-CN"/>
              </w:rPr>
            </w:pPr>
            <w:r>
              <w:rPr>
                <w:rFonts w:hint="eastAsia"/>
                <w:bCs/>
                <w:color w:val="auto"/>
                <w:sz w:val="24"/>
                <w:lang w:val="en-US" w:eastAsia="zh-CN"/>
              </w:rPr>
              <w:t>h</w:t>
            </w:r>
            <w:r>
              <w:rPr>
                <w:rFonts w:hAnsi="宋体"/>
                <w:bCs/>
                <w:color w:val="auto"/>
                <w:sz w:val="24"/>
              </w:rPr>
              <w:t>）</w:t>
            </w:r>
            <w:r>
              <w:rPr>
                <w:rFonts w:hint="eastAsia" w:cs="Times New Roman"/>
                <w:color w:val="auto"/>
                <w:sz w:val="24"/>
                <w:szCs w:val="24"/>
                <w:highlight w:val="none"/>
                <w:lang w:eastAsia="zh-CN"/>
              </w:rPr>
              <w:t>喷淋废液</w:t>
            </w:r>
          </w:p>
          <w:p>
            <w:pPr>
              <w:pStyle w:val="333"/>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根据上文喷淋水分析得知，喷淋</w:t>
            </w:r>
            <w:r>
              <w:rPr>
                <w:rFonts w:hint="eastAsia" w:ascii="Times New Roman" w:hAnsi="Times New Roman" w:cs="Times New Roman"/>
                <w:color w:val="auto"/>
                <w:sz w:val="24"/>
              </w:rPr>
              <w:t>水定期补充新鲜水循环使用，当循环一定时间后，因</w:t>
            </w:r>
            <w:r>
              <w:rPr>
                <w:rFonts w:hint="eastAsia" w:ascii="Times New Roman" w:hAnsi="Times New Roman" w:cs="Times New Roman"/>
                <w:color w:val="auto"/>
                <w:sz w:val="24"/>
                <w:lang w:val="en-US" w:eastAsia="zh-CN"/>
              </w:rPr>
              <w:t>污染物</w:t>
            </w:r>
            <w:r>
              <w:rPr>
                <w:rFonts w:hint="eastAsia" w:ascii="Times New Roman" w:hAnsi="Times New Roman" w:cs="Times New Roman"/>
                <w:color w:val="auto"/>
                <w:sz w:val="24"/>
              </w:rPr>
              <w:t>浓度过高净化效率下降，不可再次循环使用，循环水池的喷淋水</w:t>
            </w:r>
            <w:r>
              <w:rPr>
                <w:rFonts w:hint="eastAsia" w:ascii="Times New Roman" w:hAnsi="Times New Roman" w:cs="Times New Roman"/>
                <w:color w:val="auto"/>
                <w:sz w:val="24"/>
                <w:lang w:val="en-US" w:eastAsia="zh-CN"/>
              </w:rPr>
              <w:t>每半年更换</w:t>
            </w:r>
            <w:r>
              <w:rPr>
                <w:rFonts w:hint="eastAsia" w:cs="Times New Roman"/>
                <w:color w:val="auto"/>
                <w:sz w:val="24"/>
                <w:lang w:val="en-US" w:eastAsia="zh-CN"/>
              </w:rPr>
              <w:t>一次</w:t>
            </w:r>
            <w:r>
              <w:rPr>
                <w:rFonts w:hint="eastAsia" w:ascii="Times New Roman" w:hAnsi="Times New Roman" w:cs="Times New Roman"/>
                <w:color w:val="auto"/>
                <w:sz w:val="24"/>
                <w:lang w:val="en-US" w:eastAsia="zh-CN"/>
              </w:rPr>
              <w:t>全部喷淋废液，</w:t>
            </w:r>
            <w:r>
              <w:rPr>
                <w:rFonts w:hint="eastAsia" w:cs="Times New Roman"/>
                <w:color w:val="auto"/>
                <w:sz w:val="24"/>
                <w:lang w:val="en-US" w:eastAsia="zh-CN"/>
              </w:rPr>
              <w:t>两套处理装置均配备1个1t的水箱，则喷淋废液产生量为4t/a，属于危险废物，</w:t>
            </w:r>
            <w:r>
              <w:rPr>
                <w:rFonts w:hint="eastAsia" w:ascii="Times New Roman" w:hAnsi="Times New Roman" w:eastAsia="宋体" w:cs="Times New Roman"/>
                <w:color w:val="auto"/>
                <w:sz w:val="24"/>
                <w:szCs w:val="24"/>
                <w:highlight w:val="none"/>
              </w:rPr>
              <w:t>废物类别为</w:t>
            </w:r>
            <w:r>
              <w:rPr>
                <w:rFonts w:hint="default" w:ascii="Times New Roman" w:hAnsi="Times New Roman" w:eastAsia="宋体" w:cs="Times New Roman"/>
                <w:color w:val="auto"/>
                <w:sz w:val="24"/>
                <w:szCs w:val="24"/>
                <w:highlight w:val="none"/>
              </w:rPr>
              <w:t>HW</w:t>
            </w:r>
            <w:r>
              <w:rPr>
                <w:rFonts w:hint="eastAsia" w:cs="Times New Roman"/>
                <w:color w:val="auto"/>
                <w:sz w:val="24"/>
                <w:szCs w:val="24"/>
                <w:highlight w:val="none"/>
                <w:lang w:val="en-US" w:eastAsia="zh-CN"/>
              </w:rPr>
              <w:t>08 废矿物与含矿物油废物</w:t>
            </w:r>
            <w:r>
              <w:rPr>
                <w:rFonts w:hint="eastAsia" w:ascii="Times New Roman" w:hAnsi="Times New Roman" w:eastAsia="宋体" w:cs="Times New Roman"/>
                <w:color w:val="auto"/>
                <w:sz w:val="24"/>
                <w:szCs w:val="24"/>
                <w:highlight w:val="none"/>
              </w:rPr>
              <w:t>，废物代码为</w:t>
            </w:r>
            <w:r>
              <w:rPr>
                <w:rFonts w:hint="default" w:ascii="Times New Roman" w:hAnsi="Times New Roman" w:eastAsia="宋体" w:cs="Times New Roman"/>
                <w:color w:val="auto"/>
                <w:sz w:val="24"/>
                <w:szCs w:val="24"/>
                <w:highlight w:val="none"/>
              </w:rPr>
              <w:t>900-0</w:t>
            </w:r>
            <w:r>
              <w:rPr>
                <w:rFonts w:hint="eastAsia" w:cs="Times New Roman"/>
                <w:color w:val="auto"/>
                <w:sz w:val="24"/>
                <w:szCs w:val="24"/>
                <w:highlight w:val="none"/>
                <w:lang w:val="en-US" w:eastAsia="zh-CN"/>
              </w:rPr>
              <w:t>210-08</w:t>
            </w:r>
            <w:r>
              <w:rPr>
                <w:rFonts w:hint="eastAsia" w:cs="Times New Roman"/>
                <w:color w:val="auto"/>
                <w:sz w:val="24"/>
                <w:szCs w:val="24"/>
                <w:highlight w:val="none"/>
                <w:lang w:eastAsia="zh-CN"/>
              </w:rPr>
              <w:t>，</w:t>
            </w:r>
            <w:r>
              <w:rPr>
                <w:rFonts w:hint="eastAsia" w:ascii="Times New Roman" w:hAnsi="Times New Roman" w:cs="Times New Roman"/>
                <w:color w:val="auto"/>
                <w:sz w:val="24"/>
                <w:lang w:val="en-US" w:eastAsia="zh-CN"/>
              </w:rPr>
              <w:t>收集的喷淋废液密闭储存，委托有资质的单位处置</w:t>
            </w:r>
            <w:r>
              <w:rPr>
                <w:rFonts w:hint="eastAsia" w:cs="Times New Roman"/>
                <w:color w:val="auto"/>
                <w:sz w:val="24"/>
                <w:lang w:val="en-US" w:eastAsia="zh-CN"/>
              </w:rPr>
              <w:t>。</w:t>
            </w:r>
          </w:p>
          <w:p>
            <w:pPr>
              <w:spacing w:line="500" w:lineRule="exact"/>
              <w:ind w:firstLine="480" w:firstLineChars="200"/>
              <w:rPr>
                <w:rFonts w:hint="eastAsia" w:eastAsia="宋体"/>
                <w:bCs/>
                <w:color w:val="auto"/>
                <w:sz w:val="24"/>
                <w:lang w:eastAsia="zh-CN"/>
              </w:rPr>
            </w:pPr>
            <w:r>
              <w:rPr>
                <w:rFonts w:hint="eastAsia" w:hAnsi="宋体"/>
                <w:bCs/>
                <w:color w:val="auto"/>
                <w:sz w:val="24"/>
                <w:lang w:val="en-US" w:eastAsia="zh-CN"/>
              </w:rPr>
              <w:t>i</w:t>
            </w:r>
            <w:r>
              <w:rPr>
                <w:rFonts w:hAnsi="宋体"/>
                <w:bCs/>
                <w:color w:val="auto"/>
                <w:sz w:val="24"/>
              </w:rPr>
              <w:t>）</w:t>
            </w:r>
            <w:r>
              <w:rPr>
                <w:rFonts w:hint="eastAsia" w:hAnsi="宋体"/>
                <w:bCs/>
                <w:color w:val="auto"/>
                <w:sz w:val="24"/>
                <w:lang w:eastAsia="zh-CN"/>
              </w:rPr>
              <w:t>吨桶</w:t>
            </w:r>
          </w:p>
          <w:p>
            <w:pPr>
              <w:pStyle w:val="333"/>
              <w:rPr>
                <w:rFonts w:hint="default" w:hAnsi="宋体" w:eastAsia="宋体"/>
                <w:lang w:val="en-US" w:eastAsia="zh-CN"/>
              </w:rPr>
            </w:pPr>
            <w:r>
              <w:rPr>
                <w:rFonts w:hint="eastAsia" w:hAnsi="宋体"/>
                <w:lang w:eastAsia="zh-CN"/>
              </w:rPr>
              <w:t>本项目水浆由吨桶包装后运输至厂区内，水浆年使用量为</w:t>
            </w:r>
            <w:r>
              <w:rPr>
                <w:rFonts w:hint="eastAsia" w:hAnsi="宋体"/>
                <w:lang w:val="en-US" w:eastAsia="zh-CN"/>
              </w:rPr>
              <w:t>80t/a，则吨桶年产生量为80个/a；加弹油</w:t>
            </w:r>
            <w:r>
              <w:rPr>
                <w:rFonts w:hint="eastAsia" w:hAnsi="宋体"/>
                <w:lang w:eastAsia="zh-CN"/>
              </w:rPr>
              <w:t>由吨桶包装后运输至厂区内，加弹油年使用量为</w:t>
            </w:r>
            <w:r>
              <w:rPr>
                <w:rFonts w:hint="eastAsia" w:hAnsi="宋体"/>
                <w:lang w:val="en-US" w:eastAsia="zh-CN"/>
              </w:rPr>
              <w:t>1.38t/a，则吨桶年产生量月为2个/a，合计共82个/a。水浆和加弹油使用完后由厂商进行更换，用完的空吨桶由定期厂商全部回收（如有破损，无法回收利用的须作为危废处置），不属于固体废物。</w:t>
            </w:r>
          </w:p>
          <w:p>
            <w:pPr>
              <w:pStyle w:val="333"/>
            </w:pPr>
            <w:r>
              <w:rPr>
                <w:rFonts w:hAnsi="宋体"/>
              </w:rPr>
              <w:t>（</w:t>
            </w:r>
            <w:r>
              <w:t>3</w:t>
            </w:r>
            <w:r>
              <w:rPr>
                <w:rFonts w:hAnsi="宋体"/>
              </w:rPr>
              <w:t>）</w:t>
            </w:r>
            <w:r>
              <w:rPr>
                <w:rFonts w:hint="eastAsia" w:hAnsi="宋体"/>
                <w:lang w:eastAsia="zh-CN"/>
              </w:rPr>
              <w:t>固体</w:t>
            </w:r>
            <w:r>
              <w:rPr>
                <w:rFonts w:hAnsi="宋体"/>
              </w:rPr>
              <w:t>废物分析结果</w:t>
            </w:r>
          </w:p>
          <w:p>
            <w:pPr>
              <w:spacing w:line="5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cs="Times New Roman"/>
                <w:b/>
                <w:bCs/>
                <w:szCs w:val="21"/>
                <w:lang w:val="en-US" w:eastAsia="zh-CN"/>
              </w:rPr>
              <w:t>4.5-2</w:t>
            </w:r>
            <w:r>
              <w:rPr>
                <w:rFonts w:hint="eastAsia" w:ascii="Times New Roman" w:hAnsi="Times New Roman" w:eastAsia="宋体" w:cs="Times New Roman"/>
                <w:b/>
                <w:bCs/>
                <w:szCs w:val="21"/>
                <w:lang w:val="en-US" w:eastAsia="zh-CN"/>
              </w:rPr>
              <w:t xml:space="preserve">  </w:t>
            </w:r>
            <w:r>
              <w:rPr>
                <w:rFonts w:ascii="Times New Roman" w:hAnsi="Times New Roman" w:eastAsia="宋体" w:cs="Times New Roman"/>
                <w:b/>
                <w:bCs/>
                <w:szCs w:val="21"/>
              </w:rPr>
              <w:t>固体废物源强情况分析结果一览表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5"/>
              <w:gridCol w:w="1020"/>
              <w:gridCol w:w="1046"/>
              <w:gridCol w:w="1024"/>
              <w:gridCol w:w="1159"/>
              <w:gridCol w:w="1169"/>
              <w:gridCol w:w="638"/>
              <w:gridCol w:w="774"/>
              <w:gridCol w:w="9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65" w:type="dxa"/>
                  <w:tcBorders>
                    <w:top w:val="single" w:color="auto" w:sz="4" w:space="0"/>
                    <w:left w:val="single" w:color="auto" w:sz="4" w:space="0"/>
                    <w:bottom w:val="single" w:color="auto" w:sz="6" w:space="0"/>
                    <w:right w:val="single" w:color="auto" w:sz="6" w:space="0"/>
                  </w:tcBorders>
                  <w:vAlign w:val="center"/>
                </w:tcPr>
                <w:p>
                  <w:pPr>
                    <w:adjustRightInd w:val="0"/>
                    <w:snapToGrid w:val="0"/>
                    <w:ind w:left="-105" w:leftChars="-50" w:right="-105" w:rightChars="-5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序号</w:t>
                  </w:r>
                </w:p>
              </w:tc>
              <w:tc>
                <w:tcPr>
                  <w:tcW w:w="1020"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固废</w:t>
                  </w:r>
                </w:p>
                <w:p>
                  <w:pPr>
                    <w:widowControl/>
                    <w:snapToGrid w:val="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名称</w:t>
                  </w:r>
                </w:p>
              </w:tc>
              <w:tc>
                <w:tcPr>
                  <w:tcW w:w="1046"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产生工序</w:t>
                  </w:r>
                </w:p>
              </w:tc>
              <w:tc>
                <w:tcPr>
                  <w:tcW w:w="1024" w:type="dxa"/>
                  <w:tcBorders>
                    <w:top w:val="single" w:color="auto" w:sz="4" w:space="0"/>
                    <w:left w:val="single" w:color="auto" w:sz="6" w:space="0"/>
                    <w:bottom w:val="single" w:color="auto" w:sz="6" w:space="0"/>
                    <w:right w:val="single" w:color="auto" w:sz="6" w:space="0"/>
                  </w:tcBorders>
                  <w:vAlign w:val="center"/>
                </w:tcPr>
                <w:p>
                  <w:pPr>
                    <w:adjustRightInd w:val="0"/>
                    <w:snapToGrid w:val="0"/>
                    <w:ind w:left="-105" w:leftChars="-50" w:right="-105" w:rightChars="-5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属性</w:t>
                  </w:r>
                </w:p>
              </w:tc>
              <w:tc>
                <w:tcPr>
                  <w:tcW w:w="1159" w:type="dxa"/>
                  <w:tcBorders>
                    <w:top w:val="single" w:color="auto" w:sz="4" w:space="0"/>
                    <w:left w:val="single" w:color="auto" w:sz="6" w:space="0"/>
                    <w:bottom w:val="single" w:color="auto" w:sz="6" w:space="0"/>
                    <w:right w:val="single" w:color="auto" w:sz="6" w:space="0"/>
                  </w:tcBorders>
                  <w:vAlign w:val="center"/>
                </w:tcPr>
                <w:p>
                  <w:pPr>
                    <w:adjustRightInd w:val="0"/>
                    <w:snapToGrid w:val="0"/>
                    <w:ind w:left="-105" w:leftChars="-50" w:right="-105" w:rightChars="-50"/>
                    <w:jc w:val="center"/>
                    <w:rPr>
                      <w:rFonts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eastAsia="zh-CN"/>
                    </w:rPr>
                    <w:t>固废</w:t>
                  </w:r>
                  <w:r>
                    <w:rPr>
                      <w:rFonts w:ascii="Times New Roman" w:hAnsi="Times New Roman" w:eastAsia="宋体" w:cs="Times New Roman"/>
                      <w:b w:val="0"/>
                      <w:bCs w:val="0"/>
                      <w:sz w:val="21"/>
                      <w:szCs w:val="21"/>
                    </w:rPr>
                    <w:t>代码</w:t>
                  </w:r>
                </w:p>
              </w:tc>
              <w:tc>
                <w:tcPr>
                  <w:tcW w:w="1169" w:type="dxa"/>
                  <w:tcBorders>
                    <w:top w:val="single" w:color="auto" w:sz="4" w:space="0"/>
                    <w:left w:val="single" w:color="auto" w:sz="6" w:space="0"/>
                    <w:bottom w:val="single" w:color="auto" w:sz="6" w:space="0"/>
                    <w:right w:val="single" w:color="auto" w:sz="6" w:space="0"/>
                  </w:tcBorders>
                  <w:vAlign w:val="center"/>
                </w:tcPr>
                <w:p>
                  <w:pPr>
                    <w:adjustRightInd w:val="0"/>
                    <w:snapToGrid w:val="0"/>
                    <w:ind w:left="-105" w:leftChars="-50" w:right="-105" w:rightChars="-5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主要有毒有害物质名称</w:t>
                  </w:r>
                </w:p>
              </w:tc>
              <w:tc>
                <w:tcPr>
                  <w:tcW w:w="638" w:type="dxa"/>
                  <w:tcBorders>
                    <w:top w:val="single" w:color="auto" w:sz="4" w:space="0"/>
                    <w:left w:val="single" w:color="auto" w:sz="6" w:space="0"/>
                    <w:bottom w:val="single" w:color="auto" w:sz="6" w:space="0"/>
                    <w:right w:val="single" w:color="auto" w:sz="4" w:space="0"/>
                  </w:tcBorders>
                  <w:vAlign w:val="center"/>
                </w:tcPr>
                <w:p>
                  <w:pPr>
                    <w:adjustRightInd w:val="0"/>
                    <w:snapToGrid w:val="0"/>
                    <w:ind w:left="-105" w:leftChars="-50" w:right="-105" w:rightChars="-5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物理</w:t>
                  </w:r>
                </w:p>
                <w:p>
                  <w:pPr>
                    <w:adjustRightInd w:val="0"/>
                    <w:snapToGrid w:val="0"/>
                    <w:ind w:left="-105" w:leftChars="-50" w:right="-105" w:rightChars="-5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性状</w:t>
                  </w:r>
                </w:p>
              </w:tc>
              <w:tc>
                <w:tcPr>
                  <w:tcW w:w="774" w:type="dxa"/>
                  <w:tcBorders>
                    <w:top w:val="single" w:color="auto" w:sz="4" w:space="0"/>
                    <w:left w:val="single" w:color="auto" w:sz="6" w:space="0"/>
                    <w:bottom w:val="single" w:color="auto" w:sz="6" w:space="0"/>
                    <w:right w:val="single" w:color="auto" w:sz="6" w:space="0"/>
                  </w:tcBorders>
                  <w:vAlign w:val="center"/>
                </w:tcPr>
                <w:p>
                  <w:pPr>
                    <w:adjustRightInd w:val="0"/>
                    <w:snapToGrid w:val="0"/>
                    <w:ind w:left="-105" w:leftChars="-50" w:right="-105" w:rightChars="-5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环境危险特性</w:t>
                  </w:r>
                </w:p>
              </w:tc>
              <w:tc>
                <w:tcPr>
                  <w:tcW w:w="925" w:type="dxa"/>
                  <w:tcBorders>
                    <w:top w:val="single" w:color="auto" w:sz="4" w:space="0"/>
                    <w:left w:val="single" w:color="auto" w:sz="6" w:space="0"/>
                    <w:bottom w:val="single" w:color="auto" w:sz="6" w:space="0"/>
                    <w:right w:val="single" w:color="auto" w:sz="4" w:space="0"/>
                  </w:tcBorders>
                  <w:vAlign w:val="center"/>
                </w:tcPr>
                <w:p>
                  <w:pPr>
                    <w:adjustRightInd w:val="0"/>
                    <w:snapToGrid w:val="0"/>
                    <w:ind w:left="-105" w:leftChars="-50" w:right="-105" w:rightChars="-50"/>
                    <w:jc w:val="center"/>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年度产生量（t/a）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5" w:type="dxa"/>
                  <w:tcBorders>
                    <w:top w:val="single" w:color="auto" w:sz="4" w:space="0"/>
                    <w:left w:val="single" w:color="auto" w:sz="4" w:space="0"/>
                    <w:bottom w:val="single" w:color="auto" w:sz="6" w:space="0"/>
                    <w:right w:val="single" w:color="auto" w:sz="6" w:space="0"/>
                  </w:tcBorders>
                  <w:vAlign w:val="center"/>
                </w:tcPr>
                <w:p>
                  <w:pPr>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1</w:t>
                  </w:r>
                </w:p>
              </w:tc>
              <w:tc>
                <w:tcPr>
                  <w:tcW w:w="1020"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生活垃圾</w:t>
                  </w:r>
                </w:p>
              </w:tc>
              <w:tc>
                <w:tcPr>
                  <w:tcW w:w="1046"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职工</w:t>
                  </w:r>
                </w:p>
                <w:p>
                  <w:pPr>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生活</w:t>
                  </w:r>
                </w:p>
              </w:tc>
              <w:tc>
                <w:tcPr>
                  <w:tcW w:w="1024" w:type="dxa"/>
                  <w:tcBorders>
                    <w:top w:val="single" w:color="auto" w:sz="4" w:space="0"/>
                    <w:left w:val="single" w:color="auto" w:sz="6" w:space="0"/>
                    <w:bottom w:val="single" w:color="auto" w:sz="6" w:space="0"/>
                    <w:right w:val="single" w:color="auto" w:sz="6" w:space="0"/>
                  </w:tcBorders>
                  <w:vAlign w:val="center"/>
                </w:tcPr>
                <w:p>
                  <w:pPr>
                    <w:pStyle w:val="107"/>
                    <w:widowControl/>
                    <w:snapToGrid w:val="0"/>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w:t>
                  </w:r>
                </w:p>
                <w:p>
                  <w:pPr>
                    <w:pStyle w:val="107"/>
                    <w:widowControl/>
                    <w:snapToGrid w:val="0"/>
                    <w:spacing w:line="240" w:lineRule="auto"/>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垃圾</w:t>
                  </w:r>
                </w:p>
              </w:tc>
              <w:tc>
                <w:tcPr>
                  <w:tcW w:w="115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w:t>
                  </w:r>
                </w:p>
              </w:tc>
              <w:tc>
                <w:tcPr>
                  <w:tcW w:w="1169" w:type="dxa"/>
                  <w:tcBorders>
                    <w:top w:val="single" w:color="auto" w:sz="4" w:space="0"/>
                    <w:left w:val="single" w:color="auto" w:sz="6" w:space="0"/>
                    <w:bottom w:val="single" w:color="auto" w:sz="6" w:space="0"/>
                    <w:right w:val="single" w:color="auto" w:sz="6" w:space="0"/>
                  </w:tcBorders>
                  <w:vAlign w:val="center"/>
                </w:tcPr>
                <w:p>
                  <w:pPr>
                    <w:pStyle w:val="107"/>
                    <w:widowControl/>
                    <w:snapToGrid w:val="0"/>
                    <w:spacing w:line="240" w:lineRule="auto"/>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w:t>
                  </w:r>
                </w:p>
              </w:tc>
              <w:tc>
                <w:tcPr>
                  <w:tcW w:w="638" w:type="dxa"/>
                  <w:tcBorders>
                    <w:top w:val="single" w:color="auto" w:sz="4" w:space="0"/>
                    <w:left w:val="single" w:color="auto" w:sz="6" w:space="0"/>
                    <w:bottom w:val="single" w:color="auto" w:sz="6" w:space="0"/>
                    <w:right w:val="single" w:color="auto" w:sz="4" w:space="0"/>
                  </w:tcBorders>
                  <w:vAlign w:val="center"/>
                </w:tcPr>
                <w:p>
                  <w:pPr>
                    <w:pStyle w:val="107"/>
                    <w:widowControl/>
                    <w:snapToGrid w:val="0"/>
                    <w:spacing w:line="240" w:lineRule="auto"/>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固态</w:t>
                  </w:r>
                </w:p>
              </w:tc>
              <w:tc>
                <w:tcPr>
                  <w:tcW w:w="774" w:type="dxa"/>
                  <w:tcBorders>
                    <w:top w:val="single" w:color="auto" w:sz="4" w:space="0"/>
                    <w:left w:val="single" w:color="auto" w:sz="6" w:space="0"/>
                    <w:bottom w:val="single" w:color="auto" w:sz="6" w:space="0"/>
                    <w:right w:val="single" w:color="auto" w:sz="6" w:space="0"/>
                  </w:tcBorders>
                  <w:vAlign w:val="center"/>
                </w:tcPr>
                <w:p>
                  <w:pPr>
                    <w:pStyle w:val="107"/>
                    <w:widowControl/>
                    <w:snapToGrid w:val="0"/>
                    <w:spacing w:line="240" w:lineRule="auto"/>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w:t>
                  </w:r>
                </w:p>
              </w:tc>
              <w:tc>
                <w:tcPr>
                  <w:tcW w:w="925" w:type="dxa"/>
                  <w:tcBorders>
                    <w:top w:val="single" w:color="auto" w:sz="4" w:space="0"/>
                    <w:left w:val="single" w:color="auto" w:sz="6" w:space="0"/>
                    <w:bottom w:val="single" w:color="auto" w:sz="6" w:space="0"/>
                    <w:right w:val="single" w:color="auto" w:sz="4" w:space="0"/>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5" w:type="dxa"/>
                  <w:tcBorders>
                    <w:top w:val="single" w:color="auto" w:sz="4" w:space="0"/>
                    <w:left w:val="single" w:color="auto" w:sz="4" w:space="0"/>
                    <w:bottom w:val="single" w:color="auto" w:sz="6" w:space="0"/>
                    <w:right w:val="single" w:color="auto" w:sz="6" w:space="0"/>
                  </w:tcBorders>
                  <w:vAlign w:val="center"/>
                </w:tcPr>
                <w:p>
                  <w:pPr>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2</w:t>
                  </w:r>
                </w:p>
              </w:tc>
              <w:tc>
                <w:tcPr>
                  <w:tcW w:w="1020"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废丝、废布</w:t>
                  </w:r>
                </w:p>
              </w:tc>
              <w:tc>
                <w:tcPr>
                  <w:tcW w:w="1046"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生产</w:t>
                  </w:r>
                </w:p>
                <w:p>
                  <w:pPr>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过程</w:t>
                  </w:r>
                </w:p>
              </w:tc>
              <w:tc>
                <w:tcPr>
                  <w:tcW w:w="1024"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一般</w:t>
                  </w:r>
                </w:p>
                <w:p>
                  <w:pPr>
                    <w:widowControl/>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固废</w:t>
                  </w:r>
                </w:p>
              </w:tc>
              <w:tc>
                <w:tcPr>
                  <w:tcW w:w="115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175-001-01</w:t>
                  </w:r>
                </w:p>
              </w:tc>
              <w:tc>
                <w:tcPr>
                  <w:tcW w:w="116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w:t>
                  </w:r>
                </w:p>
              </w:tc>
              <w:tc>
                <w:tcPr>
                  <w:tcW w:w="638" w:type="dxa"/>
                  <w:tcBorders>
                    <w:top w:val="single" w:color="auto" w:sz="4" w:space="0"/>
                    <w:left w:val="single" w:color="auto" w:sz="6" w:space="0"/>
                    <w:bottom w:val="single" w:color="auto" w:sz="6" w:space="0"/>
                    <w:right w:val="single" w:color="auto" w:sz="4" w:space="0"/>
                  </w:tcBorders>
                  <w:vAlign w:val="center"/>
                </w:tcPr>
                <w:p>
                  <w:pPr>
                    <w:widowControl/>
                    <w:snapToGrid w:val="0"/>
                    <w:jc w:val="center"/>
                    <w:rPr>
                      <w:rFonts w:ascii="Times New Roman" w:hAnsi="Times New Roman" w:eastAsia="宋体" w:cs="Times New Roman"/>
                      <w:bCs/>
                      <w:sz w:val="21"/>
                      <w:szCs w:val="21"/>
                    </w:rPr>
                  </w:pPr>
                  <w:r>
                    <w:rPr>
                      <w:rFonts w:ascii="Times New Roman" w:hAnsi="Times New Roman" w:eastAsia="宋体" w:cs="Times New Roman"/>
                      <w:sz w:val="21"/>
                      <w:szCs w:val="21"/>
                    </w:rPr>
                    <w:t>固态</w:t>
                  </w:r>
                </w:p>
              </w:tc>
              <w:tc>
                <w:tcPr>
                  <w:tcW w:w="774" w:type="dxa"/>
                  <w:tcBorders>
                    <w:top w:val="single" w:color="auto" w:sz="4" w:space="0"/>
                    <w:left w:val="single" w:color="auto" w:sz="6" w:space="0"/>
                    <w:bottom w:val="single" w:color="auto" w:sz="6" w:space="0"/>
                    <w:right w:val="single" w:color="auto" w:sz="6" w:space="0"/>
                  </w:tcBorders>
                  <w:vAlign w:val="center"/>
                </w:tcPr>
                <w:p>
                  <w:pPr>
                    <w:topLinePunct/>
                    <w:adjustRightInd w:val="0"/>
                    <w:snapToGrid w:val="0"/>
                    <w:jc w:val="center"/>
                    <w:rPr>
                      <w:rFonts w:ascii="Times New Roman" w:hAnsi="Times New Roman" w:eastAsia="宋体" w:cs="Times New Roman"/>
                      <w:bCs/>
                      <w:sz w:val="21"/>
                      <w:szCs w:val="21"/>
                    </w:rPr>
                  </w:pPr>
                  <w:r>
                    <w:rPr>
                      <w:rFonts w:ascii="Times New Roman" w:hAnsi="Times New Roman" w:eastAsia="宋体" w:cs="Times New Roman"/>
                      <w:kern w:val="0"/>
                      <w:sz w:val="21"/>
                      <w:szCs w:val="21"/>
                    </w:rPr>
                    <w:t>/</w:t>
                  </w:r>
                </w:p>
              </w:tc>
              <w:tc>
                <w:tcPr>
                  <w:tcW w:w="925" w:type="dxa"/>
                  <w:tcBorders>
                    <w:top w:val="single" w:color="auto" w:sz="4" w:space="0"/>
                    <w:left w:val="single" w:color="auto" w:sz="6" w:space="0"/>
                    <w:bottom w:val="single" w:color="auto" w:sz="6" w:space="0"/>
                    <w:right w:val="single" w:color="auto" w:sz="4" w:space="0"/>
                  </w:tcBorders>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5" w:type="dxa"/>
                  <w:tcBorders>
                    <w:top w:val="single" w:color="auto" w:sz="4" w:space="0"/>
                    <w:left w:val="single" w:color="auto" w:sz="4"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1020"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废包装材料</w:t>
                  </w:r>
                </w:p>
              </w:tc>
              <w:tc>
                <w:tcPr>
                  <w:tcW w:w="1046"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原料使用完毕</w:t>
                  </w:r>
                </w:p>
              </w:tc>
              <w:tc>
                <w:tcPr>
                  <w:tcW w:w="1024" w:type="dxa"/>
                  <w:tcBorders>
                    <w:top w:val="single" w:color="auto" w:sz="4" w:space="0"/>
                    <w:left w:val="single" w:color="auto" w:sz="6" w:space="0"/>
                    <w:bottom w:val="single" w:color="auto" w:sz="6" w:space="0"/>
                    <w:right w:val="single" w:color="auto" w:sz="6" w:space="0"/>
                  </w:tcBorders>
                  <w:vAlign w:val="center"/>
                </w:tcPr>
                <w:p>
                  <w:pPr>
                    <w:widowControl/>
                    <w:snapToGrid w:val="0"/>
                    <w:jc w:val="center"/>
                  </w:pPr>
                  <w:r>
                    <w:rPr>
                      <w:rFonts w:ascii="Times New Roman" w:hAnsi="Times New Roman" w:eastAsia="宋体" w:cs="Times New Roman"/>
                      <w:sz w:val="21"/>
                      <w:szCs w:val="21"/>
                    </w:rPr>
                    <w:t>一般</w:t>
                  </w:r>
                </w:p>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固废</w:t>
                  </w:r>
                </w:p>
              </w:tc>
              <w:tc>
                <w:tcPr>
                  <w:tcW w:w="115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175-001-07</w:t>
                  </w:r>
                </w:p>
              </w:tc>
              <w:tc>
                <w:tcPr>
                  <w:tcW w:w="116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38" w:type="dxa"/>
                  <w:tcBorders>
                    <w:top w:val="single" w:color="auto" w:sz="4" w:space="0"/>
                    <w:left w:val="single" w:color="auto" w:sz="6" w:space="0"/>
                    <w:bottom w:val="single" w:color="auto" w:sz="6" w:space="0"/>
                    <w:right w:val="single" w:color="auto" w:sz="4"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774" w:type="dxa"/>
                  <w:tcBorders>
                    <w:top w:val="single" w:color="auto" w:sz="4" w:space="0"/>
                    <w:left w:val="single" w:color="auto" w:sz="6" w:space="0"/>
                    <w:bottom w:val="single" w:color="auto" w:sz="6" w:space="0"/>
                    <w:right w:val="single" w:color="auto" w:sz="6" w:space="0"/>
                  </w:tcBorders>
                  <w:vAlign w:val="center"/>
                </w:tcPr>
                <w:p>
                  <w:pPr>
                    <w:topLinePunct/>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925" w:type="dxa"/>
                  <w:tcBorders>
                    <w:top w:val="single" w:color="auto" w:sz="4" w:space="0"/>
                    <w:left w:val="single" w:color="auto" w:sz="6" w:space="0"/>
                    <w:bottom w:val="single" w:color="auto" w:sz="6"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35.88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5" w:type="dxa"/>
                  <w:tcBorders>
                    <w:top w:val="single" w:color="auto" w:sz="4" w:space="0"/>
                    <w:left w:val="single" w:color="auto" w:sz="4"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1020"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废棕丝</w:t>
                  </w:r>
                </w:p>
              </w:tc>
              <w:tc>
                <w:tcPr>
                  <w:tcW w:w="1046"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生产</w:t>
                  </w:r>
                </w:p>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过程</w:t>
                  </w:r>
                </w:p>
              </w:tc>
              <w:tc>
                <w:tcPr>
                  <w:tcW w:w="1024"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一般</w:t>
                  </w:r>
                </w:p>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固废</w:t>
                  </w:r>
                </w:p>
              </w:tc>
              <w:tc>
                <w:tcPr>
                  <w:tcW w:w="115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175-</w:t>
                  </w:r>
                  <w:r>
                    <w:rPr>
                      <w:rFonts w:hint="eastAsia" w:ascii="Times New Roman" w:hAnsi="Times New Roman" w:eastAsia="宋体" w:cs="Times New Roman"/>
                      <w:bCs/>
                      <w:sz w:val="18"/>
                      <w:szCs w:val="18"/>
                    </w:rPr>
                    <w:t>999</w:t>
                  </w:r>
                  <w:r>
                    <w:rPr>
                      <w:rFonts w:ascii="Times New Roman" w:hAnsi="Times New Roman" w:eastAsia="宋体" w:cs="Times New Roman"/>
                      <w:bCs/>
                      <w:sz w:val="18"/>
                      <w:szCs w:val="18"/>
                    </w:rPr>
                    <w:t>-</w:t>
                  </w:r>
                  <w:r>
                    <w:rPr>
                      <w:rFonts w:hint="eastAsia" w:ascii="Times New Roman" w:hAnsi="Times New Roman" w:eastAsia="宋体" w:cs="Times New Roman"/>
                      <w:bCs/>
                      <w:sz w:val="18"/>
                      <w:szCs w:val="18"/>
                    </w:rPr>
                    <w:t>99</w:t>
                  </w:r>
                </w:p>
              </w:tc>
              <w:tc>
                <w:tcPr>
                  <w:tcW w:w="116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38" w:type="dxa"/>
                  <w:tcBorders>
                    <w:top w:val="single" w:color="auto" w:sz="4" w:space="0"/>
                    <w:left w:val="single" w:color="auto" w:sz="6" w:space="0"/>
                    <w:bottom w:val="single" w:color="auto" w:sz="6" w:space="0"/>
                    <w:right w:val="single" w:color="auto" w:sz="4"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774" w:type="dxa"/>
                  <w:tcBorders>
                    <w:top w:val="single" w:color="auto" w:sz="4" w:space="0"/>
                    <w:left w:val="single" w:color="auto" w:sz="6" w:space="0"/>
                    <w:bottom w:val="single" w:color="auto" w:sz="6" w:space="0"/>
                    <w:right w:val="single" w:color="auto" w:sz="6" w:space="0"/>
                  </w:tcBorders>
                  <w:vAlign w:val="center"/>
                </w:tcPr>
                <w:p>
                  <w:pPr>
                    <w:topLinePunct/>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925" w:type="dxa"/>
                  <w:tcBorders>
                    <w:top w:val="single" w:color="auto" w:sz="4" w:space="0"/>
                    <w:left w:val="single" w:color="auto" w:sz="6" w:space="0"/>
                    <w:bottom w:val="single" w:color="auto" w:sz="6"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5" w:type="dxa"/>
                  <w:tcBorders>
                    <w:top w:val="single" w:color="auto" w:sz="4" w:space="0"/>
                    <w:left w:val="single" w:color="auto" w:sz="4"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1020"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废滤网</w:t>
                  </w:r>
                </w:p>
              </w:tc>
              <w:tc>
                <w:tcPr>
                  <w:tcW w:w="1046" w:type="dxa"/>
                  <w:tcBorders>
                    <w:top w:val="single" w:color="auto" w:sz="4"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生产</w:t>
                  </w:r>
                </w:p>
                <w:p>
                  <w:pPr>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过程</w:t>
                  </w:r>
                </w:p>
              </w:tc>
              <w:tc>
                <w:tcPr>
                  <w:tcW w:w="1024"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一般</w:t>
                  </w:r>
                </w:p>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固废</w:t>
                  </w:r>
                </w:p>
              </w:tc>
              <w:tc>
                <w:tcPr>
                  <w:tcW w:w="115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175-</w:t>
                  </w:r>
                  <w:r>
                    <w:rPr>
                      <w:rFonts w:hint="eastAsia" w:ascii="Times New Roman" w:hAnsi="Times New Roman" w:eastAsia="宋体" w:cs="Times New Roman"/>
                      <w:bCs/>
                      <w:sz w:val="18"/>
                      <w:szCs w:val="18"/>
                    </w:rPr>
                    <w:t>999</w:t>
                  </w:r>
                  <w:r>
                    <w:rPr>
                      <w:rFonts w:ascii="Times New Roman" w:hAnsi="Times New Roman" w:eastAsia="宋体" w:cs="Times New Roman"/>
                      <w:bCs/>
                      <w:sz w:val="18"/>
                      <w:szCs w:val="18"/>
                    </w:rPr>
                    <w:t>-</w:t>
                  </w:r>
                  <w:r>
                    <w:rPr>
                      <w:rFonts w:hint="eastAsia" w:ascii="Times New Roman" w:hAnsi="Times New Roman" w:eastAsia="宋体" w:cs="Times New Roman"/>
                      <w:bCs/>
                      <w:sz w:val="18"/>
                      <w:szCs w:val="18"/>
                    </w:rPr>
                    <w:t>99</w:t>
                  </w:r>
                </w:p>
              </w:tc>
              <w:tc>
                <w:tcPr>
                  <w:tcW w:w="116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638" w:type="dxa"/>
                  <w:tcBorders>
                    <w:top w:val="single" w:color="auto" w:sz="4" w:space="0"/>
                    <w:left w:val="single" w:color="auto" w:sz="6" w:space="0"/>
                    <w:bottom w:val="single" w:color="auto" w:sz="6" w:space="0"/>
                    <w:right w:val="single" w:color="auto" w:sz="4"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774" w:type="dxa"/>
                  <w:tcBorders>
                    <w:top w:val="single" w:color="auto" w:sz="4" w:space="0"/>
                    <w:left w:val="single" w:color="auto" w:sz="6" w:space="0"/>
                    <w:bottom w:val="single" w:color="auto" w:sz="6" w:space="0"/>
                    <w:right w:val="single" w:color="auto" w:sz="6" w:space="0"/>
                  </w:tcBorders>
                  <w:vAlign w:val="center"/>
                </w:tcPr>
                <w:p>
                  <w:pPr>
                    <w:topLinePunct/>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925" w:type="dxa"/>
                  <w:tcBorders>
                    <w:top w:val="single" w:color="auto" w:sz="4" w:space="0"/>
                    <w:left w:val="single" w:color="auto" w:sz="6" w:space="0"/>
                    <w:bottom w:val="single" w:color="auto" w:sz="6"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0.173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5" w:type="dxa"/>
                  <w:tcBorders>
                    <w:top w:val="single" w:color="auto" w:sz="4" w:space="0"/>
                    <w:left w:val="single" w:color="auto" w:sz="4" w:space="0"/>
                    <w:bottom w:val="single" w:color="auto" w:sz="4" w:space="0"/>
                    <w:right w:val="single" w:color="auto" w:sz="6" w:space="0"/>
                  </w:tcBorders>
                  <w:vAlign w:val="center"/>
                </w:tcPr>
                <w:p>
                  <w:pPr>
                    <w:snapToGrid w:val="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1020" w:type="dxa"/>
                  <w:tcBorders>
                    <w:top w:val="single" w:color="auto" w:sz="4" w:space="0"/>
                    <w:left w:val="single" w:color="auto" w:sz="6" w:space="0"/>
                    <w:bottom w:val="single" w:color="auto" w:sz="4" w:space="0"/>
                    <w:right w:val="single" w:color="auto" w:sz="6" w:space="0"/>
                  </w:tcBorders>
                  <w:vAlign w:val="center"/>
                </w:tcPr>
                <w:p>
                  <w:pPr>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废机油</w:t>
                  </w:r>
                </w:p>
              </w:tc>
              <w:tc>
                <w:tcPr>
                  <w:tcW w:w="1046" w:type="dxa"/>
                  <w:tcBorders>
                    <w:top w:val="single" w:color="auto" w:sz="4" w:space="0"/>
                    <w:left w:val="single" w:color="auto" w:sz="6" w:space="0"/>
                    <w:bottom w:val="single" w:color="auto" w:sz="4" w:space="0"/>
                    <w:right w:val="single" w:color="auto" w:sz="6" w:space="0"/>
                  </w:tcBorders>
                  <w:vAlign w:val="center"/>
                </w:tcPr>
                <w:p>
                  <w:pPr>
                    <w:snapToGrid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设备</w:t>
                  </w:r>
                </w:p>
                <w:p>
                  <w:pPr>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维修</w:t>
                  </w:r>
                </w:p>
              </w:tc>
              <w:tc>
                <w:tcPr>
                  <w:tcW w:w="1024"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危险</w:t>
                  </w:r>
                </w:p>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废物</w:t>
                  </w:r>
                </w:p>
              </w:tc>
              <w:tc>
                <w:tcPr>
                  <w:tcW w:w="1159"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900-249-08</w:t>
                  </w:r>
                </w:p>
              </w:tc>
              <w:tc>
                <w:tcPr>
                  <w:tcW w:w="1169"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w:t>
                  </w:r>
                  <w:r>
                    <w:rPr>
                      <w:rFonts w:ascii="Times New Roman" w:hAnsi="Times New Roman" w:eastAsia="宋体" w:cs="Times New Roman"/>
                      <w:sz w:val="21"/>
                      <w:szCs w:val="21"/>
                    </w:rPr>
                    <w:t>矿物油</w:t>
                  </w:r>
                </w:p>
              </w:tc>
              <w:tc>
                <w:tcPr>
                  <w:tcW w:w="638" w:type="dxa"/>
                  <w:tcBorders>
                    <w:top w:val="single" w:color="auto" w:sz="4" w:space="0"/>
                    <w:left w:val="single" w:color="auto" w:sz="6" w:space="0"/>
                    <w:bottom w:val="single" w:color="auto" w:sz="4" w:space="0"/>
                    <w:right w:val="single" w:color="auto" w:sz="4"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774" w:type="dxa"/>
                  <w:tcBorders>
                    <w:top w:val="single" w:color="auto" w:sz="4" w:space="0"/>
                    <w:left w:val="single" w:color="auto" w:sz="6" w:space="0"/>
                    <w:bottom w:val="single" w:color="auto" w:sz="4" w:space="0"/>
                    <w:right w:val="single" w:color="auto" w:sz="6" w:space="0"/>
                  </w:tcBorders>
                  <w:vAlign w:val="center"/>
                </w:tcPr>
                <w:p>
                  <w:pPr>
                    <w:topLinePunct/>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T，I</w:t>
                  </w:r>
                </w:p>
              </w:tc>
              <w:tc>
                <w:tcPr>
                  <w:tcW w:w="925" w:type="dxa"/>
                  <w:tcBorders>
                    <w:top w:val="single" w:color="auto" w:sz="4" w:space="0"/>
                    <w:left w:val="single" w:color="auto" w:sz="6"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5" w:type="dxa"/>
                  <w:tcBorders>
                    <w:top w:val="single" w:color="auto" w:sz="4" w:space="0"/>
                    <w:left w:val="single" w:color="auto" w:sz="4" w:space="0"/>
                    <w:bottom w:val="single" w:color="auto" w:sz="4" w:space="0"/>
                    <w:right w:val="single" w:color="auto" w:sz="6" w:space="0"/>
                  </w:tcBorders>
                  <w:vAlign w:val="center"/>
                </w:tcPr>
                <w:p>
                  <w:pPr>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w:t>
                  </w:r>
                </w:p>
              </w:tc>
              <w:tc>
                <w:tcPr>
                  <w:tcW w:w="1020" w:type="dxa"/>
                  <w:tcBorders>
                    <w:top w:val="single" w:color="auto" w:sz="4" w:space="0"/>
                    <w:left w:val="single" w:color="auto" w:sz="6" w:space="0"/>
                    <w:bottom w:val="single" w:color="auto" w:sz="4" w:space="0"/>
                    <w:right w:val="single" w:color="auto" w:sz="6" w:space="0"/>
                  </w:tcBorders>
                  <w:vAlign w:val="center"/>
                </w:tcPr>
                <w:p>
                  <w:pPr>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废包</w:t>
                  </w:r>
                </w:p>
                <w:p>
                  <w:pPr>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装桶</w:t>
                  </w:r>
                </w:p>
              </w:tc>
              <w:tc>
                <w:tcPr>
                  <w:tcW w:w="1046" w:type="dxa"/>
                  <w:tcBorders>
                    <w:top w:val="single" w:color="auto" w:sz="4" w:space="0"/>
                    <w:left w:val="single" w:color="auto" w:sz="6" w:space="0"/>
                    <w:bottom w:val="single" w:color="auto" w:sz="4" w:space="0"/>
                    <w:right w:val="single" w:color="auto" w:sz="6" w:space="0"/>
                  </w:tcBorders>
                  <w:vAlign w:val="center"/>
                </w:tcPr>
                <w:p>
                  <w:pPr>
                    <w:snapToGrid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设备</w:t>
                  </w:r>
                </w:p>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维修</w:t>
                  </w:r>
                </w:p>
              </w:tc>
              <w:tc>
                <w:tcPr>
                  <w:tcW w:w="1024"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危险</w:t>
                  </w:r>
                </w:p>
                <w:p>
                  <w:pPr>
                    <w:widowControl/>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废物</w:t>
                  </w:r>
                </w:p>
              </w:tc>
              <w:tc>
                <w:tcPr>
                  <w:tcW w:w="1159"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ascii="Times New Roman" w:hAnsi="Times New Roman" w:eastAsia="宋体" w:cs="Times New Roman"/>
                      <w:bCs/>
                      <w:kern w:val="2"/>
                      <w:sz w:val="18"/>
                      <w:szCs w:val="18"/>
                      <w:lang w:val="en-US" w:eastAsia="zh-CN" w:bidi="ar-SA"/>
                    </w:rPr>
                  </w:pPr>
                  <w:r>
                    <w:rPr>
                      <w:rFonts w:ascii="Times New Roman" w:hAnsi="Times New Roman" w:eastAsia="宋体" w:cs="Times New Roman"/>
                      <w:bCs/>
                      <w:sz w:val="18"/>
                      <w:szCs w:val="18"/>
                    </w:rPr>
                    <w:t>900-249-08</w:t>
                  </w:r>
                </w:p>
              </w:tc>
              <w:tc>
                <w:tcPr>
                  <w:tcW w:w="1169"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废</w:t>
                  </w:r>
                  <w:r>
                    <w:rPr>
                      <w:rFonts w:ascii="Times New Roman" w:hAnsi="Times New Roman" w:eastAsia="宋体" w:cs="Times New Roman"/>
                      <w:sz w:val="21"/>
                      <w:szCs w:val="21"/>
                    </w:rPr>
                    <w:t>矿物油</w:t>
                  </w:r>
                </w:p>
              </w:tc>
              <w:tc>
                <w:tcPr>
                  <w:tcW w:w="638" w:type="dxa"/>
                  <w:tcBorders>
                    <w:top w:val="single" w:color="auto" w:sz="4" w:space="0"/>
                    <w:left w:val="single" w:color="auto" w:sz="6" w:space="0"/>
                    <w:bottom w:val="single" w:color="auto" w:sz="4" w:space="0"/>
                    <w:right w:val="single" w:color="auto" w:sz="4"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774" w:type="dxa"/>
                  <w:tcBorders>
                    <w:top w:val="single" w:color="auto" w:sz="4" w:space="0"/>
                    <w:left w:val="single" w:color="auto" w:sz="6" w:space="0"/>
                    <w:bottom w:val="single" w:color="auto" w:sz="4" w:space="0"/>
                    <w:right w:val="single" w:color="auto" w:sz="6" w:space="0"/>
                  </w:tcBorders>
                  <w:vAlign w:val="center"/>
                </w:tcPr>
                <w:p>
                  <w:pPr>
                    <w:topLinePunct/>
                    <w:adjustRightInd w:val="0"/>
                    <w:snapToGrid w:val="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rPr>
                    <w:t>T，I</w:t>
                  </w:r>
                </w:p>
              </w:tc>
              <w:tc>
                <w:tcPr>
                  <w:tcW w:w="925" w:type="dxa"/>
                  <w:tcBorders>
                    <w:top w:val="single" w:color="auto" w:sz="4" w:space="0"/>
                    <w:left w:val="single" w:color="auto" w:sz="6" w:space="0"/>
                    <w:bottom w:val="single" w:color="auto" w:sz="4" w:space="0"/>
                    <w:right w:val="single" w:color="auto" w:sz="4" w:space="0"/>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5" w:type="dxa"/>
                  <w:tcBorders>
                    <w:top w:val="single" w:color="auto" w:sz="4" w:space="0"/>
                    <w:left w:val="single" w:color="auto" w:sz="4" w:space="0"/>
                    <w:bottom w:val="single" w:color="auto" w:sz="4" w:space="0"/>
                    <w:right w:val="single" w:color="auto" w:sz="6" w:space="0"/>
                  </w:tcBorders>
                  <w:vAlign w:val="center"/>
                </w:tcPr>
                <w:p>
                  <w:pPr>
                    <w:snapToGrid w:val="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val="en-US" w:eastAsia="zh-CN"/>
                    </w:rPr>
                    <w:t>8</w:t>
                  </w:r>
                </w:p>
              </w:tc>
              <w:tc>
                <w:tcPr>
                  <w:tcW w:w="1020" w:type="dxa"/>
                  <w:tcBorders>
                    <w:top w:val="single" w:color="auto" w:sz="4" w:space="0"/>
                    <w:left w:val="single" w:color="auto" w:sz="6" w:space="0"/>
                    <w:bottom w:val="single" w:color="auto" w:sz="4" w:space="0"/>
                    <w:right w:val="single" w:color="auto" w:sz="6" w:space="0"/>
                  </w:tcBorders>
                  <w:vAlign w:val="center"/>
                </w:tcPr>
                <w:p>
                  <w:pPr>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废弃的含油抹布、劳保用品</w:t>
                  </w:r>
                </w:p>
              </w:tc>
              <w:tc>
                <w:tcPr>
                  <w:tcW w:w="1046" w:type="dxa"/>
                  <w:tcBorders>
                    <w:top w:val="single" w:color="auto" w:sz="4" w:space="0"/>
                    <w:left w:val="single" w:color="auto" w:sz="6" w:space="0"/>
                    <w:bottom w:val="single" w:color="auto" w:sz="4" w:space="0"/>
                    <w:right w:val="single" w:color="auto" w:sz="6" w:space="0"/>
                  </w:tcBorders>
                  <w:vAlign w:val="center"/>
                </w:tcPr>
                <w:p>
                  <w:pPr>
                    <w:snapToGrid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设备</w:t>
                  </w:r>
                </w:p>
                <w:p>
                  <w:pPr>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维修</w:t>
                  </w:r>
                </w:p>
              </w:tc>
              <w:tc>
                <w:tcPr>
                  <w:tcW w:w="1024"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危险</w:t>
                  </w:r>
                </w:p>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废物</w:t>
                  </w:r>
                </w:p>
              </w:tc>
              <w:tc>
                <w:tcPr>
                  <w:tcW w:w="1159"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900-041-49</w:t>
                  </w:r>
                </w:p>
              </w:tc>
              <w:tc>
                <w:tcPr>
                  <w:tcW w:w="1169"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w:t>
                  </w:r>
                  <w:r>
                    <w:rPr>
                      <w:rFonts w:ascii="Times New Roman" w:hAnsi="Times New Roman" w:eastAsia="宋体" w:cs="Times New Roman"/>
                      <w:sz w:val="21"/>
                      <w:szCs w:val="21"/>
                    </w:rPr>
                    <w:t>矿物油</w:t>
                  </w:r>
                </w:p>
              </w:tc>
              <w:tc>
                <w:tcPr>
                  <w:tcW w:w="638" w:type="dxa"/>
                  <w:tcBorders>
                    <w:top w:val="single" w:color="auto" w:sz="4" w:space="0"/>
                    <w:left w:val="single" w:color="auto" w:sz="6" w:space="0"/>
                    <w:bottom w:val="single" w:color="auto" w:sz="4" w:space="0"/>
                    <w:right w:val="single" w:color="auto" w:sz="4"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774" w:type="dxa"/>
                  <w:tcBorders>
                    <w:top w:val="single" w:color="auto" w:sz="4" w:space="0"/>
                    <w:left w:val="single" w:color="auto" w:sz="6" w:space="0"/>
                    <w:bottom w:val="single" w:color="auto" w:sz="4" w:space="0"/>
                    <w:right w:val="single" w:color="auto" w:sz="6" w:space="0"/>
                  </w:tcBorders>
                  <w:vAlign w:val="center"/>
                </w:tcPr>
                <w:p>
                  <w:pPr>
                    <w:topLinePunct/>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T/In</w:t>
                  </w:r>
                </w:p>
              </w:tc>
              <w:tc>
                <w:tcPr>
                  <w:tcW w:w="925" w:type="dxa"/>
                  <w:tcBorders>
                    <w:top w:val="single" w:color="auto" w:sz="4" w:space="0"/>
                    <w:left w:val="single" w:color="auto" w:sz="6"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5" w:type="dxa"/>
                  <w:tcBorders>
                    <w:top w:val="single" w:color="auto" w:sz="4" w:space="0"/>
                    <w:left w:val="single" w:color="auto" w:sz="4" w:space="0"/>
                    <w:bottom w:val="single" w:color="auto" w:sz="4" w:space="0"/>
                    <w:right w:val="single" w:color="auto" w:sz="6" w:space="0"/>
                  </w:tcBorders>
                  <w:vAlign w:val="center"/>
                </w:tcPr>
                <w:p>
                  <w:pPr>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w:t>
                  </w:r>
                </w:p>
              </w:tc>
              <w:tc>
                <w:tcPr>
                  <w:tcW w:w="1020" w:type="dxa"/>
                  <w:tcBorders>
                    <w:top w:val="single" w:color="auto" w:sz="4" w:space="0"/>
                    <w:left w:val="single" w:color="auto" w:sz="6" w:space="0"/>
                    <w:bottom w:val="single" w:color="auto" w:sz="4" w:space="0"/>
                    <w:right w:val="single" w:color="auto" w:sz="6" w:space="0"/>
                  </w:tcBorders>
                  <w:vAlign w:val="center"/>
                </w:tcPr>
                <w:p>
                  <w:pPr>
                    <w:snapToGrid w:val="0"/>
                    <w:jc w:val="center"/>
                    <w:rPr>
                      <w:rFonts w:hint="eastAsia" w:ascii="Times New Roman" w:hAnsi="Times New Roman" w:eastAsia="宋体" w:cs="Times New Roman"/>
                      <w:sz w:val="21"/>
                      <w:szCs w:val="21"/>
                    </w:rPr>
                  </w:pPr>
                  <w:r>
                    <w:rPr>
                      <w:rFonts w:hint="eastAsia" w:cs="Times New Roman"/>
                      <w:color w:val="auto"/>
                      <w:sz w:val="21"/>
                      <w:szCs w:val="21"/>
                      <w:highlight w:val="none"/>
                      <w:lang w:eastAsia="zh-CN"/>
                    </w:rPr>
                    <w:t>喷淋废液</w:t>
                  </w:r>
                </w:p>
              </w:tc>
              <w:tc>
                <w:tcPr>
                  <w:tcW w:w="1046" w:type="dxa"/>
                  <w:tcBorders>
                    <w:top w:val="single" w:color="auto" w:sz="4" w:space="0"/>
                    <w:left w:val="single" w:color="auto" w:sz="6" w:space="0"/>
                    <w:bottom w:val="single" w:color="auto" w:sz="4" w:space="0"/>
                    <w:right w:val="single" w:color="auto" w:sz="6" w:space="0"/>
                  </w:tcBorders>
                  <w:vAlign w:val="center"/>
                </w:tcPr>
                <w:p>
                  <w:pPr>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废气处理装置</w:t>
                  </w:r>
                </w:p>
              </w:tc>
              <w:tc>
                <w:tcPr>
                  <w:tcW w:w="1024"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危险</w:t>
                  </w:r>
                </w:p>
                <w:p>
                  <w:pPr>
                    <w:widowControl/>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废物</w:t>
                  </w:r>
                </w:p>
              </w:tc>
              <w:tc>
                <w:tcPr>
                  <w:tcW w:w="1159"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rPr>
                    <w:t>900-0210-08</w:t>
                  </w:r>
                </w:p>
              </w:tc>
              <w:tc>
                <w:tcPr>
                  <w:tcW w:w="1169" w:type="dxa"/>
                  <w:tcBorders>
                    <w:top w:val="single" w:color="auto" w:sz="4" w:space="0"/>
                    <w:left w:val="single" w:color="auto" w:sz="6" w:space="0"/>
                    <w:bottom w:val="single" w:color="auto" w:sz="4" w:space="0"/>
                    <w:right w:val="single" w:color="auto" w:sz="6" w:space="0"/>
                  </w:tcBorders>
                  <w:vAlign w:val="center"/>
                </w:tcPr>
                <w:p>
                  <w:pPr>
                    <w:widowControl/>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废</w:t>
                  </w:r>
                  <w:r>
                    <w:rPr>
                      <w:rFonts w:hint="eastAsia" w:cs="Times New Roman"/>
                      <w:sz w:val="21"/>
                      <w:szCs w:val="21"/>
                      <w:lang w:eastAsia="zh-CN"/>
                    </w:rPr>
                    <w:t>有机物</w:t>
                  </w:r>
                </w:p>
              </w:tc>
              <w:tc>
                <w:tcPr>
                  <w:tcW w:w="638" w:type="dxa"/>
                  <w:tcBorders>
                    <w:top w:val="single" w:color="auto" w:sz="4" w:space="0"/>
                    <w:left w:val="single" w:color="auto" w:sz="6" w:space="0"/>
                    <w:bottom w:val="single" w:color="auto" w:sz="4" w:space="0"/>
                    <w:right w:val="single" w:color="auto" w:sz="4" w:space="0"/>
                  </w:tcBorders>
                  <w:vAlign w:val="center"/>
                </w:tcPr>
                <w:p>
                  <w:pPr>
                    <w:widowControl/>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液态</w:t>
                  </w:r>
                </w:p>
              </w:tc>
              <w:tc>
                <w:tcPr>
                  <w:tcW w:w="774" w:type="dxa"/>
                  <w:tcBorders>
                    <w:top w:val="single" w:color="auto" w:sz="4" w:space="0"/>
                    <w:left w:val="single" w:color="auto" w:sz="6" w:space="0"/>
                    <w:bottom w:val="single" w:color="auto" w:sz="4" w:space="0"/>
                    <w:right w:val="single" w:color="auto" w:sz="6" w:space="0"/>
                  </w:tcBorders>
                  <w:vAlign w:val="center"/>
                </w:tcPr>
                <w:p>
                  <w:pPr>
                    <w:topLinePunct/>
                    <w:adjustRightInd w:val="0"/>
                    <w:snapToGrid w:val="0"/>
                    <w:jc w:val="center"/>
                    <w:rPr>
                      <w:rFonts w:hint="eastAsia" w:ascii="Times New Roman" w:hAnsi="Times New Roman" w:eastAsia="宋体" w:cs="Times New Roman"/>
                      <w:kern w:val="0"/>
                      <w:sz w:val="21"/>
                      <w:szCs w:val="21"/>
                    </w:rPr>
                  </w:pPr>
                  <w:r>
                    <w:rPr>
                      <w:rFonts w:ascii="Times New Roman" w:hAnsi="Times New Roman" w:eastAsia="宋体" w:cs="Times New Roman"/>
                      <w:kern w:val="0"/>
                      <w:sz w:val="21"/>
                      <w:szCs w:val="21"/>
                    </w:rPr>
                    <w:t>T，I</w:t>
                  </w:r>
                </w:p>
              </w:tc>
              <w:tc>
                <w:tcPr>
                  <w:tcW w:w="925" w:type="dxa"/>
                  <w:tcBorders>
                    <w:top w:val="single" w:color="auto" w:sz="4" w:space="0"/>
                    <w:left w:val="single" w:color="auto" w:sz="6"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5" w:type="dxa"/>
                  <w:tcBorders>
                    <w:top w:val="single" w:color="auto" w:sz="4" w:space="0"/>
                    <w:left w:val="single" w:color="auto" w:sz="4" w:space="0"/>
                    <w:bottom w:val="single" w:color="auto" w:sz="6" w:space="0"/>
                    <w:right w:val="single" w:color="auto" w:sz="6" w:space="0"/>
                  </w:tcBorders>
                  <w:vAlign w:val="center"/>
                </w:tcPr>
                <w:p>
                  <w:pPr>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w:t>
                  </w:r>
                </w:p>
              </w:tc>
              <w:tc>
                <w:tcPr>
                  <w:tcW w:w="1020" w:type="dxa"/>
                  <w:tcBorders>
                    <w:top w:val="single" w:color="auto" w:sz="4" w:space="0"/>
                    <w:left w:val="single" w:color="auto" w:sz="6" w:space="0"/>
                    <w:bottom w:val="single" w:color="auto" w:sz="6" w:space="0"/>
                    <w:right w:val="single" w:color="auto" w:sz="6" w:space="0"/>
                  </w:tcBorders>
                  <w:vAlign w:val="center"/>
                </w:tcPr>
                <w:p>
                  <w:pPr>
                    <w:snapToGrid w:val="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吨桶</w:t>
                  </w:r>
                </w:p>
              </w:tc>
              <w:tc>
                <w:tcPr>
                  <w:tcW w:w="1046" w:type="dxa"/>
                  <w:tcBorders>
                    <w:top w:val="single" w:color="auto" w:sz="4" w:space="0"/>
                    <w:left w:val="single" w:color="auto" w:sz="6" w:space="0"/>
                    <w:bottom w:val="single" w:color="auto" w:sz="6" w:space="0"/>
                    <w:right w:val="single" w:color="auto" w:sz="6" w:space="0"/>
                  </w:tcBorders>
                  <w:vAlign w:val="center"/>
                </w:tcPr>
                <w:p>
                  <w:pPr>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水浆</w:t>
                  </w:r>
                </w:p>
                <w:p>
                  <w:pPr>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包装</w:t>
                  </w:r>
                </w:p>
              </w:tc>
              <w:tc>
                <w:tcPr>
                  <w:tcW w:w="1024"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15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hint="eastAsia"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w:t>
                  </w:r>
                </w:p>
              </w:tc>
              <w:tc>
                <w:tcPr>
                  <w:tcW w:w="1169" w:type="dxa"/>
                  <w:tcBorders>
                    <w:top w:val="single" w:color="auto" w:sz="4" w:space="0"/>
                    <w:left w:val="single" w:color="auto" w:sz="6" w:space="0"/>
                    <w:bottom w:val="single" w:color="auto" w:sz="6" w:space="0"/>
                    <w:right w:val="single" w:color="auto" w:sz="6" w:space="0"/>
                  </w:tcBorders>
                  <w:vAlign w:val="center"/>
                </w:tcPr>
                <w:p>
                  <w:pPr>
                    <w:widowControl/>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38" w:type="dxa"/>
                  <w:tcBorders>
                    <w:top w:val="single" w:color="auto" w:sz="4" w:space="0"/>
                    <w:left w:val="single" w:color="auto" w:sz="6" w:space="0"/>
                    <w:bottom w:val="single" w:color="auto" w:sz="6" w:space="0"/>
                    <w:right w:val="single" w:color="auto" w:sz="4" w:space="0"/>
                  </w:tcBorders>
                  <w:vAlign w:val="center"/>
                </w:tcPr>
                <w:p>
                  <w:pPr>
                    <w:widowControl/>
                    <w:snapToGrid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固态</w:t>
                  </w:r>
                </w:p>
              </w:tc>
              <w:tc>
                <w:tcPr>
                  <w:tcW w:w="774" w:type="dxa"/>
                  <w:tcBorders>
                    <w:top w:val="single" w:color="auto" w:sz="4"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w:t>
                  </w:r>
                </w:p>
              </w:tc>
              <w:tc>
                <w:tcPr>
                  <w:tcW w:w="925" w:type="dxa"/>
                  <w:tcBorders>
                    <w:top w:val="single" w:color="auto" w:sz="4" w:space="0"/>
                    <w:left w:val="single" w:color="auto" w:sz="6" w:space="0"/>
                    <w:bottom w:val="single" w:color="auto" w:sz="6"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82个/a</w:t>
                  </w:r>
                </w:p>
              </w:tc>
            </w:tr>
          </w:tbl>
          <w:p>
            <w:pPr>
              <w:adjustRightInd w:val="0"/>
              <w:snapToGrid w:val="0"/>
              <w:spacing w:line="500" w:lineRule="exact"/>
              <w:rPr>
                <w:b/>
                <w:bCs/>
                <w:sz w:val="24"/>
              </w:rPr>
            </w:pPr>
            <w:r>
              <w:rPr>
                <w:b/>
                <w:bCs/>
                <w:sz w:val="24"/>
              </w:rPr>
              <w:t>4.5.2</w:t>
            </w:r>
            <w:r>
              <w:rPr>
                <w:rFonts w:hAnsi="宋体"/>
                <w:b/>
                <w:bCs/>
                <w:sz w:val="24"/>
              </w:rPr>
              <w:t>固废的收集和暂存</w:t>
            </w:r>
          </w:p>
          <w:p>
            <w:pPr>
              <w:spacing w:line="500" w:lineRule="exact"/>
              <w:ind w:firstLine="480" w:firstLineChars="200"/>
              <w:rPr>
                <w:sz w:val="24"/>
              </w:rPr>
            </w:pPr>
            <w:r>
              <w:rPr>
                <w:rFonts w:hAnsi="宋体"/>
                <w:sz w:val="24"/>
              </w:rPr>
              <w:t>固废贮存必须有固定的场地，必须设置规范的固废堆场或固废仓库。固废堆场或仓库分一般固体和危险固废堆场，均必须能够防雨、防风和防渗漏。</w:t>
            </w:r>
            <w:r>
              <w:rPr>
                <w:sz w:val="24"/>
              </w:rPr>
              <w:t xml:space="preserve"> </w:t>
            </w:r>
          </w:p>
          <w:p>
            <w:pPr>
              <w:spacing w:line="500" w:lineRule="exact"/>
              <w:ind w:firstLine="480" w:firstLineChars="200"/>
              <w:rPr>
                <w:sz w:val="24"/>
              </w:rPr>
            </w:pPr>
            <w:r>
              <w:rPr>
                <w:rFonts w:hAnsi="宋体"/>
                <w:sz w:val="24"/>
              </w:rPr>
              <w:t>根据《一般工业固体废物贮存和填埋污染控制标准》（</w:t>
            </w:r>
            <w:r>
              <w:rPr>
                <w:sz w:val="24"/>
              </w:rPr>
              <w:t>GB18599-2020</w:t>
            </w:r>
            <w:r>
              <w:rPr>
                <w:rFonts w:hAnsi="宋体"/>
                <w:sz w:val="24"/>
              </w:rPr>
              <w:t>）、《危险废物贮存污染控制标准》（</w:t>
            </w:r>
            <w:r>
              <w:rPr>
                <w:sz w:val="24"/>
              </w:rPr>
              <w:t>GB18597-2001</w:t>
            </w:r>
            <w:r>
              <w:rPr>
                <w:rFonts w:hAnsi="宋体"/>
                <w:sz w:val="24"/>
              </w:rPr>
              <w:t>）、《危险废物污染防治技术政策》（环发</w:t>
            </w:r>
            <w:r>
              <w:rPr>
                <w:sz w:val="24"/>
              </w:rPr>
              <w:t>[2001]199</w:t>
            </w:r>
            <w:r>
              <w:rPr>
                <w:rFonts w:hAnsi="宋体"/>
                <w:sz w:val="24"/>
              </w:rPr>
              <w:t>号）、《危险废物收集、贮存、运输技术规范》（</w:t>
            </w:r>
            <w:r>
              <w:rPr>
                <w:sz w:val="24"/>
              </w:rPr>
              <w:t>HJ2025-2012</w:t>
            </w:r>
            <w:r>
              <w:rPr>
                <w:rFonts w:hAnsi="宋体"/>
                <w:sz w:val="24"/>
              </w:rPr>
              <w:t>）、《关于进一步加强危险废物管理防范事故风险的紧急通知》（环办</w:t>
            </w:r>
            <w:r>
              <w:rPr>
                <w:sz w:val="24"/>
              </w:rPr>
              <w:t>[2009]51</w:t>
            </w:r>
            <w:r>
              <w:rPr>
                <w:rFonts w:hAnsi="宋体"/>
                <w:sz w:val="24"/>
              </w:rPr>
              <w:t>号）等文件内容，环评提出相关贮存技术要求。</w:t>
            </w:r>
            <w:r>
              <w:rPr>
                <w:sz w:val="24"/>
              </w:rPr>
              <w:t xml:space="preserve"> </w:t>
            </w:r>
          </w:p>
          <w:p>
            <w:pPr>
              <w:spacing w:line="500" w:lineRule="exact"/>
              <w:ind w:firstLine="480" w:firstLineChars="200"/>
              <w:rPr>
                <w:sz w:val="24"/>
              </w:rPr>
            </w:pPr>
            <w:r>
              <w:rPr>
                <w:rFonts w:hAnsi="宋体"/>
                <w:sz w:val="24"/>
              </w:rPr>
              <w:t>（</w:t>
            </w:r>
            <w:r>
              <w:rPr>
                <w:sz w:val="24"/>
              </w:rPr>
              <w:t>1</w:t>
            </w:r>
            <w:r>
              <w:rPr>
                <w:rFonts w:hAnsi="宋体"/>
                <w:sz w:val="24"/>
              </w:rPr>
              <w:t>）</w:t>
            </w:r>
            <w:r>
              <w:rPr>
                <w:rFonts w:hint="eastAsia" w:hAnsi="宋体"/>
                <w:sz w:val="24"/>
              </w:rPr>
              <w:t>危险废物</w:t>
            </w:r>
            <w:r>
              <w:rPr>
                <w:rFonts w:hAnsi="宋体"/>
                <w:sz w:val="24"/>
              </w:rPr>
              <w:t>和一般固废必须分类暂存，危废暂存库应由建筑资质的单位进行建设，要求防雨、防渗和防漏，以免因地面沉降对地下水造成污染。</w:t>
            </w:r>
          </w:p>
          <w:p>
            <w:pPr>
              <w:spacing w:line="500" w:lineRule="exact"/>
              <w:ind w:firstLine="480" w:firstLineChars="200"/>
              <w:rPr>
                <w:sz w:val="24"/>
              </w:rPr>
            </w:pPr>
            <w:r>
              <w:rPr>
                <w:rFonts w:hAnsi="宋体"/>
                <w:sz w:val="24"/>
              </w:rPr>
              <w:t>（</w:t>
            </w:r>
            <w:r>
              <w:rPr>
                <w:sz w:val="24"/>
              </w:rPr>
              <w:t>2</w:t>
            </w:r>
            <w:r>
              <w:rPr>
                <w:rFonts w:hAnsi="宋体"/>
                <w:sz w:val="24"/>
              </w:rPr>
              <w:t>）危废暂存库应建在易燃易爆等危险品仓库、高压输电线路防护区域以外。不相容的危险废物不能存放在一起。本项目不同危废暂存进行了区域划分，且均在易燃易爆等危险品仓库、高压输电线路防护区域以外。</w:t>
            </w:r>
            <w:r>
              <w:rPr>
                <w:sz w:val="24"/>
              </w:rPr>
              <w:t xml:space="preserve"> </w:t>
            </w:r>
          </w:p>
          <w:p>
            <w:pPr>
              <w:spacing w:line="500" w:lineRule="exact"/>
              <w:ind w:firstLine="480" w:firstLineChars="200"/>
              <w:rPr>
                <w:sz w:val="24"/>
              </w:rPr>
            </w:pPr>
            <w:r>
              <w:rPr>
                <w:rFonts w:hAnsi="宋体"/>
                <w:sz w:val="24"/>
              </w:rPr>
              <w:t>（</w:t>
            </w:r>
            <w:r>
              <w:rPr>
                <w:sz w:val="24"/>
              </w:rPr>
              <w:t>3</w:t>
            </w:r>
            <w:r>
              <w:rPr>
                <w:rFonts w:hAnsi="宋体"/>
                <w:sz w:val="24"/>
              </w:rPr>
              <w:t>）本项目所有危险废物都必须储存于容器中，液体全部桶装且容器加盖密闭，固体全部袋装，存放地面必须硬化且可收集泄漏时地面废液。</w:t>
            </w:r>
            <w:r>
              <w:rPr>
                <w:sz w:val="24"/>
              </w:rPr>
              <w:t xml:space="preserve"> </w:t>
            </w:r>
          </w:p>
          <w:p>
            <w:pPr>
              <w:spacing w:line="500" w:lineRule="exact"/>
              <w:ind w:firstLine="480" w:firstLineChars="200"/>
              <w:rPr>
                <w:sz w:val="24"/>
              </w:rPr>
            </w:pPr>
            <w:r>
              <w:rPr>
                <w:rFonts w:hAnsi="宋体"/>
                <w:sz w:val="24"/>
              </w:rPr>
              <w:t>（</w:t>
            </w:r>
            <w:r>
              <w:rPr>
                <w:sz w:val="24"/>
              </w:rPr>
              <w:t>4</w:t>
            </w:r>
            <w:r>
              <w:rPr>
                <w:rFonts w:hAnsi="宋体"/>
                <w:sz w:val="24"/>
              </w:rPr>
              <w:t>）危废暂存库必须有耐腐蚀的硬化地面，且表面无裂隙；暂存库及设施地面与裙脚要用坚固、防渗的材料建造，且必须与危险废物相容；暂存库及设施应设计堵截泄漏的裙脚，地面与裙脚所围建的容积不低于堵截最大容器的最大储量或总储量的五分之一；暂存库及设施内要有安全照明设施和观察窗口；基础必须防渗，防渗层为至少</w:t>
            </w:r>
            <w:r>
              <w:rPr>
                <w:sz w:val="24"/>
              </w:rPr>
              <w:t>1</w:t>
            </w:r>
            <w:r>
              <w:rPr>
                <w:rFonts w:hAnsi="宋体"/>
                <w:sz w:val="24"/>
              </w:rPr>
              <w:t>米厚粘土层（渗透系数</w:t>
            </w:r>
            <w:r>
              <w:rPr>
                <w:sz w:val="24"/>
              </w:rPr>
              <w:t>≤10</w:t>
            </w:r>
            <w:r>
              <w:rPr>
                <w:sz w:val="24"/>
                <w:vertAlign w:val="superscript"/>
              </w:rPr>
              <w:t>-7</w:t>
            </w:r>
            <w:r>
              <w:rPr>
                <w:rFonts w:hAnsi="宋体"/>
                <w:sz w:val="24"/>
              </w:rPr>
              <w:t>厘米</w:t>
            </w:r>
            <w:r>
              <w:rPr>
                <w:sz w:val="24"/>
              </w:rPr>
              <w:t>/</w:t>
            </w:r>
            <w:r>
              <w:rPr>
                <w:rFonts w:hAnsi="宋体"/>
                <w:sz w:val="24"/>
              </w:rPr>
              <w:t>秒），或</w:t>
            </w:r>
            <w:r>
              <w:rPr>
                <w:sz w:val="24"/>
              </w:rPr>
              <w:t>2</w:t>
            </w:r>
            <w:r>
              <w:rPr>
                <w:rFonts w:hAnsi="宋体"/>
                <w:sz w:val="24"/>
              </w:rPr>
              <w:t>毫米厚高密度聚乙烯，或至少</w:t>
            </w:r>
            <w:r>
              <w:rPr>
                <w:sz w:val="24"/>
              </w:rPr>
              <w:t>2</w:t>
            </w:r>
            <w:r>
              <w:rPr>
                <w:rFonts w:hAnsi="宋体"/>
                <w:sz w:val="24"/>
              </w:rPr>
              <w:t>毫米厚的其它人工材料，渗透系数</w:t>
            </w:r>
            <w:r>
              <w:rPr>
                <w:sz w:val="24"/>
              </w:rPr>
              <w:t>≤10</w:t>
            </w:r>
            <w:r>
              <w:rPr>
                <w:sz w:val="24"/>
                <w:vertAlign w:val="superscript"/>
              </w:rPr>
              <w:t>-10</w:t>
            </w:r>
            <w:r>
              <w:rPr>
                <w:rFonts w:hAnsi="宋体"/>
                <w:sz w:val="24"/>
              </w:rPr>
              <w:t>厘米</w:t>
            </w:r>
            <w:r>
              <w:rPr>
                <w:sz w:val="24"/>
              </w:rPr>
              <w:t>/</w:t>
            </w:r>
            <w:r>
              <w:rPr>
                <w:rFonts w:hAnsi="宋体"/>
                <w:sz w:val="24"/>
              </w:rPr>
              <w:t>秒。</w:t>
            </w:r>
            <w:r>
              <w:rPr>
                <w:sz w:val="24"/>
              </w:rPr>
              <w:t xml:space="preserve"> </w:t>
            </w:r>
          </w:p>
          <w:p>
            <w:pPr>
              <w:spacing w:line="500" w:lineRule="exact"/>
              <w:ind w:firstLine="480" w:firstLineChars="200"/>
              <w:rPr>
                <w:sz w:val="24"/>
              </w:rPr>
            </w:pPr>
            <w:r>
              <w:rPr>
                <w:rFonts w:hAnsi="宋体"/>
                <w:sz w:val="24"/>
              </w:rPr>
              <w:t>（</w:t>
            </w:r>
            <w:r>
              <w:rPr>
                <w:sz w:val="24"/>
              </w:rPr>
              <w:t>5</w:t>
            </w:r>
            <w:r>
              <w:rPr>
                <w:rFonts w:hAnsi="宋体"/>
                <w:sz w:val="24"/>
              </w:rPr>
              <w:t>）危废暂存库内四周设置导流沟，并设置应急池。</w:t>
            </w:r>
            <w:r>
              <w:rPr>
                <w:sz w:val="24"/>
              </w:rPr>
              <w:t xml:space="preserve"> </w:t>
            </w:r>
          </w:p>
          <w:p>
            <w:pPr>
              <w:spacing w:line="500" w:lineRule="exact"/>
              <w:ind w:firstLine="480" w:firstLineChars="200"/>
              <w:rPr>
                <w:sz w:val="24"/>
              </w:rPr>
            </w:pPr>
            <w:r>
              <w:rPr>
                <w:rFonts w:hAnsi="宋体"/>
                <w:sz w:val="24"/>
              </w:rPr>
              <w:t>（</w:t>
            </w:r>
            <w:r>
              <w:rPr>
                <w:sz w:val="24"/>
              </w:rPr>
              <w:t>6</w:t>
            </w:r>
            <w:r>
              <w:rPr>
                <w:rFonts w:hAnsi="宋体"/>
                <w:sz w:val="24"/>
              </w:rPr>
              <w:t>）危废暂存库及设施都必须按《环境保护图形标志</w:t>
            </w:r>
            <w:r>
              <w:rPr>
                <w:sz w:val="24"/>
              </w:rPr>
              <w:t>-</w:t>
            </w:r>
            <w:r>
              <w:rPr>
                <w:rFonts w:hAnsi="宋体"/>
                <w:sz w:val="24"/>
              </w:rPr>
              <w:t>固体废物贮存（处置）场》（</w:t>
            </w:r>
            <w:r>
              <w:rPr>
                <w:sz w:val="24"/>
              </w:rPr>
              <w:t>GB15562.2-1995</w:t>
            </w:r>
            <w:r>
              <w:rPr>
                <w:rFonts w:hAnsi="宋体"/>
                <w:sz w:val="24"/>
              </w:rPr>
              <w:t>）的规定设置警示标志。危废暂存库及设施周围应设置防护设施。危废暂存库及设施应配备通讯设备、照明设施、安全防护服装及工具，并设有应急防护设施。危废暂存库及设施内清理出来的泄漏物，一律按危险废物处理。</w:t>
            </w:r>
            <w:r>
              <w:rPr>
                <w:sz w:val="24"/>
              </w:rPr>
              <w:t xml:space="preserve"> </w:t>
            </w:r>
          </w:p>
          <w:p>
            <w:pPr>
              <w:spacing w:line="500" w:lineRule="exact"/>
              <w:ind w:firstLine="480" w:firstLineChars="200"/>
              <w:rPr>
                <w:b/>
                <w:bCs/>
                <w:sz w:val="24"/>
              </w:rPr>
            </w:pPr>
            <w:r>
              <w:rPr>
                <w:rFonts w:hAnsi="宋体"/>
                <w:sz w:val="24"/>
              </w:rPr>
              <w:t>（</w:t>
            </w:r>
            <w:r>
              <w:rPr>
                <w:sz w:val="24"/>
              </w:rPr>
              <w:t>7</w:t>
            </w:r>
            <w:r>
              <w:rPr>
                <w:rFonts w:hAnsi="宋体"/>
                <w:sz w:val="24"/>
              </w:rPr>
              <w:t>）生活垃圾可不纳入工业固废管理，贮存采用生活垃圾分类箱，每日委托环卫所清运。</w:t>
            </w:r>
          </w:p>
          <w:p>
            <w:pPr>
              <w:adjustRightInd w:val="0"/>
              <w:snapToGrid w:val="0"/>
              <w:spacing w:line="500" w:lineRule="exact"/>
              <w:rPr>
                <w:bCs/>
                <w:kern w:val="0"/>
                <w:szCs w:val="21"/>
              </w:rPr>
            </w:pPr>
            <w:r>
              <w:rPr>
                <w:b/>
                <w:bCs/>
                <w:sz w:val="24"/>
              </w:rPr>
              <w:t>4.5.3</w:t>
            </w:r>
            <w:r>
              <w:rPr>
                <w:rFonts w:hAnsi="宋体"/>
                <w:b/>
                <w:bCs/>
                <w:sz w:val="24"/>
              </w:rPr>
              <w:t>危废暂存场所选址和运输过程污染防治</w:t>
            </w:r>
          </w:p>
          <w:p>
            <w:pPr>
              <w:spacing w:line="500" w:lineRule="exact"/>
              <w:ind w:firstLine="480" w:firstLineChars="200"/>
              <w:rPr>
                <w:strike/>
                <w:sz w:val="24"/>
                <w:szCs w:val="20"/>
                <w:highlight w:val="green"/>
              </w:rPr>
            </w:pPr>
            <w:r>
              <w:rPr>
                <w:rFonts w:hAnsi="宋体"/>
                <w:sz w:val="24"/>
                <w:szCs w:val="20"/>
              </w:rPr>
              <w:t>（</w:t>
            </w:r>
            <w:r>
              <w:rPr>
                <w:sz w:val="24"/>
                <w:szCs w:val="20"/>
              </w:rPr>
              <w:t>1</w:t>
            </w:r>
            <w:r>
              <w:rPr>
                <w:rFonts w:hAnsi="宋体"/>
                <w:sz w:val="24"/>
                <w:szCs w:val="20"/>
              </w:rPr>
              <w:t>）选址合理性分析</w:t>
            </w:r>
          </w:p>
          <w:p>
            <w:pPr>
              <w:spacing w:line="500" w:lineRule="exact"/>
              <w:ind w:firstLine="480" w:firstLineChars="200"/>
              <w:rPr>
                <w:sz w:val="24"/>
              </w:rPr>
            </w:pPr>
            <w:r>
              <w:rPr>
                <w:rFonts w:hAnsi="宋体"/>
                <w:sz w:val="24"/>
              </w:rPr>
              <w:t>企业拟于生产车间</w:t>
            </w:r>
            <w:r>
              <w:rPr>
                <w:rFonts w:hint="eastAsia" w:hAnsi="宋体"/>
                <w:sz w:val="24"/>
                <w:lang w:eastAsia="zh-CN"/>
              </w:rPr>
              <w:t>西</w:t>
            </w:r>
            <w:r>
              <w:rPr>
                <w:rFonts w:hAnsi="宋体"/>
                <w:sz w:val="24"/>
              </w:rPr>
              <w:t>南侧设</w:t>
            </w:r>
            <w:r>
              <w:rPr>
                <w:sz w:val="24"/>
              </w:rPr>
              <w:t>10m</w:t>
            </w:r>
            <w:r>
              <w:rPr>
                <w:sz w:val="24"/>
                <w:vertAlign w:val="superscript"/>
              </w:rPr>
              <w:t>2</w:t>
            </w:r>
            <w:r>
              <w:rPr>
                <w:rFonts w:hAnsi="宋体"/>
                <w:sz w:val="24"/>
              </w:rPr>
              <w:t>危险废物暂存区，可满足贮存要求。危废暂存区应满足防风、防雨要求，并对地面进行混凝土硬化和防渗处理，各类液体类危险废物都配备相容的容器盛装，并加盖密封。固体类废物液均置于吨袋内分质、分类堆放。在此基础上，正常情况下不会对环境空气、地表水、地下水、土壤以及环境敏感保护目标造成影响。</w:t>
            </w:r>
          </w:p>
          <w:p>
            <w:pPr>
              <w:pStyle w:val="333"/>
              <w:ind w:left="420" w:leftChars="200" w:firstLine="0" w:firstLineChars="0"/>
            </w:pPr>
            <w:r>
              <w:rPr>
                <w:rFonts w:hAnsi="宋体"/>
              </w:rPr>
              <w:t>（</w:t>
            </w:r>
            <w:r>
              <w:t>2</w:t>
            </w:r>
            <w:r>
              <w:rPr>
                <w:rFonts w:hAnsi="宋体"/>
              </w:rPr>
              <w:t>）环境管理要求</w:t>
            </w:r>
          </w:p>
          <w:p>
            <w:pPr>
              <w:spacing w:line="500" w:lineRule="exact"/>
              <w:ind w:firstLine="480" w:firstLineChars="200"/>
              <w:rPr>
                <w:sz w:val="24"/>
              </w:rPr>
            </w:pPr>
            <w:r>
              <w:rPr>
                <w:sz w:val="24"/>
              </w:rPr>
              <w:t>a</w:t>
            </w:r>
            <w:r>
              <w:rPr>
                <w:rFonts w:hAnsi="宋体"/>
                <w:sz w:val="24"/>
              </w:rPr>
              <w:t>）危废运输过程管理要求</w:t>
            </w:r>
          </w:p>
          <w:p>
            <w:pPr>
              <w:spacing w:line="500" w:lineRule="exact"/>
              <w:ind w:firstLine="480" w:firstLineChars="200"/>
              <w:rPr>
                <w:sz w:val="24"/>
              </w:rPr>
            </w:pPr>
            <w:r>
              <w:rPr>
                <w:rFonts w:hAnsi="宋体"/>
                <w:sz w:val="24"/>
              </w:rPr>
              <w:t>危险废物内部转运应综合考虑厂区的实际情况确定转运路线，尽量避开尽量避开生活设施和办公区域等敏感目标，同时制定相应的事故应急预案并配备必要的事故应急物质，做好风险防范工作。只要加强运输管理，不会对运输沿线敏感目标产生较大影响。</w:t>
            </w:r>
          </w:p>
          <w:p>
            <w:pPr>
              <w:spacing w:line="500" w:lineRule="exact"/>
              <w:ind w:firstLine="480" w:firstLineChars="200"/>
              <w:rPr>
                <w:sz w:val="24"/>
              </w:rPr>
            </w:pPr>
            <w:r>
              <w:rPr>
                <w:sz w:val="24"/>
              </w:rPr>
              <w:t>b</w:t>
            </w:r>
            <w:r>
              <w:rPr>
                <w:rFonts w:hAnsi="宋体"/>
                <w:sz w:val="24"/>
              </w:rPr>
              <w:t>）危废委托利用或处置管理要求</w:t>
            </w:r>
          </w:p>
          <w:p>
            <w:pPr>
              <w:spacing w:line="500" w:lineRule="exact"/>
              <w:ind w:firstLine="480" w:firstLineChars="200"/>
              <w:rPr>
                <w:sz w:val="24"/>
              </w:rPr>
            </w:pPr>
            <w:r>
              <w:rPr>
                <w:rFonts w:hAnsi="宋体"/>
                <w:sz w:val="24"/>
              </w:rPr>
              <w:t>本项目危废要求均委托有资质单位处理，能得到妥善处置。委托处置时对受托方的主体资格和技术能力进行核实，依法签订书面合同，在合同中约定污染防治要求。</w:t>
            </w:r>
          </w:p>
          <w:p>
            <w:pPr>
              <w:spacing w:line="500" w:lineRule="exact"/>
              <w:ind w:firstLine="480" w:firstLineChars="200"/>
              <w:rPr>
                <w:sz w:val="24"/>
              </w:rPr>
            </w:pPr>
            <w:r>
              <w:rPr>
                <w:sz w:val="24"/>
              </w:rPr>
              <w:t>c</w:t>
            </w:r>
            <w:r>
              <w:rPr>
                <w:rFonts w:hAnsi="宋体"/>
                <w:sz w:val="24"/>
              </w:rPr>
              <w:t>）其他管理要求</w:t>
            </w:r>
          </w:p>
          <w:p>
            <w:pPr>
              <w:spacing w:line="500" w:lineRule="exact"/>
              <w:ind w:firstLine="480" w:firstLineChars="200"/>
              <w:rPr>
                <w:sz w:val="24"/>
              </w:rPr>
            </w:pPr>
            <w:r>
              <w:rPr>
                <w:rFonts w:hAnsi="宋体"/>
                <w:sz w:val="24"/>
              </w:rPr>
              <w:t>要求企业建立健全工业固体废物产生、收集、贮存、运输、利用、处置全过程的污染环境防治责任制度；危险废物履行申报的管理制度，在危险废物转移过程中，均应遵从《危险废物转移联单管理办法》及其他相关规定的要求，执行报批和转移联单等制度；建立工业固体废物管理台账，如实记录产生工业固体废物的种类、数量、流向、贮存、利用、处置等信息，实现工业固体废物可追溯、可查询，并采取防治工业固体废物污染环境的措施。</w:t>
            </w:r>
          </w:p>
          <w:p>
            <w:pPr>
              <w:spacing w:line="500" w:lineRule="exact"/>
              <w:ind w:firstLine="480" w:firstLineChars="200"/>
              <w:rPr>
                <w:sz w:val="24"/>
                <w:szCs w:val="20"/>
              </w:rPr>
            </w:pPr>
            <w:r>
              <w:rPr>
                <w:rFonts w:hAnsi="宋体"/>
                <w:sz w:val="24"/>
                <w:szCs w:val="20"/>
              </w:rPr>
              <w:t>（</w:t>
            </w:r>
            <w:r>
              <w:rPr>
                <w:sz w:val="24"/>
                <w:szCs w:val="20"/>
              </w:rPr>
              <w:t>3</w:t>
            </w:r>
            <w:r>
              <w:rPr>
                <w:rFonts w:hAnsi="宋体"/>
                <w:sz w:val="24"/>
                <w:szCs w:val="20"/>
              </w:rPr>
              <w:t>）存储能力分析</w:t>
            </w:r>
          </w:p>
          <w:p>
            <w:pPr>
              <w:spacing w:line="500" w:lineRule="exact"/>
              <w:ind w:firstLine="480" w:firstLineChars="200"/>
              <w:rPr>
                <w:sz w:val="24"/>
                <w:szCs w:val="20"/>
              </w:rPr>
            </w:pPr>
            <w:r>
              <w:rPr>
                <w:rFonts w:hAnsi="宋体"/>
                <w:sz w:val="24"/>
              </w:rPr>
              <w:t>本项目危废仓库面积约为</w:t>
            </w:r>
            <w:r>
              <w:rPr>
                <w:sz w:val="24"/>
              </w:rPr>
              <w:t>10m</w:t>
            </w:r>
            <w:r>
              <w:rPr>
                <w:sz w:val="24"/>
                <w:vertAlign w:val="superscript"/>
              </w:rPr>
              <w:t>2</w:t>
            </w:r>
            <w:r>
              <w:rPr>
                <w:rFonts w:hAnsi="宋体"/>
                <w:sz w:val="24"/>
              </w:rPr>
              <w:t>，本项目实施后危险废物产生量为</w:t>
            </w:r>
            <w:r>
              <w:rPr>
                <w:rFonts w:hint="eastAsia"/>
                <w:sz w:val="24"/>
                <w:lang w:val="en-US" w:eastAsia="zh-CN"/>
              </w:rPr>
              <w:t>5.73</w:t>
            </w:r>
            <w:r>
              <w:rPr>
                <w:sz w:val="24"/>
              </w:rPr>
              <w:t>t/a</w:t>
            </w:r>
            <w:r>
              <w:rPr>
                <w:rFonts w:hAnsi="宋体"/>
                <w:sz w:val="24"/>
              </w:rPr>
              <w:t>。在暂存周期为</w:t>
            </w:r>
            <w:r>
              <w:rPr>
                <w:rFonts w:hint="eastAsia"/>
                <w:sz w:val="24"/>
              </w:rPr>
              <w:t>1年</w:t>
            </w:r>
            <w:r>
              <w:rPr>
                <w:rFonts w:hAnsi="宋体"/>
                <w:sz w:val="24"/>
              </w:rPr>
              <w:t>的情况下，企业危废暂存场所满足暂存要求。</w:t>
            </w:r>
          </w:p>
          <w:p>
            <w:pPr>
              <w:spacing w:line="500" w:lineRule="exact"/>
              <w:ind w:firstLine="480" w:firstLineChars="200"/>
              <w:rPr>
                <w:rFonts w:hAnsi="宋体"/>
                <w:b/>
                <w:szCs w:val="21"/>
              </w:rPr>
            </w:pPr>
            <w:r>
              <w:rPr>
                <w:rFonts w:hAnsi="宋体"/>
                <w:sz w:val="24"/>
                <w:szCs w:val="20"/>
              </w:rPr>
              <w:t>危险废物暂存场所基本情况见表</w:t>
            </w:r>
            <w:r>
              <w:rPr>
                <w:sz w:val="24"/>
                <w:szCs w:val="20"/>
              </w:rPr>
              <w:t>4.5-3</w:t>
            </w:r>
            <w:r>
              <w:rPr>
                <w:rFonts w:hAnsi="宋体"/>
                <w:sz w:val="24"/>
                <w:szCs w:val="20"/>
              </w:rPr>
              <w:t>。</w:t>
            </w:r>
          </w:p>
          <w:p>
            <w:pPr>
              <w:spacing w:line="460" w:lineRule="exact"/>
              <w:contextualSpacing/>
              <w:jc w:val="center"/>
              <w:rPr>
                <w:b/>
                <w:szCs w:val="21"/>
              </w:rPr>
            </w:pPr>
            <w:r>
              <w:rPr>
                <w:rFonts w:hAnsi="宋体"/>
                <w:b/>
                <w:szCs w:val="21"/>
              </w:rPr>
              <w:t>表</w:t>
            </w:r>
            <w:r>
              <w:rPr>
                <w:b/>
                <w:szCs w:val="21"/>
              </w:rPr>
              <w:t xml:space="preserve">4.5-3  </w:t>
            </w:r>
            <w:r>
              <w:rPr>
                <w:rFonts w:hAnsi="宋体"/>
                <w:b/>
                <w:szCs w:val="21"/>
              </w:rPr>
              <w:t>建设项目危险废物暂存场所基本情况表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52"/>
              <w:gridCol w:w="812"/>
              <w:gridCol w:w="749"/>
              <w:gridCol w:w="1059"/>
              <w:gridCol w:w="982"/>
              <w:gridCol w:w="413"/>
              <w:gridCol w:w="656"/>
              <w:gridCol w:w="812"/>
              <w:gridCol w:w="604"/>
              <w:gridCol w:w="429"/>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 w:val="18"/>
                      <w:szCs w:val="18"/>
                    </w:rPr>
                  </w:pPr>
                  <w:r>
                    <w:rPr>
                      <w:rFonts w:hAnsi="宋体"/>
                      <w:sz w:val="18"/>
                      <w:szCs w:val="18"/>
                    </w:rPr>
                    <w:t>序号</w:t>
                  </w:r>
                </w:p>
              </w:tc>
              <w:tc>
                <w:tcPr>
                  <w:tcW w:w="65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pacing w:val="-6"/>
                      <w:sz w:val="18"/>
                      <w:szCs w:val="18"/>
                    </w:rPr>
                  </w:pPr>
                  <w:r>
                    <w:rPr>
                      <w:rFonts w:hAnsi="宋体"/>
                      <w:spacing w:val="-6"/>
                      <w:sz w:val="18"/>
                      <w:szCs w:val="18"/>
                    </w:rPr>
                    <w:t>暂存场所名称</w:t>
                  </w:r>
                </w:p>
              </w:tc>
              <w:tc>
                <w:tcPr>
                  <w:tcW w:w="81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 w:val="18"/>
                      <w:szCs w:val="18"/>
                    </w:rPr>
                  </w:pPr>
                  <w:r>
                    <w:rPr>
                      <w:rFonts w:hAnsi="宋体"/>
                      <w:sz w:val="18"/>
                      <w:szCs w:val="18"/>
                    </w:rPr>
                    <w:t>固体废物名称</w:t>
                  </w:r>
                </w:p>
              </w:tc>
              <w:tc>
                <w:tcPr>
                  <w:tcW w:w="749"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 w:val="18"/>
                      <w:szCs w:val="18"/>
                    </w:rPr>
                  </w:pPr>
                  <w:r>
                    <w:rPr>
                      <w:rFonts w:hAnsi="宋体"/>
                      <w:sz w:val="18"/>
                      <w:szCs w:val="18"/>
                    </w:rPr>
                    <w:t>危险废物类别</w:t>
                  </w:r>
                </w:p>
              </w:tc>
              <w:tc>
                <w:tcPr>
                  <w:tcW w:w="1059"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sz w:val="18"/>
                      <w:szCs w:val="18"/>
                    </w:rPr>
                  </w:pPr>
                  <w:r>
                    <w:rPr>
                      <w:rFonts w:hAnsi="宋体"/>
                      <w:sz w:val="18"/>
                      <w:szCs w:val="18"/>
                    </w:rPr>
                    <w:t>危险废物代码</w:t>
                  </w:r>
                </w:p>
              </w:tc>
              <w:tc>
                <w:tcPr>
                  <w:tcW w:w="98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 w:val="18"/>
                      <w:szCs w:val="18"/>
                    </w:rPr>
                  </w:pPr>
                  <w:r>
                    <w:rPr>
                      <w:rFonts w:hAnsi="宋体"/>
                      <w:sz w:val="18"/>
                      <w:szCs w:val="18"/>
                    </w:rPr>
                    <w:t>产生</w:t>
                  </w:r>
                </w:p>
                <w:p>
                  <w:pPr>
                    <w:adjustRightInd w:val="0"/>
                    <w:snapToGrid w:val="0"/>
                    <w:jc w:val="center"/>
                    <w:rPr>
                      <w:sz w:val="18"/>
                      <w:szCs w:val="18"/>
                    </w:rPr>
                  </w:pPr>
                  <w:r>
                    <w:rPr>
                      <w:rFonts w:hAnsi="宋体"/>
                      <w:sz w:val="18"/>
                      <w:szCs w:val="18"/>
                    </w:rPr>
                    <w:t>工序</w:t>
                  </w:r>
                </w:p>
              </w:tc>
              <w:tc>
                <w:tcPr>
                  <w:tcW w:w="41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 w:val="18"/>
                      <w:szCs w:val="18"/>
                    </w:rPr>
                  </w:pPr>
                  <w:r>
                    <w:rPr>
                      <w:rFonts w:hAnsi="宋体"/>
                      <w:sz w:val="18"/>
                      <w:szCs w:val="18"/>
                    </w:rPr>
                    <w:t>位置</w:t>
                  </w:r>
                </w:p>
              </w:tc>
              <w:tc>
                <w:tcPr>
                  <w:tcW w:w="65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pacing w:val="-10"/>
                      <w:sz w:val="18"/>
                      <w:szCs w:val="18"/>
                    </w:rPr>
                  </w:pPr>
                  <w:r>
                    <w:rPr>
                      <w:rFonts w:hAnsi="宋体"/>
                      <w:spacing w:val="-10"/>
                      <w:sz w:val="18"/>
                      <w:szCs w:val="18"/>
                    </w:rPr>
                    <w:t>占地面积</w:t>
                  </w:r>
                </w:p>
              </w:tc>
              <w:tc>
                <w:tcPr>
                  <w:tcW w:w="81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 w:val="18"/>
                      <w:szCs w:val="18"/>
                    </w:rPr>
                  </w:pPr>
                  <w:r>
                    <w:rPr>
                      <w:rFonts w:hAnsi="宋体"/>
                      <w:sz w:val="18"/>
                      <w:szCs w:val="18"/>
                    </w:rPr>
                    <w:t>存储方式</w:t>
                  </w:r>
                </w:p>
              </w:tc>
              <w:tc>
                <w:tcPr>
                  <w:tcW w:w="60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pacing w:val="-20"/>
                      <w:sz w:val="18"/>
                      <w:szCs w:val="18"/>
                    </w:rPr>
                  </w:pPr>
                  <w:r>
                    <w:rPr>
                      <w:rFonts w:hAnsi="宋体"/>
                      <w:spacing w:val="-20"/>
                      <w:sz w:val="18"/>
                      <w:szCs w:val="18"/>
                    </w:rPr>
                    <w:t>存储能力（</w:t>
                  </w:r>
                  <w:r>
                    <w:rPr>
                      <w:spacing w:val="-20"/>
                      <w:sz w:val="18"/>
                      <w:szCs w:val="18"/>
                    </w:rPr>
                    <w:t>t</w:t>
                  </w:r>
                  <w:r>
                    <w:rPr>
                      <w:rFonts w:hAnsi="宋体"/>
                      <w:spacing w:val="-20"/>
                      <w:sz w:val="18"/>
                      <w:szCs w:val="18"/>
                    </w:rPr>
                    <w:t>）</w:t>
                  </w:r>
                </w:p>
              </w:tc>
              <w:tc>
                <w:tcPr>
                  <w:tcW w:w="4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B0F0"/>
                      <w:sz w:val="18"/>
                      <w:szCs w:val="18"/>
                    </w:rPr>
                  </w:pPr>
                  <w:r>
                    <w:rPr>
                      <w:rFonts w:hAnsi="宋体"/>
                      <w:color w:val="000000"/>
                      <w:sz w:val="18"/>
                      <w:szCs w:val="18"/>
                    </w:rPr>
                    <w:t>危险特性</w:t>
                  </w:r>
                </w:p>
              </w:tc>
              <w:tc>
                <w:tcPr>
                  <w:tcW w:w="6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pacing w:val="-10"/>
                      <w:sz w:val="18"/>
                      <w:szCs w:val="18"/>
                    </w:rPr>
                  </w:pPr>
                  <w:r>
                    <w:rPr>
                      <w:rFonts w:hAnsi="宋体"/>
                      <w:spacing w:val="-10"/>
                      <w:sz w:val="18"/>
                      <w:szCs w:val="18"/>
                    </w:rPr>
                    <w:t>储存周期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tcBorders>
                    <w:top w:val="single" w:color="auto" w:sz="4" w:space="0"/>
                    <w:left w:val="single" w:color="auto" w:sz="4" w:space="0"/>
                    <w:right w:val="single" w:color="auto" w:sz="4" w:space="0"/>
                  </w:tcBorders>
                  <w:noWrap/>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1</w:t>
                  </w:r>
                </w:p>
              </w:tc>
              <w:tc>
                <w:tcPr>
                  <w:tcW w:w="652" w:type="dxa"/>
                  <w:vMerge w:val="restart"/>
                  <w:tcBorders>
                    <w:top w:val="single" w:color="auto" w:sz="4" w:space="0"/>
                    <w:left w:val="single" w:color="auto" w:sz="4" w:space="0"/>
                    <w:right w:val="single" w:color="auto" w:sz="4" w:space="0"/>
                  </w:tcBorders>
                  <w:noWrap/>
                  <w:vAlign w:val="center"/>
                </w:tcPr>
                <w:p>
                  <w:pPr>
                    <w:adjustRightInd w:val="0"/>
                    <w:snapToGrid w:val="0"/>
                    <w:jc w:val="center"/>
                    <w:rPr>
                      <w:bCs/>
                      <w:sz w:val="18"/>
                      <w:szCs w:val="18"/>
                    </w:rPr>
                  </w:pPr>
                  <w:r>
                    <w:rPr>
                      <w:rFonts w:hAnsi="宋体"/>
                      <w:bCs/>
                      <w:sz w:val="18"/>
                      <w:szCs w:val="18"/>
                    </w:rPr>
                    <w:t>危废仓库</w:t>
                  </w:r>
                </w:p>
              </w:tc>
              <w:tc>
                <w:tcPr>
                  <w:tcW w:w="81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rPr>
                    <w:t>废机油</w:t>
                  </w:r>
                </w:p>
              </w:tc>
              <w:tc>
                <w:tcPr>
                  <w:tcW w:w="7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eastAsia="宋体"/>
                      <w:spacing w:val="-20"/>
                      <w:sz w:val="18"/>
                      <w:szCs w:val="18"/>
                      <w:lang w:val="en-US" w:eastAsia="zh-CN"/>
                    </w:rPr>
                  </w:pPr>
                  <w:r>
                    <w:rPr>
                      <w:spacing w:val="-20"/>
                      <w:sz w:val="18"/>
                      <w:szCs w:val="18"/>
                    </w:rPr>
                    <w:t>HW</w:t>
                  </w:r>
                  <w:r>
                    <w:rPr>
                      <w:rFonts w:hint="eastAsia"/>
                      <w:spacing w:val="-20"/>
                      <w:sz w:val="18"/>
                      <w:szCs w:val="18"/>
                      <w:lang w:val="en-US" w:eastAsia="zh-CN"/>
                    </w:rPr>
                    <w:t>08</w:t>
                  </w:r>
                </w:p>
              </w:tc>
              <w:tc>
                <w:tcPr>
                  <w:tcW w:w="1059"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Times New Roman" w:hAnsi="Times New Roman" w:eastAsia="宋体" w:cs="Times New Roman"/>
                      <w:bCs/>
                      <w:kern w:val="2"/>
                      <w:sz w:val="18"/>
                      <w:szCs w:val="18"/>
                      <w:lang w:val="en-US" w:eastAsia="zh-CN" w:bidi="ar-SA"/>
                    </w:rPr>
                  </w:pPr>
                  <w:r>
                    <w:rPr>
                      <w:rFonts w:ascii="Times New Roman" w:hAnsi="Times New Roman" w:eastAsia="宋体" w:cs="Times New Roman"/>
                      <w:bCs/>
                      <w:sz w:val="18"/>
                      <w:szCs w:val="18"/>
                    </w:rPr>
                    <w:t>900-249-08</w:t>
                  </w:r>
                </w:p>
              </w:tc>
              <w:tc>
                <w:tcPr>
                  <w:tcW w:w="98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rPr>
                    <w:t>设备维修</w:t>
                  </w:r>
                </w:p>
              </w:tc>
              <w:tc>
                <w:tcPr>
                  <w:tcW w:w="413" w:type="dxa"/>
                  <w:vMerge w:val="restart"/>
                  <w:tcBorders>
                    <w:top w:val="single" w:color="auto" w:sz="4" w:space="0"/>
                    <w:left w:val="single" w:color="auto" w:sz="4" w:space="0"/>
                    <w:right w:val="single" w:color="auto" w:sz="4" w:space="0"/>
                  </w:tcBorders>
                  <w:noWrap/>
                  <w:vAlign w:val="center"/>
                </w:tcPr>
                <w:p>
                  <w:pPr>
                    <w:adjustRightInd w:val="0"/>
                    <w:snapToGrid w:val="0"/>
                    <w:jc w:val="center"/>
                    <w:rPr>
                      <w:sz w:val="18"/>
                      <w:szCs w:val="18"/>
                    </w:rPr>
                  </w:pPr>
                  <w:r>
                    <w:rPr>
                      <w:rFonts w:hint="eastAsia" w:hAnsi="宋体"/>
                      <w:sz w:val="18"/>
                      <w:szCs w:val="18"/>
                      <w:lang w:eastAsia="zh-CN"/>
                    </w:rPr>
                    <w:t>西</w:t>
                  </w:r>
                  <w:r>
                    <w:rPr>
                      <w:rFonts w:hAnsi="宋体"/>
                      <w:sz w:val="18"/>
                      <w:szCs w:val="18"/>
                    </w:rPr>
                    <w:t>南侧</w:t>
                  </w:r>
                </w:p>
              </w:tc>
              <w:tc>
                <w:tcPr>
                  <w:tcW w:w="656" w:type="dxa"/>
                  <w:vMerge w:val="restart"/>
                  <w:tcBorders>
                    <w:top w:val="single" w:color="auto" w:sz="4" w:space="0"/>
                    <w:left w:val="single" w:color="auto" w:sz="4" w:space="0"/>
                    <w:right w:val="single" w:color="auto" w:sz="4" w:space="0"/>
                  </w:tcBorders>
                  <w:noWrap/>
                  <w:vAlign w:val="center"/>
                </w:tcPr>
                <w:p>
                  <w:pPr>
                    <w:adjustRightInd w:val="0"/>
                    <w:snapToGrid w:val="0"/>
                    <w:jc w:val="center"/>
                    <w:rPr>
                      <w:bCs/>
                      <w:spacing w:val="-20"/>
                      <w:sz w:val="18"/>
                      <w:szCs w:val="18"/>
                    </w:rPr>
                  </w:pPr>
                  <w:r>
                    <w:rPr>
                      <w:rFonts w:hint="eastAsia"/>
                      <w:bCs/>
                      <w:spacing w:val="-20"/>
                      <w:sz w:val="18"/>
                      <w:szCs w:val="18"/>
                    </w:rPr>
                    <w:t>10</w:t>
                  </w:r>
                  <w:r>
                    <w:rPr>
                      <w:bCs/>
                      <w:spacing w:val="-20"/>
                      <w:sz w:val="18"/>
                      <w:szCs w:val="18"/>
                    </w:rPr>
                    <w:t>m</w:t>
                  </w:r>
                  <w:r>
                    <w:rPr>
                      <w:bCs/>
                      <w:spacing w:val="-20"/>
                      <w:sz w:val="18"/>
                      <w:szCs w:val="18"/>
                      <w:vertAlign w:val="superscript"/>
                    </w:rPr>
                    <w:t>2</w:t>
                  </w:r>
                </w:p>
              </w:tc>
              <w:tc>
                <w:tcPr>
                  <w:tcW w:w="812" w:type="dxa"/>
                  <w:tcBorders>
                    <w:top w:val="single" w:color="auto" w:sz="4" w:space="0"/>
                    <w:left w:val="single" w:color="auto" w:sz="4" w:space="0"/>
                    <w:right w:val="single" w:color="auto" w:sz="4" w:space="0"/>
                  </w:tcBorders>
                  <w:noWrap/>
                  <w:vAlign w:val="center"/>
                </w:tcPr>
                <w:p>
                  <w:pPr>
                    <w:adjustRightInd w:val="0"/>
                    <w:snapToGrid w:val="0"/>
                    <w:jc w:val="center"/>
                    <w:rPr>
                      <w:rFonts w:hint="eastAsia" w:hAnsi="宋体" w:eastAsia="宋体"/>
                      <w:sz w:val="18"/>
                      <w:szCs w:val="18"/>
                      <w:lang w:eastAsia="zh-CN"/>
                    </w:rPr>
                  </w:pPr>
                  <w:r>
                    <w:rPr>
                      <w:rFonts w:hint="eastAsia" w:hAnsi="宋体"/>
                      <w:sz w:val="18"/>
                      <w:szCs w:val="18"/>
                      <w:lang w:eastAsia="zh-CN"/>
                    </w:rPr>
                    <w:t>桶装</w:t>
                  </w:r>
                </w:p>
              </w:tc>
              <w:tc>
                <w:tcPr>
                  <w:tcW w:w="604" w:type="dxa"/>
                  <w:vMerge w:val="restart"/>
                  <w:tcBorders>
                    <w:top w:val="single" w:color="auto" w:sz="4" w:space="0"/>
                    <w:left w:val="single" w:color="auto" w:sz="4" w:space="0"/>
                    <w:right w:val="single" w:color="auto" w:sz="4" w:space="0"/>
                  </w:tcBorders>
                  <w:noWrap/>
                  <w:vAlign w:val="center"/>
                </w:tcPr>
                <w:p>
                  <w:pPr>
                    <w:adjustRightInd w:val="0"/>
                    <w:snapToGrid w:val="0"/>
                    <w:jc w:val="center"/>
                    <w:rPr>
                      <w:sz w:val="18"/>
                      <w:szCs w:val="18"/>
                    </w:rPr>
                  </w:pPr>
                  <w:r>
                    <w:rPr>
                      <w:rFonts w:hint="eastAsia"/>
                      <w:sz w:val="18"/>
                      <w:szCs w:val="18"/>
                    </w:rPr>
                    <w:t>10</w:t>
                  </w:r>
                </w:p>
              </w:tc>
              <w:tc>
                <w:tcPr>
                  <w:tcW w:w="429" w:type="dxa"/>
                  <w:tcBorders>
                    <w:top w:val="single" w:color="auto" w:sz="4" w:space="0"/>
                    <w:left w:val="single" w:color="auto" w:sz="4" w:space="0"/>
                    <w:right w:val="single" w:color="auto" w:sz="4" w:space="0"/>
                  </w:tcBorders>
                  <w:vAlign w:val="center"/>
                </w:tcPr>
                <w:p>
                  <w:pPr>
                    <w:topLinePunct/>
                    <w:adjustRightInd w:val="0"/>
                    <w:snapToGrid w:val="0"/>
                    <w:jc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rPr>
                    <w:t>T，I</w:t>
                  </w:r>
                </w:p>
              </w:tc>
              <w:tc>
                <w:tcPr>
                  <w:tcW w:w="632" w:type="dxa"/>
                  <w:vMerge w:val="restart"/>
                  <w:tcBorders>
                    <w:top w:val="single" w:color="auto" w:sz="4" w:space="0"/>
                    <w:left w:val="single" w:color="auto" w:sz="4" w:space="0"/>
                    <w:right w:val="single" w:color="auto" w:sz="4" w:space="0"/>
                  </w:tcBorders>
                  <w:noWrap/>
                  <w:vAlign w:val="center"/>
                </w:tcPr>
                <w:p>
                  <w:pPr>
                    <w:adjustRightInd w:val="0"/>
                    <w:snapToGrid w:val="0"/>
                    <w:jc w:val="center"/>
                    <w:rPr>
                      <w:sz w:val="18"/>
                      <w:szCs w:val="18"/>
                    </w:rPr>
                  </w:pPr>
                  <w:r>
                    <w:rPr>
                      <w:rFonts w:hAnsi="宋体"/>
                      <w:sz w:val="18"/>
                      <w:szCs w:val="18"/>
                    </w:rPr>
                    <w:t>＜</w:t>
                  </w:r>
                  <w:r>
                    <w:rPr>
                      <w:sz w:val="18"/>
                      <w:szCs w:val="18"/>
                    </w:rPr>
                    <w:t>1</w:t>
                  </w:r>
                  <w:r>
                    <w:rPr>
                      <w:rFonts w:hAnsi="宋体"/>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tcBorders>
                    <w:top w:val="single" w:color="auto" w:sz="4" w:space="0"/>
                    <w:left w:val="single" w:color="auto" w:sz="4" w:space="0"/>
                    <w:right w:val="single" w:color="auto" w:sz="4" w:space="0"/>
                  </w:tcBorders>
                  <w:noWrap/>
                  <w:vAlign w:val="center"/>
                </w:tcPr>
                <w:p>
                  <w:pPr>
                    <w:adjustRightInd w:val="0"/>
                    <w:snapToGrid w:val="0"/>
                    <w:jc w:val="center"/>
                    <w:rPr>
                      <w:rFonts w:hint="eastAsia" w:eastAsia="宋体"/>
                      <w:sz w:val="18"/>
                      <w:szCs w:val="18"/>
                      <w:lang w:eastAsia="zh-CN"/>
                    </w:rPr>
                  </w:pPr>
                  <w:r>
                    <w:rPr>
                      <w:rFonts w:hint="eastAsia"/>
                      <w:sz w:val="18"/>
                      <w:szCs w:val="18"/>
                      <w:lang w:val="en-US" w:eastAsia="zh-CN"/>
                    </w:rPr>
                    <w:t>2</w:t>
                  </w:r>
                </w:p>
              </w:tc>
              <w:tc>
                <w:tcPr>
                  <w:tcW w:w="652" w:type="dxa"/>
                  <w:vMerge w:val="continue"/>
                  <w:tcBorders>
                    <w:left w:val="single" w:color="auto" w:sz="4" w:space="0"/>
                    <w:right w:val="single" w:color="auto" w:sz="4" w:space="0"/>
                  </w:tcBorders>
                  <w:noWrap/>
                  <w:vAlign w:val="center"/>
                </w:tcPr>
                <w:p>
                  <w:pPr>
                    <w:adjustRightInd w:val="0"/>
                    <w:snapToGrid w:val="0"/>
                    <w:jc w:val="center"/>
                    <w:rPr>
                      <w:bCs/>
                      <w:sz w:val="18"/>
                      <w:szCs w:val="18"/>
                    </w:rPr>
                  </w:pPr>
                </w:p>
              </w:tc>
              <w:tc>
                <w:tcPr>
                  <w:tcW w:w="81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eastAsia="zh-CN"/>
                    </w:rPr>
                    <w:t>废包装桶</w:t>
                  </w:r>
                </w:p>
              </w:tc>
              <w:tc>
                <w:tcPr>
                  <w:tcW w:w="7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Cs/>
                      <w:spacing w:val="-20"/>
                      <w:sz w:val="18"/>
                      <w:szCs w:val="18"/>
                    </w:rPr>
                  </w:pPr>
                  <w:r>
                    <w:rPr>
                      <w:spacing w:val="-20"/>
                      <w:sz w:val="18"/>
                      <w:szCs w:val="18"/>
                    </w:rPr>
                    <w:t>HW</w:t>
                  </w:r>
                  <w:r>
                    <w:rPr>
                      <w:rFonts w:hint="eastAsia"/>
                      <w:spacing w:val="-20"/>
                      <w:sz w:val="18"/>
                      <w:szCs w:val="18"/>
                    </w:rPr>
                    <w:t>08</w:t>
                  </w:r>
                </w:p>
              </w:tc>
              <w:tc>
                <w:tcPr>
                  <w:tcW w:w="1059"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Times New Roman" w:hAnsi="Times New Roman" w:eastAsia="宋体" w:cs="Times New Roman"/>
                      <w:bCs/>
                      <w:kern w:val="2"/>
                      <w:sz w:val="18"/>
                      <w:szCs w:val="18"/>
                      <w:lang w:val="en-US" w:eastAsia="zh-CN" w:bidi="ar-SA"/>
                    </w:rPr>
                  </w:pPr>
                  <w:r>
                    <w:rPr>
                      <w:rFonts w:ascii="Times New Roman" w:hAnsi="Times New Roman" w:eastAsia="宋体" w:cs="Times New Roman"/>
                      <w:bCs/>
                      <w:sz w:val="18"/>
                      <w:szCs w:val="18"/>
                    </w:rPr>
                    <w:t>900-249-08</w:t>
                  </w:r>
                </w:p>
              </w:tc>
              <w:tc>
                <w:tcPr>
                  <w:tcW w:w="98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rPr>
                    <w:t>设备维修</w:t>
                  </w:r>
                </w:p>
              </w:tc>
              <w:tc>
                <w:tcPr>
                  <w:tcW w:w="413" w:type="dxa"/>
                  <w:vMerge w:val="continue"/>
                  <w:tcBorders>
                    <w:left w:val="single" w:color="auto" w:sz="4" w:space="0"/>
                    <w:right w:val="single" w:color="auto" w:sz="4" w:space="0"/>
                  </w:tcBorders>
                  <w:noWrap/>
                  <w:vAlign w:val="center"/>
                </w:tcPr>
                <w:p>
                  <w:pPr>
                    <w:adjustRightInd w:val="0"/>
                    <w:snapToGrid w:val="0"/>
                    <w:jc w:val="center"/>
                    <w:rPr>
                      <w:sz w:val="18"/>
                      <w:szCs w:val="18"/>
                    </w:rPr>
                  </w:pPr>
                </w:p>
              </w:tc>
              <w:tc>
                <w:tcPr>
                  <w:tcW w:w="656" w:type="dxa"/>
                  <w:vMerge w:val="continue"/>
                  <w:tcBorders>
                    <w:left w:val="single" w:color="auto" w:sz="4" w:space="0"/>
                    <w:right w:val="single" w:color="auto" w:sz="4" w:space="0"/>
                  </w:tcBorders>
                  <w:noWrap/>
                  <w:vAlign w:val="center"/>
                </w:tcPr>
                <w:p>
                  <w:pPr>
                    <w:adjustRightInd w:val="0"/>
                    <w:snapToGrid w:val="0"/>
                    <w:jc w:val="center"/>
                    <w:rPr>
                      <w:bCs/>
                      <w:spacing w:val="-20"/>
                      <w:sz w:val="18"/>
                      <w:szCs w:val="18"/>
                    </w:rPr>
                  </w:pPr>
                </w:p>
              </w:tc>
              <w:tc>
                <w:tcPr>
                  <w:tcW w:w="812" w:type="dxa"/>
                  <w:tcBorders>
                    <w:top w:val="single" w:color="auto" w:sz="4" w:space="0"/>
                    <w:left w:val="single" w:color="auto" w:sz="4" w:space="0"/>
                    <w:right w:val="single" w:color="auto" w:sz="4" w:space="0"/>
                  </w:tcBorders>
                  <w:noWrap/>
                  <w:vAlign w:val="center"/>
                </w:tcPr>
                <w:p>
                  <w:pPr>
                    <w:adjustRightInd w:val="0"/>
                    <w:snapToGrid w:val="0"/>
                    <w:jc w:val="center"/>
                    <w:rPr>
                      <w:sz w:val="18"/>
                      <w:szCs w:val="18"/>
                    </w:rPr>
                  </w:pPr>
                  <w:r>
                    <w:rPr>
                      <w:rFonts w:hAnsi="宋体"/>
                      <w:sz w:val="18"/>
                      <w:szCs w:val="18"/>
                    </w:rPr>
                    <w:t>隔离储存</w:t>
                  </w:r>
                </w:p>
              </w:tc>
              <w:tc>
                <w:tcPr>
                  <w:tcW w:w="604" w:type="dxa"/>
                  <w:vMerge w:val="continue"/>
                  <w:tcBorders>
                    <w:left w:val="single" w:color="auto" w:sz="4" w:space="0"/>
                    <w:right w:val="single" w:color="auto" w:sz="4" w:space="0"/>
                  </w:tcBorders>
                  <w:noWrap/>
                  <w:vAlign w:val="center"/>
                </w:tcPr>
                <w:p>
                  <w:pPr>
                    <w:adjustRightInd w:val="0"/>
                    <w:snapToGrid w:val="0"/>
                    <w:jc w:val="center"/>
                    <w:rPr>
                      <w:sz w:val="18"/>
                      <w:szCs w:val="18"/>
                    </w:rPr>
                  </w:pPr>
                </w:p>
              </w:tc>
              <w:tc>
                <w:tcPr>
                  <w:tcW w:w="429" w:type="dxa"/>
                  <w:tcBorders>
                    <w:top w:val="single" w:color="auto" w:sz="4" w:space="0"/>
                    <w:left w:val="single" w:color="auto" w:sz="4" w:space="0"/>
                    <w:right w:val="single" w:color="auto" w:sz="4" w:space="0"/>
                  </w:tcBorders>
                  <w:vAlign w:val="center"/>
                </w:tcPr>
                <w:p>
                  <w:pPr>
                    <w:topLinePunct/>
                    <w:adjustRightInd w:val="0"/>
                    <w:snapToGrid w:val="0"/>
                    <w:jc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rPr>
                    <w:t>T，I</w:t>
                  </w:r>
                </w:p>
              </w:tc>
              <w:tc>
                <w:tcPr>
                  <w:tcW w:w="632" w:type="dxa"/>
                  <w:vMerge w:val="continue"/>
                  <w:tcBorders>
                    <w:left w:val="single" w:color="auto" w:sz="4" w:space="0"/>
                    <w:right w:val="single" w:color="auto" w:sz="4" w:space="0"/>
                  </w:tcBorders>
                  <w:noWrap/>
                  <w:vAlign w:val="center"/>
                </w:tcPr>
                <w:p>
                  <w:pPr>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eastAsia="宋体"/>
                      <w:sz w:val="18"/>
                      <w:szCs w:val="18"/>
                      <w:lang w:eastAsia="zh-CN"/>
                    </w:rPr>
                  </w:pPr>
                  <w:r>
                    <w:rPr>
                      <w:rFonts w:hint="eastAsia"/>
                      <w:sz w:val="18"/>
                      <w:szCs w:val="18"/>
                      <w:lang w:val="en-US" w:eastAsia="zh-CN"/>
                    </w:rPr>
                    <w:t>3</w:t>
                  </w:r>
                </w:p>
              </w:tc>
              <w:tc>
                <w:tcPr>
                  <w:tcW w:w="652" w:type="dxa"/>
                  <w:vMerge w:val="continue"/>
                  <w:tcBorders>
                    <w:left w:val="single" w:color="auto" w:sz="4" w:space="0"/>
                    <w:right w:val="single" w:color="auto" w:sz="4" w:space="0"/>
                  </w:tcBorders>
                  <w:noWrap/>
                  <w:vAlign w:val="center"/>
                </w:tcPr>
                <w:p>
                  <w:pPr>
                    <w:adjustRightInd w:val="0"/>
                    <w:snapToGrid w:val="0"/>
                    <w:jc w:val="center"/>
                    <w:rPr>
                      <w:bCs/>
                      <w:sz w:val="18"/>
                      <w:szCs w:val="18"/>
                    </w:rPr>
                  </w:pPr>
                </w:p>
              </w:tc>
              <w:tc>
                <w:tcPr>
                  <w:tcW w:w="81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rPr>
                    <w:t>废弃的含油抹布、劳保用品</w:t>
                  </w:r>
                </w:p>
              </w:tc>
              <w:tc>
                <w:tcPr>
                  <w:tcW w:w="7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eastAsia="宋体"/>
                      <w:sz w:val="18"/>
                      <w:szCs w:val="18"/>
                      <w:lang w:val="en-US" w:eastAsia="zh-CN"/>
                    </w:rPr>
                  </w:pPr>
                  <w:r>
                    <w:rPr>
                      <w:spacing w:val="-20"/>
                      <w:sz w:val="18"/>
                      <w:szCs w:val="18"/>
                    </w:rPr>
                    <w:t>HW</w:t>
                  </w:r>
                  <w:r>
                    <w:rPr>
                      <w:rFonts w:hint="eastAsia"/>
                      <w:spacing w:val="-20"/>
                      <w:sz w:val="18"/>
                      <w:szCs w:val="18"/>
                      <w:lang w:val="en-US" w:eastAsia="zh-CN"/>
                    </w:rPr>
                    <w:t>49</w:t>
                  </w:r>
                </w:p>
              </w:tc>
              <w:tc>
                <w:tcPr>
                  <w:tcW w:w="1059"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Times New Roman" w:hAnsi="Times New Roman" w:eastAsia="宋体" w:cs="Times New Roman"/>
                      <w:bCs/>
                      <w:kern w:val="2"/>
                      <w:sz w:val="18"/>
                      <w:szCs w:val="18"/>
                      <w:lang w:val="en-US" w:eastAsia="zh-CN" w:bidi="ar-SA"/>
                    </w:rPr>
                  </w:pPr>
                  <w:r>
                    <w:rPr>
                      <w:rFonts w:hint="eastAsia" w:ascii="Times New Roman" w:hAnsi="Times New Roman" w:eastAsia="宋体" w:cs="Times New Roman"/>
                      <w:bCs/>
                      <w:sz w:val="18"/>
                      <w:szCs w:val="18"/>
                    </w:rPr>
                    <w:t>900-041-49</w:t>
                  </w:r>
                </w:p>
              </w:tc>
              <w:tc>
                <w:tcPr>
                  <w:tcW w:w="98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rPr>
                    <w:t>设备维修</w:t>
                  </w:r>
                </w:p>
              </w:tc>
              <w:tc>
                <w:tcPr>
                  <w:tcW w:w="413" w:type="dxa"/>
                  <w:vMerge w:val="continue"/>
                  <w:tcBorders>
                    <w:left w:val="single" w:color="auto" w:sz="4" w:space="0"/>
                    <w:right w:val="single" w:color="auto" w:sz="4" w:space="0"/>
                  </w:tcBorders>
                  <w:noWrap/>
                  <w:vAlign w:val="center"/>
                </w:tcPr>
                <w:p>
                  <w:pPr>
                    <w:adjustRightInd w:val="0"/>
                    <w:snapToGrid w:val="0"/>
                    <w:jc w:val="center"/>
                    <w:rPr>
                      <w:sz w:val="18"/>
                      <w:szCs w:val="18"/>
                    </w:rPr>
                  </w:pPr>
                </w:p>
              </w:tc>
              <w:tc>
                <w:tcPr>
                  <w:tcW w:w="656" w:type="dxa"/>
                  <w:vMerge w:val="continue"/>
                  <w:tcBorders>
                    <w:left w:val="single" w:color="auto" w:sz="4" w:space="0"/>
                    <w:right w:val="single" w:color="auto" w:sz="4" w:space="0"/>
                  </w:tcBorders>
                  <w:noWrap/>
                  <w:vAlign w:val="center"/>
                </w:tcPr>
                <w:p>
                  <w:pPr>
                    <w:adjustRightInd w:val="0"/>
                    <w:snapToGrid w:val="0"/>
                    <w:jc w:val="center"/>
                    <w:rPr>
                      <w:bCs/>
                      <w:sz w:val="18"/>
                      <w:szCs w:val="18"/>
                    </w:rPr>
                  </w:pPr>
                </w:p>
              </w:tc>
              <w:tc>
                <w:tcPr>
                  <w:tcW w:w="812" w:type="dxa"/>
                  <w:tcBorders>
                    <w:left w:val="single" w:color="auto" w:sz="4" w:space="0"/>
                    <w:right w:val="single" w:color="auto" w:sz="4" w:space="0"/>
                  </w:tcBorders>
                  <w:noWrap/>
                  <w:vAlign w:val="center"/>
                </w:tcPr>
                <w:p>
                  <w:pPr>
                    <w:adjustRightInd w:val="0"/>
                    <w:snapToGrid w:val="0"/>
                    <w:jc w:val="center"/>
                    <w:rPr>
                      <w:sz w:val="18"/>
                      <w:szCs w:val="18"/>
                    </w:rPr>
                  </w:pPr>
                  <w:r>
                    <w:rPr>
                      <w:rFonts w:hAnsi="宋体"/>
                      <w:sz w:val="18"/>
                      <w:szCs w:val="18"/>
                    </w:rPr>
                    <w:t>隔离储存、吨桶包装</w:t>
                  </w:r>
                </w:p>
              </w:tc>
              <w:tc>
                <w:tcPr>
                  <w:tcW w:w="604" w:type="dxa"/>
                  <w:vMerge w:val="continue"/>
                  <w:tcBorders>
                    <w:left w:val="single" w:color="auto" w:sz="4" w:space="0"/>
                    <w:right w:val="single" w:color="auto" w:sz="4" w:space="0"/>
                  </w:tcBorders>
                  <w:noWrap/>
                  <w:vAlign w:val="center"/>
                </w:tcPr>
                <w:p>
                  <w:pPr>
                    <w:adjustRightInd w:val="0"/>
                    <w:snapToGrid w:val="0"/>
                    <w:jc w:val="center"/>
                    <w:rPr>
                      <w:sz w:val="18"/>
                      <w:szCs w:val="18"/>
                    </w:rPr>
                  </w:pPr>
                </w:p>
              </w:tc>
              <w:tc>
                <w:tcPr>
                  <w:tcW w:w="429" w:type="dxa"/>
                  <w:tcBorders>
                    <w:left w:val="single" w:color="auto" w:sz="4" w:space="0"/>
                    <w:right w:val="single" w:color="auto" w:sz="4" w:space="0"/>
                  </w:tcBorders>
                  <w:vAlign w:val="center"/>
                </w:tcPr>
                <w:p>
                  <w:pPr>
                    <w:topLinePunct/>
                    <w:adjustRightInd w:val="0"/>
                    <w:snapToGrid w:val="0"/>
                    <w:jc w:val="center"/>
                    <w:rPr>
                      <w:rFonts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rPr>
                    <w:t>T/In</w:t>
                  </w:r>
                </w:p>
              </w:tc>
              <w:tc>
                <w:tcPr>
                  <w:tcW w:w="632" w:type="dxa"/>
                  <w:vMerge w:val="continue"/>
                  <w:tcBorders>
                    <w:left w:val="single" w:color="auto" w:sz="4" w:space="0"/>
                    <w:right w:val="single" w:color="auto" w:sz="4" w:space="0"/>
                  </w:tcBorders>
                  <w:noWrap/>
                  <w:vAlign w:val="center"/>
                </w:tcPr>
                <w:p>
                  <w:pPr>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tcBorders>
                    <w:top w:val="single" w:color="auto" w:sz="4" w:space="0"/>
                    <w:left w:val="single" w:color="auto" w:sz="4" w:space="0"/>
                    <w:right w:val="single" w:color="auto" w:sz="4" w:space="0"/>
                  </w:tcBorders>
                  <w:noWrap/>
                  <w:vAlign w:val="center"/>
                </w:tcPr>
                <w:p>
                  <w:pPr>
                    <w:adjustRightInd w:val="0"/>
                    <w:snapToGrid w:val="0"/>
                    <w:jc w:val="center"/>
                    <w:rPr>
                      <w:rFonts w:hint="default"/>
                      <w:sz w:val="18"/>
                      <w:szCs w:val="18"/>
                      <w:lang w:val="en-US" w:eastAsia="zh-CN"/>
                    </w:rPr>
                  </w:pPr>
                  <w:r>
                    <w:rPr>
                      <w:rFonts w:hint="eastAsia"/>
                      <w:sz w:val="18"/>
                      <w:szCs w:val="18"/>
                      <w:lang w:val="en-US" w:eastAsia="zh-CN"/>
                    </w:rPr>
                    <w:t>4</w:t>
                  </w:r>
                </w:p>
              </w:tc>
              <w:tc>
                <w:tcPr>
                  <w:tcW w:w="652" w:type="dxa"/>
                  <w:vMerge w:val="continue"/>
                  <w:tcBorders>
                    <w:left w:val="single" w:color="auto" w:sz="4" w:space="0"/>
                    <w:right w:val="single" w:color="auto" w:sz="4" w:space="0"/>
                  </w:tcBorders>
                  <w:noWrap/>
                  <w:vAlign w:val="center"/>
                </w:tcPr>
                <w:p>
                  <w:pPr>
                    <w:adjustRightInd w:val="0"/>
                    <w:snapToGrid w:val="0"/>
                    <w:jc w:val="center"/>
                    <w:rPr>
                      <w:bCs/>
                      <w:sz w:val="18"/>
                      <w:szCs w:val="18"/>
                    </w:rPr>
                  </w:pPr>
                </w:p>
              </w:tc>
              <w:tc>
                <w:tcPr>
                  <w:tcW w:w="81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喷淋废液</w:t>
                  </w:r>
                </w:p>
              </w:tc>
              <w:tc>
                <w:tcPr>
                  <w:tcW w:w="74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pacing w:val="-20"/>
                      <w:sz w:val="18"/>
                      <w:szCs w:val="18"/>
                    </w:rPr>
                  </w:pPr>
                  <w:r>
                    <w:rPr>
                      <w:spacing w:val="-20"/>
                      <w:sz w:val="18"/>
                      <w:szCs w:val="18"/>
                    </w:rPr>
                    <w:t>HW</w:t>
                  </w:r>
                  <w:r>
                    <w:rPr>
                      <w:rFonts w:hint="eastAsia"/>
                      <w:spacing w:val="-20"/>
                      <w:sz w:val="18"/>
                      <w:szCs w:val="18"/>
                      <w:lang w:val="en-US" w:eastAsia="zh-CN"/>
                    </w:rPr>
                    <w:t>08</w:t>
                  </w:r>
                </w:p>
              </w:tc>
              <w:tc>
                <w:tcPr>
                  <w:tcW w:w="1059"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900-210-08</w:t>
                  </w:r>
                </w:p>
              </w:tc>
              <w:tc>
                <w:tcPr>
                  <w:tcW w:w="98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Times New Roman" w:hAnsi="Times New Roman" w:eastAsia="宋体" w:cs="Times New Roman"/>
                      <w:sz w:val="18"/>
                      <w:szCs w:val="18"/>
                      <w:lang w:eastAsia="zh-CN"/>
                    </w:rPr>
                  </w:pPr>
                  <w:r>
                    <w:rPr>
                      <w:rFonts w:hint="eastAsia" w:cs="Times New Roman"/>
                      <w:sz w:val="18"/>
                      <w:szCs w:val="18"/>
                      <w:lang w:eastAsia="zh-CN"/>
                    </w:rPr>
                    <w:t>废气处理装置</w:t>
                  </w:r>
                </w:p>
              </w:tc>
              <w:tc>
                <w:tcPr>
                  <w:tcW w:w="413" w:type="dxa"/>
                  <w:vMerge w:val="continue"/>
                  <w:tcBorders>
                    <w:left w:val="single" w:color="auto" w:sz="4" w:space="0"/>
                    <w:right w:val="single" w:color="auto" w:sz="4" w:space="0"/>
                  </w:tcBorders>
                  <w:noWrap/>
                  <w:vAlign w:val="center"/>
                </w:tcPr>
                <w:p>
                  <w:pPr>
                    <w:adjustRightInd w:val="0"/>
                    <w:snapToGrid w:val="0"/>
                    <w:jc w:val="center"/>
                    <w:rPr>
                      <w:sz w:val="18"/>
                      <w:szCs w:val="18"/>
                    </w:rPr>
                  </w:pPr>
                </w:p>
              </w:tc>
              <w:tc>
                <w:tcPr>
                  <w:tcW w:w="656" w:type="dxa"/>
                  <w:vMerge w:val="continue"/>
                  <w:tcBorders>
                    <w:left w:val="single" w:color="auto" w:sz="4" w:space="0"/>
                    <w:right w:val="single" w:color="auto" w:sz="4" w:space="0"/>
                  </w:tcBorders>
                  <w:noWrap/>
                  <w:vAlign w:val="center"/>
                </w:tcPr>
                <w:p>
                  <w:pPr>
                    <w:adjustRightInd w:val="0"/>
                    <w:snapToGrid w:val="0"/>
                    <w:jc w:val="center"/>
                    <w:rPr>
                      <w:bCs/>
                      <w:sz w:val="18"/>
                      <w:szCs w:val="18"/>
                    </w:rPr>
                  </w:pPr>
                </w:p>
              </w:tc>
              <w:tc>
                <w:tcPr>
                  <w:tcW w:w="812" w:type="dxa"/>
                  <w:tcBorders>
                    <w:left w:val="single" w:color="auto" w:sz="4" w:space="0"/>
                    <w:right w:val="single" w:color="auto" w:sz="4" w:space="0"/>
                  </w:tcBorders>
                  <w:noWrap/>
                  <w:vAlign w:val="center"/>
                </w:tcPr>
                <w:p>
                  <w:pPr>
                    <w:adjustRightInd w:val="0"/>
                    <w:snapToGrid w:val="0"/>
                    <w:jc w:val="center"/>
                    <w:rPr>
                      <w:rFonts w:hAnsi="宋体"/>
                      <w:sz w:val="18"/>
                      <w:szCs w:val="18"/>
                    </w:rPr>
                  </w:pPr>
                  <w:r>
                    <w:rPr>
                      <w:rFonts w:hint="eastAsia" w:hAnsi="宋体"/>
                      <w:sz w:val="18"/>
                      <w:szCs w:val="18"/>
                      <w:lang w:eastAsia="zh-CN"/>
                    </w:rPr>
                    <w:t>桶装</w:t>
                  </w:r>
                </w:p>
              </w:tc>
              <w:tc>
                <w:tcPr>
                  <w:tcW w:w="604" w:type="dxa"/>
                  <w:vMerge w:val="continue"/>
                  <w:tcBorders>
                    <w:left w:val="single" w:color="auto" w:sz="4" w:space="0"/>
                    <w:right w:val="single" w:color="auto" w:sz="4" w:space="0"/>
                  </w:tcBorders>
                  <w:noWrap/>
                  <w:vAlign w:val="center"/>
                </w:tcPr>
                <w:p>
                  <w:pPr>
                    <w:adjustRightInd w:val="0"/>
                    <w:snapToGrid w:val="0"/>
                    <w:jc w:val="center"/>
                    <w:rPr>
                      <w:sz w:val="18"/>
                      <w:szCs w:val="18"/>
                    </w:rPr>
                  </w:pPr>
                </w:p>
              </w:tc>
              <w:tc>
                <w:tcPr>
                  <w:tcW w:w="429" w:type="dxa"/>
                  <w:tcBorders>
                    <w:left w:val="single" w:color="auto" w:sz="4" w:space="0"/>
                    <w:right w:val="single" w:color="auto" w:sz="4" w:space="0"/>
                  </w:tcBorders>
                  <w:vAlign w:val="center"/>
                </w:tcPr>
                <w:p>
                  <w:pPr>
                    <w:topLinePunct/>
                    <w:adjustRightInd w:val="0"/>
                    <w:snapToGrid w:val="0"/>
                    <w:jc w:val="center"/>
                    <w:rPr>
                      <w:rFonts w:hint="eastAsia" w:ascii="Times New Roman" w:hAnsi="Times New Roman" w:eastAsia="宋体" w:cs="Times New Roman"/>
                      <w:kern w:val="0"/>
                      <w:sz w:val="18"/>
                      <w:szCs w:val="18"/>
                    </w:rPr>
                  </w:pPr>
                  <w:r>
                    <w:rPr>
                      <w:rFonts w:ascii="Times New Roman" w:hAnsi="Times New Roman" w:eastAsia="宋体" w:cs="Times New Roman"/>
                      <w:kern w:val="0"/>
                      <w:sz w:val="18"/>
                      <w:szCs w:val="18"/>
                    </w:rPr>
                    <w:t>T，I</w:t>
                  </w:r>
                </w:p>
              </w:tc>
              <w:tc>
                <w:tcPr>
                  <w:tcW w:w="632" w:type="dxa"/>
                  <w:vMerge w:val="continue"/>
                  <w:tcBorders>
                    <w:left w:val="single" w:color="auto" w:sz="4" w:space="0"/>
                    <w:right w:val="single" w:color="auto" w:sz="4" w:space="0"/>
                  </w:tcBorders>
                  <w:noWrap/>
                  <w:vAlign w:val="center"/>
                </w:tcPr>
                <w:p>
                  <w:pPr>
                    <w:adjustRightInd w:val="0"/>
                    <w:snapToGrid w:val="0"/>
                    <w:jc w:val="center"/>
                    <w:rPr>
                      <w:sz w:val="18"/>
                      <w:szCs w:val="18"/>
                    </w:rPr>
                  </w:pPr>
                </w:p>
              </w:tc>
            </w:tr>
          </w:tbl>
          <w:p>
            <w:pPr>
              <w:spacing w:line="500" w:lineRule="exact"/>
              <w:ind w:firstLine="480" w:firstLineChars="200"/>
              <w:contextualSpacing/>
              <w:rPr>
                <w:sz w:val="24"/>
                <w:szCs w:val="20"/>
              </w:rPr>
            </w:pPr>
            <w:r>
              <w:rPr>
                <w:rFonts w:hAnsi="宋体"/>
                <w:sz w:val="24"/>
                <w:szCs w:val="20"/>
              </w:rPr>
              <w:t>（</w:t>
            </w:r>
            <w:r>
              <w:rPr>
                <w:sz w:val="24"/>
                <w:szCs w:val="20"/>
              </w:rPr>
              <w:t>4</w:t>
            </w:r>
            <w:r>
              <w:rPr>
                <w:rFonts w:hAnsi="宋体"/>
                <w:sz w:val="24"/>
                <w:szCs w:val="20"/>
              </w:rPr>
              <w:t>）委托处置环境影响分析</w:t>
            </w:r>
          </w:p>
          <w:p>
            <w:pPr>
              <w:spacing w:line="500" w:lineRule="exact"/>
              <w:ind w:firstLine="480" w:firstLineChars="200"/>
              <w:contextualSpacing/>
              <w:jc w:val="left"/>
              <w:rPr>
                <w:rFonts w:hAnsi="宋体"/>
                <w:b/>
                <w:szCs w:val="21"/>
              </w:rPr>
            </w:pPr>
            <w:r>
              <w:rPr>
                <w:rFonts w:hAnsi="宋体"/>
                <w:sz w:val="24"/>
                <w:szCs w:val="20"/>
              </w:rPr>
              <w:t>暂存的危废定期由资质单位无害化处置，根据</w:t>
            </w:r>
            <w:r>
              <w:rPr>
                <w:rFonts w:hint="eastAsia" w:hAnsi="宋体"/>
                <w:sz w:val="24"/>
                <w:szCs w:val="20"/>
                <w:lang w:eastAsia="zh-CN"/>
              </w:rPr>
              <w:t>浙</w:t>
            </w:r>
            <w:r>
              <w:rPr>
                <w:rFonts w:hAnsi="宋体"/>
                <w:sz w:val="24"/>
                <w:szCs w:val="20"/>
              </w:rPr>
              <w:t>江省生态环境厅公布的浙江省危险废物经营单位名单（</w:t>
            </w:r>
            <w:r>
              <w:rPr>
                <w:sz w:val="24"/>
                <w:szCs w:val="20"/>
              </w:rPr>
              <w:t>2021</w:t>
            </w:r>
            <w:r>
              <w:rPr>
                <w:rFonts w:hAnsi="宋体"/>
                <w:sz w:val="24"/>
                <w:szCs w:val="20"/>
              </w:rPr>
              <w:t>年</w:t>
            </w:r>
            <w:r>
              <w:rPr>
                <w:sz w:val="24"/>
                <w:szCs w:val="20"/>
              </w:rPr>
              <w:t>1</w:t>
            </w:r>
            <w:r>
              <w:rPr>
                <w:rFonts w:hAnsi="宋体"/>
                <w:sz w:val="24"/>
                <w:szCs w:val="20"/>
              </w:rPr>
              <w:t>月），列举部分附近地区能够处置本项目产生的为危险废物的处置公司情况如下表</w:t>
            </w:r>
            <w:r>
              <w:rPr>
                <w:sz w:val="24"/>
                <w:szCs w:val="20"/>
              </w:rPr>
              <w:t>4.5-4</w:t>
            </w:r>
            <w:r>
              <w:rPr>
                <w:rFonts w:hAnsi="宋体"/>
                <w:sz w:val="24"/>
                <w:szCs w:val="20"/>
              </w:rPr>
              <w:t>。</w:t>
            </w:r>
          </w:p>
          <w:p>
            <w:pPr>
              <w:spacing w:line="460" w:lineRule="exact"/>
              <w:jc w:val="center"/>
              <w:rPr>
                <w:b/>
                <w:szCs w:val="21"/>
              </w:rPr>
            </w:pPr>
            <w:r>
              <w:rPr>
                <w:rFonts w:hAnsi="宋体"/>
                <w:b/>
                <w:szCs w:val="21"/>
              </w:rPr>
              <w:t>表</w:t>
            </w:r>
            <w:r>
              <w:rPr>
                <w:b/>
                <w:szCs w:val="21"/>
              </w:rPr>
              <w:t xml:space="preserve">4.5-4  </w:t>
            </w:r>
            <w:r>
              <w:rPr>
                <w:rFonts w:hAnsi="宋体"/>
                <w:b/>
                <w:szCs w:val="21"/>
              </w:rPr>
              <w:t>危险处置单位情况</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425"/>
              <w:gridCol w:w="3666"/>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Times New Roman" w:hAnsi="Times New Roman" w:cs="Times New Roman"/>
                      <w:b w:val="0"/>
                      <w:bCs w:val="0"/>
                      <w:szCs w:val="21"/>
                    </w:rPr>
                  </w:pPr>
                  <w:r>
                    <w:rPr>
                      <w:rFonts w:ascii="Times New Roman" w:hAnsi="Times New Roman" w:cs="Times New Roman"/>
                      <w:b w:val="0"/>
                      <w:bCs w:val="0"/>
                      <w:szCs w:val="21"/>
                    </w:rPr>
                    <w:t>单位名称</w:t>
                  </w:r>
                </w:p>
              </w:tc>
              <w:tc>
                <w:tcPr>
                  <w:tcW w:w="1376" w:type="dxa"/>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Times New Roman" w:hAnsi="Times New Roman" w:cs="Times New Roman"/>
                      <w:b w:val="0"/>
                      <w:bCs w:val="0"/>
                      <w:szCs w:val="21"/>
                    </w:rPr>
                  </w:pPr>
                  <w:r>
                    <w:rPr>
                      <w:rFonts w:ascii="Times New Roman" w:hAnsi="Times New Roman" w:cs="Times New Roman"/>
                      <w:b w:val="0"/>
                      <w:bCs w:val="0"/>
                      <w:szCs w:val="21"/>
                    </w:rPr>
                    <w:t>危废经营许可证编号</w:t>
                  </w:r>
                </w:p>
              </w:tc>
              <w:tc>
                <w:tcPr>
                  <w:tcW w:w="3540" w:type="dxa"/>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Times New Roman" w:hAnsi="Times New Roman" w:cs="Times New Roman"/>
                      <w:b w:val="0"/>
                      <w:bCs w:val="0"/>
                      <w:szCs w:val="21"/>
                    </w:rPr>
                  </w:pPr>
                  <w:r>
                    <w:rPr>
                      <w:rFonts w:ascii="Times New Roman" w:hAnsi="Times New Roman" w:cs="Times New Roman"/>
                      <w:b w:val="0"/>
                      <w:bCs w:val="0"/>
                      <w:szCs w:val="21"/>
                    </w:rPr>
                    <w:t>处理资质</w:t>
                  </w:r>
                </w:p>
              </w:tc>
              <w:tc>
                <w:tcPr>
                  <w:tcW w:w="1341" w:type="dxa"/>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Times New Roman" w:hAnsi="Times New Roman" w:cs="Times New Roman"/>
                      <w:b w:val="0"/>
                      <w:bCs w:val="0"/>
                      <w:szCs w:val="21"/>
                    </w:rPr>
                  </w:pPr>
                  <w:r>
                    <w:rPr>
                      <w:rFonts w:ascii="Times New Roman" w:hAnsi="Times New Roman" w:cs="Times New Roman"/>
                      <w:b w:val="0"/>
                      <w:bCs w:val="0"/>
                      <w:szCs w:val="21"/>
                    </w:rPr>
                    <w:t>处理可行性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Times New Roman" w:hAnsi="Times New Roman" w:cs="Times New Roman"/>
                      <w:kern w:val="0"/>
                      <w:szCs w:val="21"/>
                    </w:rPr>
                  </w:pPr>
                  <w:r>
                    <w:rPr>
                      <w:rFonts w:ascii="Times New Roman" w:hAnsi="Times New Roman" w:cs="Times New Roman"/>
                      <w:kern w:val="0"/>
                      <w:szCs w:val="21"/>
                    </w:rPr>
                    <w:t>湖州威能环境服务有限公司</w:t>
                  </w:r>
                </w:p>
              </w:tc>
              <w:tc>
                <w:tcPr>
                  <w:tcW w:w="1376"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kern w:val="0"/>
                      <w:szCs w:val="21"/>
                      <w:lang w:eastAsia="en-US"/>
                    </w:rPr>
                  </w:pPr>
                  <w:r>
                    <w:rPr>
                      <w:rFonts w:ascii="Times New Roman" w:hAnsi="Times New Roman" w:cs="Times New Roman"/>
                      <w:kern w:val="0"/>
                      <w:szCs w:val="21"/>
                      <w:lang w:eastAsia="en-US"/>
                    </w:rPr>
                    <w:t>3300000244</w:t>
                  </w:r>
                </w:p>
              </w:tc>
              <w:tc>
                <w:tcPr>
                  <w:tcW w:w="354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kern w:val="0"/>
                      <w:szCs w:val="21"/>
                    </w:rPr>
                  </w:pPr>
                  <w:r>
                    <w:rPr>
                      <w:rFonts w:ascii="Times New Roman" w:hAnsi="Times New Roman" w:cs="Times New Roman"/>
                      <w:kern w:val="0"/>
                      <w:szCs w:val="21"/>
                      <w:lang w:eastAsia="en-US"/>
                    </w:rPr>
                    <w:t>HW02</w:t>
                  </w:r>
                  <w:r>
                    <w:rPr>
                      <w:rFonts w:hint="eastAsia" w:ascii="Times New Roman" w:hAnsi="Times New Roman" w:cs="Times New Roman"/>
                      <w:kern w:val="0"/>
                      <w:szCs w:val="21"/>
                    </w:rPr>
                    <w:t>、</w:t>
                  </w:r>
                  <w:r>
                    <w:rPr>
                      <w:rFonts w:ascii="Times New Roman" w:hAnsi="Times New Roman" w:cs="Times New Roman"/>
                      <w:kern w:val="0"/>
                      <w:szCs w:val="21"/>
                      <w:lang w:eastAsia="en-US"/>
                    </w:rPr>
                    <w:t>HW03</w:t>
                  </w:r>
                  <w:r>
                    <w:rPr>
                      <w:rFonts w:hint="eastAsia" w:ascii="Times New Roman" w:hAnsi="Times New Roman" w:cs="Times New Roman"/>
                      <w:kern w:val="0"/>
                      <w:szCs w:val="21"/>
                    </w:rPr>
                    <w:t>、</w:t>
                  </w:r>
                  <w:r>
                    <w:rPr>
                      <w:rFonts w:ascii="Times New Roman" w:hAnsi="Times New Roman" w:cs="Times New Roman"/>
                      <w:kern w:val="0"/>
                      <w:szCs w:val="21"/>
                      <w:lang w:eastAsia="en-US"/>
                    </w:rPr>
                    <w:t>HW04</w:t>
                  </w:r>
                  <w:r>
                    <w:rPr>
                      <w:rFonts w:hint="eastAsia" w:ascii="Times New Roman" w:hAnsi="Times New Roman" w:cs="Times New Roman"/>
                      <w:kern w:val="0"/>
                      <w:szCs w:val="21"/>
                    </w:rPr>
                    <w:t>、</w:t>
                  </w:r>
                  <w:r>
                    <w:rPr>
                      <w:rFonts w:ascii="Times New Roman" w:hAnsi="Times New Roman" w:cs="Times New Roman"/>
                      <w:kern w:val="0"/>
                      <w:szCs w:val="21"/>
                      <w:lang w:eastAsia="en-US"/>
                    </w:rPr>
                    <w:t>HW05</w:t>
                  </w:r>
                  <w:r>
                    <w:rPr>
                      <w:rFonts w:hint="eastAsia" w:ascii="Times New Roman" w:hAnsi="Times New Roman" w:cs="Times New Roman"/>
                      <w:kern w:val="0"/>
                      <w:szCs w:val="21"/>
                    </w:rPr>
                    <w:t>、</w:t>
                  </w:r>
                  <w:r>
                    <w:rPr>
                      <w:rFonts w:ascii="Times New Roman" w:hAnsi="Times New Roman" w:cs="Times New Roman"/>
                      <w:kern w:val="0"/>
                      <w:szCs w:val="21"/>
                      <w:lang w:eastAsia="en-US"/>
                    </w:rPr>
                    <w:t>HW06</w:t>
                  </w:r>
                  <w:r>
                    <w:rPr>
                      <w:rFonts w:hint="eastAsia" w:ascii="Times New Roman" w:hAnsi="Times New Roman" w:cs="Times New Roman"/>
                      <w:kern w:val="0"/>
                      <w:szCs w:val="21"/>
                    </w:rPr>
                    <w:t>、</w:t>
                  </w:r>
                  <w:r>
                    <w:rPr>
                      <w:rFonts w:ascii="Times New Roman" w:hAnsi="Times New Roman" w:cs="Times New Roman"/>
                      <w:kern w:val="0"/>
                      <w:szCs w:val="21"/>
                      <w:lang w:eastAsia="en-US"/>
                    </w:rPr>
                    <w:t>HW08</w:t>
                  </w:r>
                  <w:r>
                    <w:rPr>
                      <w:rFonts w:hint="eastAsia" w:ascii="Times New Roman" w:hAnsi="Times New Roman" w:cs="Times New Roman"/>
                      <w:kern w:val="0"/>
                      <w:szCs w:val="21"/>
                    </w:rPr>
                    <w:t>、</w:t>
                  </w:r>
                  <w:r>
                    <w:rPr>
                      <w:rFonts w:ascii="Times New Roman" w:hAnsi="Times New Roman" w:cs="Times New Roman"/>
                      <w:kern w:val="0"/>
                      <w:szCs w:val="21"/>
                      <w:lang w:eastAsia="en-US"/>
                    </w:rPr>
                    <w:t>HW09</w:t>
                  </w:r>
                  <w:r>
                    <w:rPr>
                      <w:rFonts w:hint="eastAsia" w:ascii="Times New Roman" w:hAnsi="Times New Roman" w:cs="Times New Roman"/>
                      <w:kern w:val="0"/>
                      <w:szCs w:val="21"/>
                    </w:rPr>
                    <w:t>、</w:t>
                  </w:r>
                  <w:r>
                    <w:rPr>
                      <w:rFonts w:ascii="Times New Roman" w:hAnsi="Times New Roman" w:cs="Times New Roman"/>
                      <w:kern w:val="0"/>
                      <w:szCs w:val="21"/>
                      <w:lang w:eastAsia="en-US"/>
                    </w:rPr>
                    <w:t>HW11</w:t>
                  </w:r>
                  <w:r>
                    <w:rPr>
                      <w:rFonts w:hint="eastAsia" w:ascii="Times New Roman" w:hAnsi="Times New Roman" w:cs="Times New Roman"/>
                      <w:kern w:val="0"/>
                      <w:szCs w:val="21"/>
                    </w:rPr>
                    <w:t>、</w:t>
                  </w:r>
                  <w:r>
                    <w:rPr>
                      <w:rFonts w:ascii="Times New Roman" w:hAnsi="Times New Roman" w:cs="Times New Roman"/>
                      <w:kern w:val="0"/>
                      <w:szCs w:val="21"/>
                      <w:lang w:eastAsia="en-US"/>
                    </w:rPr>
                    <w:t>HW12</w:t>
                  </w:r>
                  <w:r>
                    <w:rPr>
                      <w:rFonts w:hint="eastAsia" w:ascii="Times New Roman" w:hAnsi="Times New Roman" w:cs="Times New Roman"/>
                      <w:kern w:val="0"/>
                      <w:szCs w:val="21"/>
                    </w:rPr>
                    <w:t>、</w:t>
                  </w:r>
                  <w:r>
                    <w:rPr>
                      <w:rFonts w:ascii="Times New Roman" w:hAnsi="Times New Roman" w:cs="Times New Roman"/>
                      <w:kern w:val="0"/>
                      <w:szCs w:val="21"/>
                      <w:lang w:eastAsia="en-US"/>
                    </w:rPr>
                    <w:t>HW13</w:t>
                  </w:r>
                  <w:r>
                    <w:rPr>
                      <w:rFonts w:hint="eastAsia" w:ascii="Times New Roman" w:hAnsi="Times New Roman" w:cs="Times New Roman"/>
                      <w:kern w:val="0"/>
                      <w:szCs w:val="21"/>
                    </w:rPr>
                    <w:t>、</w:t>
                  </w:r>
                  <w:r>
                    <w:rPr>
                      <w:rFonts w:ascii="Times New Roman" w:hAnsi="Times New Roman" w:cs="Times New Roman"/>
                      <w:kern w:val="0"/>
                      <w:szCs w:val="21"/>
                      <w:lang w:eastAsia="en-US"/>
                    </w:rPr>
                    <w:t>HW14</w:t>
                  </w:r>
                  <w:r>
                    <w:rPr>
                      <w:rFonts w:hint="eastAsia" w:ascii="Times New Roman" w:hAnsi="Times New Roman" w:cs="Times New Roman"/>
                      <w:kern w:val="0"/>
                      <w:szCs w:val="21"/>
                    </w:rPr>
                    <w:t>、</w:t>
                  </w:r>
                  <w:r>
                    <w:rPr>
                      <w:rFonts w:ascii="Times New Roman" w:hAnsi="Times New Roman" w:cs="Times New Roman"/>
                      <w:kern w:val="0"/>
                      <w:szCs w:val="21"/>
                      <w:lang w:eastAsia="en-US"/>
                    </w:rPr>
                    <w:t>HW16</w:t>
                  </w:r>
                  <w:r>
                    <w:rPr>
                      <w:rFonts w:hint="eastAsia" w:ascii="Times New Roman" w:hAnsi="Times New Roman" w:cs="Times New Roman"/>
                      <w:kern w:val="0"/>
                      <w:szCs w:val="21"/>
                    </w:rPr>
                    <w:t>、</w:t>
                  </w:r>
                  <w:r>
                    <w:rPr>
                      <w:rFonts w:ascii="Times New Roman" w:hAnsi="Times New Roman" w:cs="Times New Roman"/>
                      <w:kern w:val="0"/>
                      <w:szCs w:val="21"/>
                      <w:lang w:eastAsia="en-US"/>
                    </w:rPr>
                    <w:t>HW37</w:t>
                  </w:r>
                  <w:r>
                    <w:rPr>
                      <w:rFonts w:hint="eastAsia" w:ascii="Times New Roman" w:hAnsi="Times New Roman" w:cs="Times New Roman"/>
                      <w:kern w:val="0"/>
                      <w:szCs w:val="21"/>
                    </w:rPr>
                    <w:t>、</w:t>
                  </w:r>
                  <w:r>
                    <w:rPr>
                      <w:rFonts w:ascii="Times New Roman" w:hAnsi="Times New Roman" w:cs="Times New Roman"/>
                      <w:kern w:val="0"/>
                      <w:szCs w:val="21"/>
                      <w:lang w:eastAsia="en-US"/>
                    </w:rPr>
                    <w:t>HW38</w:t>
                  </w:r>
                  <w:r>
                    <w:rPr>
                      <w:rFonts w:hint="eastAsia" w:ascii="Times New Roman" w:hAnsi="Times New Roman" w:cs="Times New Roman"/>
                      <w:kern w:val="0"/>
                      <w:szCs w:val="21"/>
                    </w:rPr>
                    <w:t>、</w:t>
                  </w:r>
                  <w:r>
                    <w:rPr>
                      <w:rFonts w:ascii="Times New Roman" w:hAnsi="Times New Roman" w:cs="Times New Roman"/>
                      <w:kern w:val="0"/>
                      <w:szCs w:val="21"/>
                      <w:lang w:eastAsia="en-US"/>
                    </w:rPr>
                    <w:t>HW39</w:t>
                  </w:r>
                  <w:r>
                    <w:rPr>
                      <w:rFonts w:hint="eastAsia" w:ascii="Times New Roman" w:hAnsi="Times New Roman" w:cs="Times New Roman"/>
                      <w:kern w:val="0"/>
                      <w:szCs w:val="21"/>
                    </w:rPr>
                    <w:t>、</w:t>
                  </w:r>
                  <w:r>
                    <w:rPr>
                      <w:rFonts w:ascii="Times New Roman" w:hAnsi="Times New Roman" w:cs="Times New Roman"/>
                      <w:kern w:val="0"/>
                      <w:szCs w:val="21"/>
                      <w:lang w:eastAsia="en-US"/>
                    </w:rPr>
                    <w:t>HW40</w:t>
                  </w:r>
                  <w:r>
                    <w:rPr>
                      <w:rFonts w:hint="eastAsia" w:ascii="Times New Roman" w:hAnsi="Times New Roman" w:cs="Times New Roman"/>
                      <w:kern w:val="0"/>
                      <w:szCs w:val="21"/>
                    </w:rPr>
                    <w:t>、</w:t>
                  </w:r>
                  <w:r>
                    <w:rPr>
                      <w:rFonts w:ascii="Times New Roman" w:hAnsi="Times New Roman" w:cs="Times New Roman"/>
                      <w:kern w:val="0"/>
                      <w:szCs w:val="21"/>
                      <w:lang w:eastAsia="en-US"/>
                    </w:rPr>
                    <w:t>HW45</w:t>
                  </w:r>
                  <w:r>
                    <w:rPr>
                      <w:rFonts w:hint="eastAsia" w:ascii="Times New Roman" w:hAnsi="Times New Roman" w:cs="Times New Roman"/>
                      <w:kern w:val="0"/>
                      <w:szCs w:val="21"/>
                    </w:rPr>
                    <w:t>、</w:t>
                  </w:r>
                  <w:r>
                    <w:rPr>
                      <w:rFonts w:ascii="Times New Roman" w:hAnsi="Times New Roman" w:cs="Times New Roman"/>
                      <w:kern w:val="0"/>
                      <w:szCs w:val="21"/>
                      <w:lang w:eastAsia="en-US"/>
                    </w:rPr>
                    <w:t>HW17</w:t>
                  </w:r>
                  <w:r>
                    <w:rPr>
                      <w:rFonts w:hint="eastAsia" w:ascii="Times New Roman" w:hAnsi="Times New Roman" w:cs="Times New Roman"/>
                      <w:kern w:val="0"/>
                      <w:szCs w:val="21"/>
                    </w:rPr>
                    <w:t>、</w:t>
                  </w:r>
                  <w:r>
                    <w:rPr>
                      <w:rFonts w:ascii="Times New Roman" w:hAnsi="Times New Roman" w:cs="Times New Roman"/>
                      <w:kern w:val="0"/>
                      <w:szCs w:val="21"/>
                      <w:lang w:eastAsia="en-US"/>
                    </w:rPr>
                    <w:t>HW18</w:t>
                  </w:r>
                  <w:r>
                    <w:rPr>
                      <w:rFonts w:hint="eastAsia" w:ascii="Times New Roman" w:hAnsi="Times New Roman" w:cs="Times New Roman"/>
                      <w:kern w:val="0"/>
                      <w:szCs w:val="21"/>
                    </w:rPr>
                    <w:t>、</w:t>
                  </w:r>
                  <w:r>
                    <w:rPr>
                      <w:rFonts w:ascii="Times New Roman" w:hAnsi="Times New Roman" w:cs="Times New Roman"/>
                      <w:kern w:val="0"/>
                      <w:szCs w:val="21"/>
                      <w:lang w:eastAsia="en-US"/>
                    </w:rPr>
                    <w:t>HW20</w:t>
                  </w:r>
                  <w:r>
                    <w:rPr>
                      <w:rFonts w:hint="eastAsia" w:ascii="Times New Roman" w:hAnsi="Times New Roman" w:cs="Times New Roman"/>
                      <w:kern w:val="0"/>
                      <w:szCs w:val="21"/>
                    </w:rPr>
                    <w:t>、</w:t>
                  </w:r>
                </w:p>
                <w:p>
                  <w:pPr>
                    <w:rPr>
                      <w:rFonts w:ascii="Times New Roman" w:hAnsi="Times New Roman" w:cs="Times New Roman"/>
                      <w:kern w:val="0"/>
                      <w:szCs w:val="21"/>
                      <w:lang w:eastAsia="en-US"/>
                    </w:rPr>
                  </w:pPr>
                  <w:r>
                    <w:rPr>
                      <w:rFonts w:ascii="Times New Roman" w:hAnsi="Times New Roman" w:cs="Times New Roman"/>
                      <w:kern w:val="0"/>
                      <w:szCs w:val="21"/>
                      <w:lang w:eastAsia="en-US"/>
                    </w:rPr>
                    <w:t>HW21</w:t>
                  </w:r>
                  <w:r>
                    <w:rPr>
                      <w:rFonts w:hint="eastAsia" w:ascii="Times New Roman" w:hAnsi="Times New Roman" w:cs="Times New Roman"/>
                      <w:kern w:val="0"/>
                      <w:szCs w:val="21"/>
                    </w:rPr>
                    <w:t>、</w:t>
                  </w:r>
                  <w:r>
                    <w:rPr>
                      <w:rFonts w:ascii="Times New Roman" w:hAnsi="Times New Roman" w:cs="Times New Roman"/>
                      <w:kern w:val="0"/>
                      <w:szCs w:val="21"/>
                      <w:lang w:eastAsia="en-US"/>
                    </w:rPr>
                    <w:t>HW22</w:t>
                  </w:r>
                  <w:r>
                    <w:rPr>
                      <w:rFonts w:hint="eastAsia" w:ascii="Times New Roman" w:hAnsi="Times New Roman" w:cs="Times New Roman"/>
                      <w:kern w:val="0"/>
                      <w:szCs w:val="21"/>
                    </w:rPr>
                    <w:t>、</w:t>
                  </w:r>
                  <w:r>
                    <w:rPr>
                      <w:rFonts w:ascii="Times New Roman" w:hAnsi="Times New Roman" w:cs="Times New Roman"/>
                      <w:kern w:val="0"/>
                      <w:szCs w:val="21"/>
                      <w:lang w:eastAsia="en-US"/>
                    </w:rPr>
                    <w:t>HW23</w:t>
                  </w:r>
                  <w:r>
                    <w:rPr>
                      <w:rFonts w:hint="eastAsia" w:ascii="Times New Roman" w:hAnsi="Times New Roman" w:cs="Times New Roman"/>
                      <w:kern w:val="0"/>
                      <w:szCs w:val="21"/>
                    </w:rPr>
                    <w:t>、</w:t>
                  </w:r>
                  <w:r>
                    <w:rPr>
                      <w:rFonts w:ascii="Times New Roman" w:hAnsi="Times New Roman" w:cs="Times New Roman"/>
                      <w:kern w:val="0"/>
                      <w:szCs w:val="21"/>
                      <w:lang w:eastAsia="en-US"/>
                    </w:rPr>
                    <w:t>HW25</w:t>
                  </w:r>
                  <w:r>
                    <w:rPr>
                      <w:rFonts w:hint="eastAsia" w:ascii="Times New Roman" w:hAnsi="Times New Roman" w:cs="Times New Roman"/>
                      <w:kern w:val="0"/>
                      <w:szCs w:val="21"/>
                    </w:rPr>
                    <w:t>、</w:t>
                  </w:r>
                  <w:r>
                    <w:rPr>
                      <w:rFonts w:ascii="Times New Roman" w:hAnsi="Times New Roman" w:cs="Times New Roman"/>
                      <w:kern w:val="0"/>
                      <w:szCs w:val="21"/>
                      <w:lang w:eastAsia="en-US"/>
                    </w:rPr>
                    <w:t>HW26</w:t>
                  </w:r>
                  <w:r>
                    <w:rPr>
                      <w:rFonts w:hint="eastAsia" w:ascii="Times New Roman" w:hAnsi="Times New Roman" w:cs="Times New Roman"/>
                      <w:kern w:val="0"/>
                      <w:szCs w:val="21"/>
                    </w:rPr>
                    <w:t>、</w:t>
                  </w:r>
                  <w:r>
                    <w:rPr>
                      <w:rFonts w:ascii="Times New Roman" w:hAnsi="Times New Roman" w:cs="Times New Roman"/>
                      <w:kern w:val="0"/>
                      <w:szCs w:val="21"/>
                      <w:lang w:eastAsia="en-US"/>
                    </w:rPr>
                    <w:t>HW27</w:t>
                  </w:r>
                  <w:r>
                    <w:rPr>
                      <w:rFonts w:hint="eastAsia" w:ascii="Times New Roman" w:hAnsi="Times New Roman" w:cs="Times New Roman"/>
                      <w:kern w:val="0"/>
                      <w:szCs w:val="21"/>
                    </w:rPr>
                    <w:t>、</w:t>
                  </w:r>
                  <w:r>
                    <w:rPr>
                      <w:rFonts w:ascii="Times New Roman" w:hAnsi="Times New Roman" w:cs="Times New Roman"/>
                      <w:kern w:val="0"/>
                      <w:szCs w:val="21"/>
                      <w:lang w:eastAsia="en-US"/>
                    </w:rPr>
                    <w:t>HW28</w:t>
                  </w:r>
                  <w:r>
                    <w:rPr>
                      <w:rFonts w:hint="eastAsia" w:ascii="Times New Roman" w:hAnsi="Times New Roman" w:cs="Times New Roman"/>
                      <w:kern w:val="0"/>
                      <w:szCs w:val="21"/>
                    </w:rPr>
                    <w:t>、</w:t>
                  </w:r>
                  <w:r>
                    <w:rPr>
                      <w:rFonts w:ascii="Times New Roman" w:hAnsi="Times New Roman" w:cs="Times New Roman"/>
                      <w:kern w:val="0"/>
                      <w:szCs w:val="21"/>
                      <w:lang w:eastAsia="en-US"/>
                    </w:rPr>
                    <w:t>HW29</w:t>
                  </w:r>
                  <w:r>
                    <w:rPr>
                      <w:rFonts w:hint="eastAsia" w:ascii="Times New Roman" w:hAnsi="Times New Roman" w:cs="Times New Roman"/>
                      <w:kern w:val="0"/>
                      <w:szCs w:val="21"/>
                    </w:rPr>
                    <w:t>、</w:t>
                  </w:r>
                  <w:r>
                    <w:rPr>
                      <w:rFonts w:ascii="Times New Roman" w:hAnsi="Times New Roman" w:cs="Times New Roman"/>
                      <w:kern w:val="0"/>
                      <w:szCs w:val="21"/>
                      <w:lang w:eastAsia="en-US"/>
                    </w:rPr>
                    <w:t>HW30</w:t>
                  </w:r>
                  <w:r>
                    <w:rPr>
                      <w:rFonts w:hint="eastAsia" w:ascii="Times New Roman" w:hAnsi="Times New Roman" w:cs="Times New Roman"/>
                      <w:kern w:val="0"/>
                      <w:szCs w:val="21"/>
                    </w:rPr>
                    <w:t>、</w:t>
                  </w:r>
                  <w:r>
                    <w:rPr>
                      <w:rFonts w:ascii="Times New Roman" w:hAnsi="Times New Roman" w:cs="Times New Roman"/>
                      <w:kern w:val="0"/>
                      <w:szCs w:val="21"/>
                      <w:lang w:eastAsia="en-US"/>
                    </w:rPr>
                    <w:t>HW31</w:t>
                  </w:r>
                  <w:r>
                    <w:rPr>
                      <w:rFonts w:hint="eastAsia" w:ascii="Times New Roman" w:hAnsi="Times New Roman" w:cs="Times New Roman"/>
                      <w:kern w:val="0"/>
                      <w:szCs w:val="21"/>
                    </w:rPr>
                    <w:t>、</w:t>
                  </w:r>
                  <w:r>
                    <w:rPr>
                      <w:rFonts w:ascii="Times New Roman" w:hAnsi="Times New Roman" w:cs="Times New Roman"/>
                      <w:kern w:val="0"/>
                      <w:szCs w:val="21"/>
                      <w:lang w:eastAsia="en-US"/>
                    </w:rPr>
                    <w:t>HW33</w:t>
                  </w:r>
                  <w:r>
                    <w:rPr>
                      <w:rFonts w:hint="eastAsia" w:ascii="Times New Roman" w:hAnsi="Times New Roman" w:cs="Times New Roman"/>
                      <w:kern w:val="0"/>
                      <w:szCs w:val="21"/>
                    </w:rPr>
                    <w:t>、</w:t>
                  </w:r>
                  <w:r>
                    <w:rPr>
                      <w:rFonts w:ascii="Times New Roman" w:hAnsi="Times New Roman" w:cs="Times New Roman"/>
                      <w:kern w:val="0"/>
                      <w:szCs w:val="21"/>
                      <w:lang w:eastAsia="en-US"/>
                    </w:rPr>
                    <w:t>HW36</w:t>
                  </w:r>
                  <w:r>
                    <w:rPr>
                      <w:rFonts w:hint="eastAsia" w:ascii="Times New Roman" w:hAnsi="Times New Roman" w:cs="Times New Roman"/>
                      <w:kern w:val="0"/>
                      <w:szCs w:val="21"/>
                    </w:rPr>
                    <w:t>、</w:t>
                  </w:r>
                  <w:r>
                    <w:rPr>
                      <w:rFonts w:ascii="Times New Roman" w:hAnsi="Times New Roman" w:cs="Times New Roman"/>
                      <w:kern w:val="0"/>
                      <w:szCs w:val="21"/>
                      <w:lang w:eastAsia="en-US"/>
                    </w:rPr>
                    <w:t>HW46</w:t>
                  </w:r>
                  <w:r>
                    <w:rPr>
                      <w:rFonts w:hint="eastAsia" w:ascii="Times New Roman" w:hAnsi="Times New Roman" w:cs="Times New Roman"/>
                      <w:kern w:val="0"/>
                      <w:szCs w:val="21"/>
                    </w:rPr>
                    <w:t>、</w:t>
                  </w:r>
                  <w:r>
                    <w:rPr>
                      <w:rFonts w:ascii="Times New Roman" w:hAnsi="Times New Roman" w:cs="Times New Roman"/>
                      <w:kern w:val="0"/>
                      <w:szCs w:val="21"/>
                      <w:lang w:eastAsia="en-US"/>
                    </w:rPr>
                    <w:t>HW48</w:t>
                  </w:r>
                  <w:r>
                    <w:rPr>
                      <w:rFonts w:hint="eastAsia" w:ascii="Times New Roman" w:hAnsi="Times New Roman" w:cs="Times New Roman"/>
                      <w:kern w:val="0"/>
                      <w:szCs w:val="21"/>
                    </w:rPr>
                    <w:t>、</w:t>
                  </w:r>
                  <w:r>
                    <w:rPr>
                      <w:rFonts w:ascii="Times New Roman" w:hAnsi="Times New Roman" w:cs="Times New Roman"/>
                      <w:kern w:val="0"/>
                      <w:szCs w:val="21"/>
                      <w:lang w:eastAsia="en-US"/>
                    </w:rPr>
                    <w:t>HW49</w:t>
                  </w:r>
                </w:p>
              </w:tc>
              <w:tc>
                <w:tcPr>
                  <w:tcW w:w="1341" w:type="dxa"/>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可由该单位处理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kern w:val="0"/>
                      <w:sz w:val="22"/>
                      <w:szCs w:val="21"/>
                    </w:rPr>
                  </w:pPr>
                  <w:r>
                    <w:rPr>
                      <w:rFonts w:ascii="Times New Roman" w:hAnsi="Times New Roman" w:cs="Times New Roman"/>
                      <w:kern w:val="0"/>
                      <w:sz w:val="22"/>
                    </w:rPr>
                    <w:t>湖州润星环保科技有限公司</w:t>
                  </w:r>
                </w:p>
              </w:tc>
              <w:tc>
                <w:tcPr>
                  <w:tcW w:w="1376"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kern w:val="0"/>
                      <w:szCs w:val="21"/>
                    </w:rPr>
                  </w:pPr>
                  <w:r>
                    <w:rPr>
                      <w:rFonts w:ascii="Times New Roman" w:hAnsi="Times New Roman" w:cs="Times New Roman"/>
                      <w:kern w:val="0"/>
                      <w:szCs w:val="21"/>
                    </w:rPr>
                    <w:t>浙小危收集第00053号</w:t>
                  </w:r>
                </w:p>
              </w:tc>
              <w:tc>
                <w:tcPr>
                  <w:tcW w:w="354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kern w:val="0"/>
                      <w:szCs w:val="21"/>
                    </w:rPr>
                  </w:pPr>
                  <w:r>
                    <w:rPr>
                      <w:rFonts w:ascii="Times New Roman" w:hAnsi="Times New Roman" w:cs="Times New Roman"/>
                      <w:kern w:val="0"/>
                      <w:szCs w:val="21"/>
                      <w:lang w:eastAsia="en-US"/>
                    </w:rPr>
                    <w:t>HW0</w:t>
                  </w:r>
                  <w:r>
                    <w:rPr>
                      <w:rFonts w:ascii="Times New Roman" w:hAnsi="Times New Roman" w:cs="Times New Roman"/>
                      <w:kern w:val="0"/>
                      <w:szCs w:val="21"/>
                    </w:rPr>
                    <w:t>5</w:t>
                  </w:r>
                  <w:r>
                    <w:rPr>
                      <w:rFonts w:hint="eastAsia" w:ascii="Times New Roman" w:hAnsi="Times New Roman" w:cs="Times New Roman"/>
                      <w:kern w:val="0"/>
                      <w:szCs w:val="21"/>
                    </w:rPr>
                    <w:t>、</w:t>
                  </w:r>
                  <w:r>
                    <w:rPr>
                      <w:rFonts w:ascii="Times New Roman" w:hAnsi="Times New Roman" w:cs="Times New Roman"/>
                      <w:kern w:val="0"/>
                      <w:szCs w:val="21"/>
                      <w:lang w:eastAsia="en-US"/>
                    </w:rPr>
                    <w:t>HW06</w:t>
                  </w:r>
                  <w:r>
                    <w:rPr>
                      <w:rFonts w:hint="eastAsia" w:ascii="Times New Roman" w:hAnsi="Times New Roman" w:cs="Times New Roman"/>
                      <w:kern w:val="0"/>
                      <w:szCs w:val="21"/>
                    </w:rPr>
                    <w:t>、</w:t>
                  </w:r>
                  <w:r>
                    <w:rPr>
                      <w:rFonts w:ascii="Times New Roman" w:hAnsi="Times New Roman" w:cs="Times New Roman"/>
                      <w:kern w:val="0"/>
                      <w:szCs w:val="21"/>
                      <w:lang w:eastAsia="en-US"/>
                    </w:rPr>
                    <w:t>HW08</w:t>
                  </w:r>
                  <w:r>
                    <w:rPr>
                      <w:rFonts w:hint="eastAsia" w:ascii="Times New Roman" w:hAnsi="Times New Roman" w:cs="Times New Roman"/>
                      <w:kern w:val="0"/>
                      <w:szCs w:val="21"/>
                    </w:rPr>
                    <w:t>、</w:t>
                  </w:r>
                  <w:r>
                    <w:rPr>
                      <w:rFonts w:ascii="Times New Roman" w:hAnsi="Times New Roman" w:cs="Times New Roman"/>
                      <w:kern w:val="0"/>
                      <w:szCs w:val="21"/>
                      <w:lang w:eastAsia="en-US"/>
                    </w:rPr>
                    <w:t>HW09</w:t>
                  </w:r>
                  <w:r>
                    <w:rPr>
                      <w:rFonts w:hint="eastAsia" w:ascii="Times New Roman" w:hAnsi="Times New Roman" w:cs="Times New Roman"/>
                      <w:kern w:val="0"/>
                      <w:szCs w:val="21"/>
                    </w:rPr>
                    <w:t>、</w:t>
                  </w:r>
                  <w:r>
                    <w:rPr>
                      <w:rFonts w:ascii="Times New Roman" w:hAnsi="Times New Roman" w:cs="Times New Roman"/>
                      <w:kern w:val="0"/>
                      <w:szCs w:val="21"/>
                      <w:lang w:eastAsia="en-US"/>
                    </w:rPr>
                    <w:t>HW11</w:t>
                  </w:r>
                  <w:r>
                    <w:rPr>
                      <w:rFonts w:hint="eastAsia" w:ascii="Times New Roman" w:hAnsi="Times New Roman" w:cs="Times New Roman"/>
                      <w:kern w:val="0"/>
                      <w:szCs w:val="21"/>
                    </w:rPr>
                    <w:t>、</w:t>
                  </w:r>
                  <w:r>
                    <w:rPr>
                      <w:rFonts w:ascii="Times New Roman" w:hAnsi="Times New Roman" w:cs="Times New Roman"/>
                      <w:kern w:val="0"/>
                      <w:szCs w:val="21"/>
                      <w:lang w:eastAsia="en-US"/>
                    </w:rPr>
                    <w:t>HW12</w:t>
                  </w:r>
                  <w:r>
                    <w:rPr>
                      <w:rFonts w:hint="eastAsia" w:ascii="Times New Roman" w:hAnsi="Times New Roman" w:cs="Times New Roman"/>
                      <w:kern w:val="0"/>
                      <w:szCs w:val="21"/>
                    </w:rPr>
                    <w:t>、</w:t>
                  </w:r>
                  <w:r>
                    <w:rPr>
                      <w:rFonts w:ascii="Times New Roman" w:hAnsi="Times New Roman" w:cs="Times New Roman"/>
                      <w:kern w:val="0"/>
                      <w:szCs w:val="21"/>
                      <w:lang w:eastAsia="en-US"/>
                    </w:rPr>
                    <w:t>HW13</w:t>
                  </w:r>
                  <w:r>
                    <w:rPr>
                      <w:rFonts w:hint="eastAsia" w:ascii="Times New Roman" w:hAnsi="Times New Roman" w:cs="Times New Roman"/>
                      <w:kern w:val="0"/>
                      <w:szCs w:val="21"/>
                    </w:rPr>
                    <w:t>、</w:t>
                  </w:r>
                  <w:r>
                    <w:rPr>
                      <w:rFonts w:ascii="Times New Roman" w:hAnsi="Times New Roman" w:cs="Times New Roman"/>
                      <w:kern w:val="0"/>
                      <w:szCs w:val="21"/>
                      <w:lang w:eastAsia="en-US"/>
                    </w:rPr>
                    <w:t>HW</w:t>
                  </w:r>
                  <w:r>
                    <w:rPr>
                      <w:rFonts w:ascii="Times New Roman" w:hAnsi="Times New Roman" w:cs="Times New Roman"/>
                      <w:kern w:val="0"/>
                      <w:szCs w:val="21"/>
                    </w:rPr>
                    <w:t>16</w:t>
                  </w:r>
                  <w:r>
                    <w:rPr>
                      <w:rFonts w:hint="eastAsia" w:ascii="Times New Roman" w:hAnsi="Times New Roman" w:cs="Times New Roman"/>
                      <w:kern w:val="0"/>
                      <w:szCs w:val="21"/>
                    </w:rPr>
                    <w:t>、</w:t>
                  </w:r>
                  <w:r>
                    <w:rPr>
                      <w:rFonts w:ascii="Times New Roman" w:hAnsi="Times New Roman" w:cs="Times New Roman"/>
                      <w:kern w:val="0"/>
                      <w:szCs w:val="21"/>
                      <w:lang w:eastAsia="en-US"/>
                    </w:rPr>
                    <w:t>HW</w:t>
                  </w:r>
                  <w:r>
                    <w:rPr>
                      <w:rFonts w:ascii="Times New Roman" w:hAnsi="Times New Roman" w:cs="Times New Roman"/>
                      <w:kern w:val="0"/>
                      <w:szCs w:val="21"/>
                    </w:rPr>
                    <w:t>17</w:t>
                  </w:r>
                  <w:r>
                    <w:rPr>
                      <w:rFonts w:hint="eastAsia" w:ascii="Times New Roman" w:hAnsi="Times New Roman" w:cs="Times New Roman"/>
                      <w:kern w:val="0"/>
                      <w:szCs w:val="21"/>
                    </w:rPr>
                    <w:t>、</w:t>
                  </w:r>
                  <w:r>
                    <w:rPr>
                      <w:rFonts w:ascii="Times New Roman" w:hAnsi="Times New Roman" w:cs="Times New Roman"/>
                      <w:kern w:val="0"/>
                      <w:szCs w:val="21"/>
                      <w:lang w:eastAsia="en-US"/>
                    </w:rPr>
                    <w:t>HW</w:t>
                  </w:r>
                  <w:r>
                    <w:rPr>
                      <w:rFonts w:ascii="Times New Roman" w:hAnsi="Times New Roman" w:cs="Times New Roman"/>
                      <w:kern w:val="0"/>
                      <w:szCs w:val="21"/>
                    </w:rPr>
                    <w:t>21</w:t>
                  </w:r>
                  <w:r>
                    <w:rPr>
                      <w:rFonts w:hint="eastAsia" w:ascii="Times New Roman" w:hAnsi="Times New Roman" w:cs="Times New Roman"/>
                      <w:kern w:val="0"/>
                      <w:szCs w:val="21"/>
                    </w:rPr>
                    <w:t>、</w:t>
                  </w:r>
                  <w:r>
                    <w:rPr>
                      <w:rFonts w:ascii="Times New Roman" w:hAnsi="Times New Roman" w:cs="Times New Roman"/>
                      <w:kern w:val="0"/>
                      <w:szCs w:val="21"/>
                      <w:lang w:eastAsia="en-US"/>
                    </w:rPr>
                    <w:t>HW</w:t>
                  </w:r>
                  <w:r>
                    <w:rPr>
                      <w:rFonts w:ascii="Times New Roman" w:hAnsi="Times New Roman" w:cs="Times New Roman"/>
                      <w:kern w:val="0"/>
                      <w:szCs w:val="21"/>
                    </w:rPr>
                    <w:t>3</w:t>
                  </w:r>
                  <w:r>
                    <w:rPr>
                      <w:rFonts w:ascii="Times New Roman" w:hAnsi="Times New Roman" w:cs="Times New Roman"/>
                      <w:kern w:val="0"/>
                      <w:szCs w:val="21"/>
                      <w:lang w:eastAsia="en-US"/>
                    </w:rPr>
                    <w:t>1</w:t>
                  </w:r>
                  <w:r>
                    <w:rPr>
                      <w:rFonts w:hint="eastAsia" w:ascii="Times New Roman" w:hAnsi="Times New Roman" w:cs="Times New Roman"/>
                      <w:kern w:val="0"/>
                      <w:szCs w:val="21"/>
                    </w:rPr>
                    <w:t>、</w:t>
                  </w:r>
                  <w:r>
                    <w:rPr>
                      <w:rFonts w:ascii="Times New Roman" w:hAnsi="Times New Roman" w:cs="Times New Roman"/>
                      <w:kern w:val="0"/>
                      <w:szCs w:val="21"/>
                      <w:lang w:eastAsia="en-US"/>
                    </w:rPr>
                    <w:t>HW</w:t>
                  </w:r>
                  <w:r>
                    <w:rPr>
                      <w:rFonts w:ascii="Times New Roman" w:hAnsi="Times New Roman" w:cs="Times New Roman"/>
                      <w:kern w:val="0"/>
                      <w:szCs w:val="21"/>
                    </w:rPr>
                    <w:t>34</w:t>
                  </w:r>
                  <w:r>
                    <w:rPr>
                      <w:rFonts w:hint="eastAsia" w:ascii="Times New Roman" w:hAnsi="Times New Roman" w:cs="Times New Roman"/>
                      <w:kern w:val="0"/>
                      <w:szCs w:val="21"/>
                    </w:rPr>
                    <w:t>、</w:t>
                  </w:r>
                  <w:r>
                    <w:rPr>
                      <w:rFonts w:ascii="Times New Roman" w:hAnsi="Times New Roman" w:cs="Times New Roman"/>
                      <w:kern w:val="0"/>
                      <w:szCs w:val="21"/>
                      <w:lang w:eastAsia="en-US"/>
                    </w:rPr>
                    <w:t>HW</w:t>
                  </w:r>
                  <w:r>
                    <w:rPr>
                      <w:rFonts w:ascii="Times New Roman" w:hAnsi="Times New Roman" w:cs="Times New Roman"/>
                      <w:kern w:val="0"/>
                      <w:szCs w:val="21"/>
                    </w:rPr>
                    <w:t>35</w:t>
                  </w:r>
                  <w:r>
                    <w:rPr>
                      <w:rFonts w:hint="eastAsia" w:ascii="Times New Roman" w:hAnsi="Times New Roman" w:cs="Times New Roman"/>
                      <w:kern w:val="0"/>
                      <w:szCs w:val="21"/>
                    </w:rPr>
                    <w:t>、</w:t>
                  </w:r>
                  <w:r>
                    <w:rPr>
                      <w:rFonts w:ascii="Times New Roman" w:hAnsi="Times New Roman" w:cs="Times New Roman"/>
                      <w:kern w:val="0"/>
                      <w:szCs w:val="21"/>
                      <w:lang w:eastAsia="en-US"/>
                    </w:rPr>
                    <w:t>HW</w:t>
                  </w:r>
                  <w:r>
                    <w:rPr>
                      <w:rFonts w:ascii="Times New Roman" w:hAnsi="Times New Roman" w:cs="Times New Roman"/>
                      <w:kern w:val="0"/>
                      <w:szCs w:val="21"/>
                    </w:rPr>
                    <w:t>49</w:t>
                  </w:r>
                  <w:r>
                    <w:rPr>
                      <w:rFonts w:hint="eastAsia" w:ascii="Times New Roman" w:hAnsi="Times New Roman" w:cs="Times New Roman"/>
                      <w:kern w:val="0"/>
                      <w:szCs w:val="21"/>
                    </w:rPr>
                    <w:t>、</w:t>
                  </w:r>
                  <w:r>
                    <w:rPr>
                      <w:rFonts w:ascii="Times New Roman" w:hAnsi="Times New Roman" w:cs="Times New Roman"/>
                      <w:kern w:val="0"/>
                      <w:szCs w:val="21"/>
                      <w:lang w:eastAsia="en-US"/>
                    </w:rPr>
                    <w:t>HW</w:t>
                  </w:r>
                  <w:r>
                    <w:rPr>
                      <w:rFonts w:ascii="Times New Roman" w:hAnsi="Times New Roman" w:cs="Times New Roman"/>
                      <w:kern w:val="0"/>
                      <w:szCs w:val="21"/>
                    </w:rPr>
                    <w:t>50</w:t>
                  </w:r>
                </w:p>
              </w:tc>
              <w:tc>
                <w:tcPr>
                  <w:tcW w:w="1341" w:type="dxa"/>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可由该单位处理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kern w:val="0"/>
                      <w:sz w:val="22"/>
                    </w:rPr>
                  </w:pPr>
                  <w:r>
                    <w:rPr>
                      <w:rFonts w:ascii="Times New Roman" w:hAnsi="Times New Roman" w:cs="Times New Roman"/>
                      <w:kern w:val="0"/>
                      <w:sz w:val="22"/>
                    </w:rPr>
                    <w:t>浙江明境环保科技有限公司</w:t>
                  </w:r>
                </w:p>
              </w:tc>
              <w:tc>
                <w:tcPr>
                  <w:tcW w:w="1376"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kern w:val="0"/>
                      <w:sz w:val="22"/>
                    </w:rPr>
                  </w:pPr>
                  <w:r>
                    <w:rPr>
                      <w:rFonts w:ascii="Times New Roman" w:hAnsi="Times New Roman" w:cs="Times New Roman"/>
                      <w:kern w:val="0"/>
                      <w:sz w:val="22"/>
                    </w:rPr>
                    <w:t>3305000003</w:t>
                  </w:r>
                </w:p>
              </w:tc>
              <w:tc>
                <w:tcPr>
                  <w:tcW w:w="3540"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kern w:val="0"/>
                      <w:sz w:val="22"/>
                      <w:lang w:eastAsia="en-US"/>
                    </w:rPr>
                  </w:pPr>
                  <w:r>
                    <w:rPr>
                      <w:rFonts w:ascii="Times New Roman" w:hAnsi="Times New Roman" w:cs="Times New Roman"/>
                      <w:kern w:val="0"/>
                      <w:sz w:val="22"/>
                      <w:lang w:eastAsia="en-US"/>
                    </w:rPr>
                    <w:t>HW02、HW04、HW06、HW08、HW09、HW11、HW12、HW13、HW50、HW17、HW21、HW23、HW18、HW31、HW49</w:t>
                  </w:r>
                </w:p>
              </w:tc>
              <w:tc>
                <w:tcPr>
                  <w:tcW w:w="1341"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kern w:val="0"/>
                      <w:sz w:val="22"/>
                    </w:rPr>
                  </w:pPr>
                  <w:r>
                    <w:rPr>
                      <w:rFonts w:ascii="Times New Roman" w:hAnsi="Times New Roman" w:cs="Times New Roman"/>
                      <w:kern w:val="0"/>
                      <w:sz w:val="22"/>
                    </w:rPr>
                    <w:t>可由该单位处理</w:t>
                  </w:r>
                </w:p>
              </w:tc>
            </w:tr>
          </w:tbl>
          <w:p>
            <w:pPr>
              <w:spacing w:line="500" w:lineRule="exact"/>
              <w:ind w:firstLine="480" w:firstLineChars="200"/>
              <w:contextualSpacing/>
              <w:jc w:val="left"/>
              <w:rPr>
                <w:kern w:val="0"/>
                <w:sz w:val="24"/>
              </w:rPr>
            </w:pPr>
            <w:r>
              <w:rPr>
                <w:rFonts w:hAnsi="宋体"/>
                <w:sz w:val="24"/>
                <w:szCs w:val="20"/>
              </w:rPr>
              <w:t>综上，只要企业落实好各类废物，特别是危险废物的收集、贮存、运输、利用、处置等各环节污染防治措施及环境管理措施，以</w:t>
            </w:r>
            <w:r>
              <w:rPr>
                <w:sz w:val="24"/>
                <w:szCs w:val="20"/>
              </w:rPr>
              <w:t>“</w:t>
            </w:r>
            <w:r>
              <w:rPr>
                <w:rFonts w:hAnsi="宋体"/>
                <w:sz w:val="24"/>
                <w:szCs w:val="20"/>
              </w:rPr>
              <w:t>减量化、资源化、无害化</w:t>
            </w:r>
            <w:r>
              <w:rPr>
                <w:sz w:val="24"/>
                <w:szCs w:val="20"/>
              </w:rPr>
              <w:t>”</w:t>
            </w:r>
            <w:r>
              <w:rPr>
                <w:rFonts w:hAnsi="宋体"/>
                <w:sz w:val="24"/>
                <w:szCs w:val="20"/>
              </w:rPr>
              <w:t>为基本原则，加强管理，及时处置，则固体废物对环境的影响不大。</w:t>
            </w:r>
          </w:p>
          <w:p>
            <w:pPr>
              <w:widowControl/>
              <w:wordWrap w:val="0"/>
              <w:spacing w:line="500" w:lineRule="exact"/>
              <w:jc w:val="left"/>
              <w:rPr>
                <w:b/>
                <w:sz w:val="24"/>
              </w:rPr>
            </w:pPr>
            <w:r>
              <w:rPr>
                <w:b/>
                <w:sz w:val="24"/>
              </w:rPr>
              <w:t>4.6</w:t>
            </w:r>
            <w:r>
              <w:rPr>
                <w:rFonts w:hAnsi="宋体"/>
                <w:b/>
                <w:sz w:val="24"/>
              </w:rPr>
              <w:t>土壤、地下水环境</w:t>
            </w:r>
          </w:p>
          <w:p>
            <w:pPr>
              <w:pStyle w:val="35"/>
              <w:spacing w:before="0" w:beforeAutospacing="0" w:after="0" w:afterAutospacing="0" w:line="500" w:lineRule="exact"/>
              <w:ind w:firstLine="480" w:firstLineChars="200"/>
              <w:jc w:val="both"/>
              <w:outlineLvl w:val="0"/>
              <w:rPr>
                <w:rFonts w:ascii="Times New Roman" w:hAnsi="Times New Roman" w:cs="Times New Roman"/>
                <w:bCs/>
                <w:kern w:val="2"/>
              </w:rPr>
            </w:pPr>
            <w:bookmarkStart w:id="31" w:name="_Toc12270"/>
            <w:r>
              <w:rPr>
                <w:rFonts w:hint="eastAsia" w:ascii="Times New Roman" w:hAnsi="Times New Roman" w:cs="Times New Roman"/>
                <w:bCs/>
                <w:kern w:val="2"/>
              </w:rPr>
              <w:t>本项目厂区主要生产区域均已完成地面硬化，在做好防渗措施的情况下，正常生产运行过程中无相关污染途径，不会造成地下水、土壤污染。现有污水管道已经做好底部硬底措施，可有效防止污水下渗到土壤；厂区内除绿化用地外，均进行地面硬化防渗处理，不存在土壤、地下水污染途径</w:t>
            </w:r>
            <w:r>
              <w:rPr>
                <w:rFonts w:ascii="Times New Roman" w:hAnsi="Times New Roman" w:cs="Times New Roman"/>
                <w:bCs/>
                <w:kern w:val="2"/>
              </w:rPr>
              <w:t>。</w:t>
            </w:r>
            <w:bookmarkEnd w:id="31"/>
          </w:p>
          <w:p>
            <w:pPr>
              <w:pStyle w:val="35"/>
              <w:keepNext w:val="0"/>
              <w:keepLines w:val="0"/>
              <w:suppressLineNumbers w:val="0"/>
              <w:spacing w:before="0" w:beforeAutospacing="0" w:after="0" w:afterAutospacing="0" w:line="500" w:lineRule="exact"/>
              <w:ind w:left="0" w:right="0"/>
              <w:jc w:val="both"/>
              <w:outlineLvl w:val="0"/>
              <w:rPr>
                <w:rFonts w:hint="default" w:ascii="Times New Roman" w:hAnsi="Times New Roman"/>
                <w:b/>
                <w:color w:val="auto"/>
                <w:kern w:val="2"/>
                <w:highlight w:val="none"/>
              </w:rPr>
            </w:pPr>
            <w:bookmarkStart w:id="32" w:name="_Toc17951"/>
            <w:r>
              <w:rPr>
                <w:rFonts w:hint="default" w:ascii="Times New Roman" w:hAnsi="Times New Roman"/>
                <w:b/>
                <w:color w:val="auto"/>
                <w:kern w:val="2"/>
                <w:highlight w:val="none"/>
              </w:rPr>
              <w:t>4.</w:t>
            </w:r>
            <w:r>
              <w:rPr>
                <w:rFonts w:hint="eastAsia" w:ascii="Times New Roman" w:hAnsi="Times New Roman"/>
                <w:b/>
                <w:color w:val="auto"/>
                <w:kern w:val="2"/>
                <w:highlight w:val="none"/>
                <w:lang w:val="en-US" w:eastAsia="zh-CN"/>
              </w:rPr>
              <w:t>7</w:t>
            </w:r>
            <w:r>
              <w:rPr>
                <w:rFonts w:hint="default" w:ascii="Times New Roman" w:hAnsi="Times New Roman"/>
                <w:b/>
                <w:color w:val="auto"/>
                <w:kern w:val="2"/>
                <w:highlight w:val="none"/>
              </w:rPr>
              <w:t>生态</w:t>
            </w:r>
            <w:bookmarkEnd w:id="32"/>
            <w:bookmarkStart w:id="33" w:name="_Toc13946"/>
          </w:p>
          <w:p>
            <w:pPr>
              <w:pStyle w:val="35"/>
              <w:keepNext w:val="0"/>
              <w:keepLines w:val="0"/>
              <w:suppressLineNumbers w:val="0"/>
              <w:spacing w:before="0" w:beforeAutospacing="0" w:after="0" w:afterAutospacing="0" w:line="500" w:lineRule="exact"/>
              <w:ind w:left="0" w:right="0" w:firstLine="480" w:firstLineChars="200"/>
              <w:jc w:val="both"/>
              <w:outlineLvl w:val="0"/>
              <w:rPr>
                <w:rFonts w:ascii="Times New Roman" w:hAnsi="Times New Roman" w:cs="Times New Roman"/>
                <w:bCs/>
                <w:kern w:val="2"/>
              </w:rPr>
            </w:pPr>
            <w:r>
              <w:rPr>
                <w:rFonts w:hint="default" w:ascii="Times New Roman" w:hAnsi="Times New Roman"/>
                <w:bCs/>
                <w:color w:val="auto"/>
                <w:kern w:val="2"/>
                <w:highlight w:val="none"/>
              </w:rPr>
              <w:t>本项目位于</w:t>
            </w:r>
            <w:r>
              <w:rPr>
                <w:rFonts w:hint="default" w:ascii="Times New Roman" w:hAnsi="Times New Roman"/>
                <w:color w:val="auto"/>
                <w:highlight w:val="none"/>
              </w:rPr>
              <w:t>浙江省湖州市长兴县虹星桥镇工业集中区，所在地地块现状为人工生态环境，无原始植被生长和珍稀野生动物活动，厂区内及厂区周边区域生态环境良好。本项目配套建设</w:t>
            </w:r>
            <w:r>
              <w:rPr>
                <w:rFonts w:hint="eastAsia" w:ascii="Times New Roman" w:hAnsi="Times New Roman"/>
                <w:color w:val="auto"/>
                <w:highlight w:val="none"/>
                <w:lang w:eastAsia="zh-CN"/>
              </w:rPr>
              <w:t>“</w:t>
            </w:r>
            <w:r>
              <w:rPr>
                <w:rFonts w:hint="default" w:ascii="Times New Roman" w:hAnsi="Times New Roman"/>
                <w:color w:val="auto"/>
                <w:highlight w:val="none"/>
              </w:rPr>
              <w:t>三废</w:t>
            </w:r>
            <w:r>
              <w:rPr>
                <w:rFonts w:hint="eastAsia" w:ascii="Times New Roman" w:hAnsi="Times New Roman"/>
                <w:color w:val="auto"/>
                <w:highlight w:val="none"/>
                <w:lang w:eastAsia="zh-CN"/>
              </w:rPr>
              <w:t>”</w:t>
            </w:r>
            <w:r>
              <w:rPr>
                <w:rFonts w:hint="default" w:ascii="Times New Roman" w:hAnsi="Times New Roman"/>
                <w:color w:val="auto"/>
                <w:highlight w:val="none"/>
              </w:rPr>
              <w:t>处理设施，保证污染物的达标排放，不会引起生态功能和生态多样性的改变。</w:t>
            </w:r>
            <w:bookmarkEnd w:id="33"/>
          </w:p>
          <w:p>
            <w:pPr>
              <w:pStyle w:val="2"/>
              <w:spacing w:line="500" w:lineRule="exact"/>
              <w:rPr>
                <w:bCs/>
                <w:color w:val="auto"/>
              </w:rPr>
            </w:pPr>
            <w:r>
              <w:rPr>
                <w:bCs/>
                <w:color w:val="auto"/>
              </w:rPr>
              <w:t>4.</w:t>
            </w:r>
            <w:r>
              <w:rPr>
                <w:rFonts w:hint="eastAsia"/>
                <w:bCs/>
                <w:color w:val="auto"/>
                <w:lang w:val="en-US" w:eastAsia="zh-CN"/>
              </w:rPr>
              <w:t>8</w:t>
            </w:r>
            <w:r>
              <w:rPr>
                <w:rFonts w:hAnsi="宋体"/>
                <w:bCs/>
                <w:color w:val="auto"/>
              </w:rPr>
              <w:t>环境风险评价</w:t>
            </w:r>
          </w:p>
          <w:p>
            <w:pPr>
              <w:spacing w:line="500" w:lineRule="exact"/>
              <w:jc w:val="left"/>
              <w:rPr>
                <w:b/>
                <w:sz w:val="24"/>
              </w:rPr>
            </w:pPr>
            <w:r>
              <w:rPr>
                <w:b/>
                <w:sz w:val="24"/>
              </w:rPr>
              <w:t>4.</w:t>
            </w:r>
            <w:r>
              <w:rPr>
                <w:rFonts w:hint="eastAsia"/>
                <w:b/>
                <w:sz w:val="24"/>
                <w:lang w:val="en-US" w:eastAsia="zh-CN"/>
              </w:rPr>
              <w:t>8</w:t>
            </w:r>
            <w:r>
              <w:rPr>
                <w:b/>
                <w:sz w:val="24"/>
              </w:rPr>
              <w:t>.1</w:t>
            </w:r>
            <w:r>
              <w:rPr>
                <w:rFonts w:hAnsi="宋体"/>
                <w:b/>
                <w:sz w:val="24"/>
              </w:rPr>
              <w:t>风险调查</w:t>
            </w:r>
          </w:p>
          <w:p>
            <w:pPr>
              <w:widowControl/>
              <w:spacing w:line="500" w:lineRule="exact"/>
              <w:ind w:firstLine="480" w:firstLineChars="200"/>
              <w:contextualSpacing/>
              <w:jc w:val="left"/>
              <w:rPr>
                <w:sz w:val="24"/>
              </w:rPr>
            </w:pPr>
            <w:r>
              <w:rPr>
                <w:rFonts w:hAnsi="宋体"/>
                <w:sz w:val="24"/>
              </w:rPr>
              <w:t>（</w:t>
            </w:r>
            <w:r>
              <w:rPr>
                <w:sz w:val="24"/>
              </w:rPr>
              <w:t>1</w:t>
            </w:r>
            <w:r>
              <w:rPr>
                <w:rFonts w:hAnsi="宋体"/>
                <w:sz w:val="24"/>
              </w:rPr>
              <w:t>）建设项目风险源调查</w:t>
            </w:r>
          </w:p>
          <w:p>
            <w:pPr>
              <w:widowControl/>
              <w:spacing w:line="500" w:lineRule="exact"/>
              <w:ind w:firstLine="480" w:firstLineChars="200"/>
              <w:contextualSpacing/>
              <w:rPr>
                <w:bCs/>
                <w:color w:val="auto"/>
                <w:sz w:val="24"/>
              </w:rPr>
            </w:pPr>
            <w:r>
              <w:rPr>
                <w:bCs/>
                <w:sz w:val="24"/>
              </w:rPr>
              <w:t>a</w:t>
            </w:r>
            <w:r>
              <w:rPr>
                <w:rFonts w:hAnsi="宋体"/>
                <w:bCs/>
                <w:sz w:val="24"/>
              </w:rPr>
              <w:t>）物质</w:t>
            </w:r>
            <w:r>
              <w:rPr>
                <w:rFonts w:hAnsi="宋体"/>
                <w:bCs/>
                <w:color w:val="auto"/>
                <w:sz w:val="24"/>
              </w:rPr>
              <w:t>危险性调查</w:t>
            </w:r>
          </w:p>
          <w:p>
            <w:pPr>
              <w:spacing w:line="500" w:lineRule="exact"/>
              <w:ind w:firstLine="480" w:firstLineChars="200"/>
              <w:contextualSpacing/>
              <w:rPr>
                <w:color w:val="auto"/>
                <w:sz w:val="24"/>
                <w:lang w:val="zh-CN"/>
              </w:rPr>
            </w:pPr>
            <w:r>
              <w:rPr>
                <w:rFonts w:hAnsi="宋体"/>
                <w:color w:val="auto"/>
                <w:sz w:val="24"/>
                <w:lang w:val="zh-CN"/>
              </w:rPr>
              <w:t>本项目涉及的危险物质主要为危险废物、油类物质</w:t>
            </w:r>
            <w:r>
              <w:rPr>
                <w:rFonts w:hint="eastAsia" w:hAnsi="宋体"/>
                <w:color w:val="auto"/>
                <w:sz w:val="24"/>
                <w:lang w:val="zh-CN"/>
              </w:rPr>
              <w:t>及药剂片碱、</w:t>
            </w:r>
            <w:r>
              <w:rPr>
                <w:rFonts w:hint="eastAsia" w:hAnsi="宋体"/>
                <w:color w:val="auto"/>
                <w:sz w:val="24"/>
                <w:lang w:val="zh-CN" w:eastAsia="zh-CN"/>
              </w:rPr>
              <w:t>过硫酸氢钾复合盐</w:t>
            </w:r>
            <w:r>
              <w:rPr>
                <w:rFonts w:hAnsi="宋体"/>
                <w:color w:val="auto"/>
                <w:sz w:val="24"/>
                <w:lang w:val="zh-CN"/>
              </w:rPr>
              <w:t>，具体分布情况见下表</w:t>
            </w:r>
            <w:r>
              <w:rPr>
                <w:color w:val="auto"/>
                <w:sz w:val="24"/>
                <w:lang w:val="zh-CN"/>
              </w:rPr>
              <w:t>4.</w:t>
            </w:r>
            <w:r>
              <w:rPr>
                <w:rFonts w:hint="eastAsia"/>
                <w:color w:val="auto"/>
                <w:sz w:val="24"/>
                <w:lang w:val="en-US" w:eastAsia="zh-CN"/>
              </w:rPr>
              <w:t>8</w:t>
            </w:r>
            <w:r>
              <w:rPr>
                <w:color w:val="auto"/>
                <w:sz w:val="24"/>
                <w:lang w:val="zh-CN"/>
              </w:rPr>
              <w:t>-1</w:t>
            </w:r>
            <w:r>
              <w:rPr>
                <w:rFonts w:hAnsi="宋体"/>
                <w:color w:val="auto"/>
                <w:sz w:val="24"/>
                <w:lang w:val="zh-CN"/>
              </w:rPr>
              <w:t>。</w:t>
            </w:r>
          </w:p>
          <w:p>
            <w:pPr>
              <w:autoSpaceDE w:val="0"/>
              <w:autoSpaceDN w:val="0"/>
              <w:spacing w:line="460" w:lineRule="exact"/>
              <w:contextualSpacing/>
              <w:jc w:val="center"/>
              <w:rPr>
                <w:rFonts w:hAnsi="宋体"/>
                <w:b/>
                <w:bCs/>
                <w:color w:val="auto"/>
                <w:kern w:val="0"/>
                <w:szCs w:val="21"/>
              </w:rPr>
            </w:pPr>
          </w:p>
          <w:p>
            <w:pPr>
              <w:autoSpaceDE w:val="0"/>
              <w:autoSpaceDN w:val="0"/>
              <w:spacing w:line="460" w:lineRule="exact"/>
              <w:contextualSpacing/>
              <w:jc w:val="center"/>
              <w:rPr>
                <w:rFonts w:hAnsi="宋体"/>
                <w:b/>
                <w:bCs/>
                <w:color w:val="auto"/>
                <w:kern w:val="0"/>
                <w:szCs w:val="21"/>
              </w:rPr>
            </w:pPr>
          </w:p>
          <w:p>
            <w:pPr>
              <w:autoSpaceDE w:val="0"/>
              <w:autoSpaceDN w:val="0"/>
              <w:spacing w:line="460" w:lineRule="exact"/>
              <w:contextualSpacing/>
              <w:jc w:val="center"/>
              <w:rPr>
                <w:b/>
                <w:bCs/>
                <w:color w:val="auto"/>
                <w:kern w:val="0"/>
                <w:szCs w:val="21"/>
              </w:rPr>
            </w:pPr>
            <w:r>
              <w:rPr>
                <w:rFonts w:hAnsi="宋体"/>
                <w:b/>
                <w:bCs/>
                <w:color w:val="auto"/>
                <w:kern w:val="0"/>
                <w:szCs w:val="21"/>
              </w:rPr>
              <w:t>表</w:t>
            </w:r>
            <w:r>
              <w:rPr>
                <w:b/>
                <w:bCs/>
                <w:color w:val="auto"/>
                <w:kern w:val="0"/>
                <w:szCs w:val="21"/>
              </w:rPr>
              <w:t>4.</w:t>
            </w:r>
            <w:r>
              <w:rPr>
                <w:rFonts w:hint="eastAsia"/>
                <w:b/>
                <w:bCs/>
                <w:color w:val="auto"/>
                <w:kern w:val="0"/>
                <w:szCs w:val="21"/>
                <w:lang w:val="en-US" w:eastAsia="zh-CN"/>
              </w:rPr>
              <w:t>8</w:t>
            </w:r>
            <w:r>
              <w:rPr>
                <w:b/>
                <w:bCs/>
                <w:color w:val="auto"/>
                <w:kern w:val="0"/>
                <w:szCs w:val="21"/>
              </w:rPr>
              <w:t xml:space="preserve">-1  </w:t>
            </w:r>
            <w:r>
              <w:rPr>
                <w:rFonts w:hAnsi="宋体"/>
                <w:b/>
                <w:bCs/>
                <w:color w:val="auto"/>
                <w:kern w:val="0"/>
                <w:szCs w:val="21"/>
              </w:rPr>
              <w:t>本项目危险物质数量和分布情况</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927"/>
              <w:gridCol w:w="1393"/>
              <w:gridCol w:w="2013"/>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0" w:type="dxa"/>
                  <w:gridSpan w:val="2"/>
                  <w:vAlign w:val="center"/>
                </w:tcPr>
                <w:p>
                  <w:pPr>
                    <w:autoSpaceDE w:val="0"/>
                    <w:autoSpaceDN w:val="0"/>
                    <w:adjustRightInd w:val="0"/>
                    <w:snapToGrid w:val="0"/>
                    <w:jc w:val="center"/>
                    <w:rPr>
                      <w:color w:val="auto"/>
                      <w:kern w:val="0"/>
                      <w:szCs w:val="21"/>
                    </w:rPr>
                  </w:pPr>
                  <w:r>
                    <w:rPr>
                      <w:rFonts w:hAnsi="宋体"/>
                      <w:color w:val="auto"/>
                      <w:kern w:val="0"/>
                      <w:szCs w:val="21"/>
                    </w:rPr>
                    <w:t>种类</w:t>
                  </w:r>
                </w:p>
              </w:tc>
              <w:tc>
                <w:tcPr>
                  <w:tcW w:w="1393" w:type="dxa"/>
                  <w:vAlign w:val="center"/>
                </w:tcPr>
                <w:p>
                  <w:pPr>
                    <w:autoSpaceDE w:val="0"/>
                    <w:autoSpaceDN w:val="0"/>
                    <w:adjustRightInd w:val="0"/>
                    <w:snapToGrid w:val="0"/>
                    <w:jc w:val="center"/>
                    <w:rPr>
                      <w:color w:val="auto"/>
                      <w:kern w:val="0"/>
                      <w:szCs w:val="21"/>
                    </w:rPr>
                  </w:pPr>
                  <w:r>
                    <w:rPr>
                      <w:rFonts w:hAnsi="宋体"/>
                      <w:color w:val="auto"/>
                      <w:kern w:val="0"/>
                      <w:szCs w:val="21"/>
                    </w:rPr>
                    <w:t>数量（</w:t>
                  </w:r>
                  <w:r>
                    <w:rPr>
                      <w:color w:val="auto"/>
                      <w:kern w:val="0"/>
                      <w:szCs w:val="21"/>
                    </w:rPr>
                    <w:t>t/a</w:t>
                  </w:r>
                  <w:r>
                    <w:rPr>
                      <w:rFonts w:hAnsi="宋体"/>
                      <w:color w:val="auto"/>
                      <w:kern w:val="0"/>
                      <w:szCs w:val="21"/>
                    </w:rPr>
                    <w:t>）</w:t>
                  </w:r>
                </w:p>
              </w:tc>
              <w:tc>
                <w:tcPr>
                  <w:tcW w:w="2013" w:type="dxa"/>
                  <w:vAlign w:val="center"/>
                </w:tcPr>
                <w:p>
                  <w:pPr>
                    <w:autoSpaceDE w:val="0"/>
                    <w:autoSpaceDN w:val="0"/>
                    <w:adjustRightInd w:val="0"/>
                    <w:snapToGrid w:val="0"/>
                    <w:jc w:val="center"/>
                    <w:rPr>
                      <w:color w:val="auto"/>
                      <w:kern w:val="0"/>
                      <w:szCs w:val="21"/>
                    </w:rPr>
                  </w:pPr>
                  <w:r>
                    <w:rPr>
                      <w:rFonts w:hAnsi="宋体"/>
                      <w:color w:val="auto"/>
                      <w:kern w:val="0"/>
                      <w:szCs w:val="21"/>
                    </w:rPr>
                    <w:t>分布情况</w:t>
                  </w:r>
                </w:p>
              </w:tc>
              <w:tc>
                <w:tcPr>
                  <w:tcW w:w="2084" w:type="dxa"/>
                  <w:vAlign w:val="center"/>
                </w:tcPr>
                <w:p>
                  <w:pPr>
                    <w:autoSpaceDE w:val="0"/>
                    <w:autoSpaceDN w:val="0"/>
                    <w:adjustRightInd w:val="0"/>
                    <w:snapToGrid w:val="0"/>
                    <w:jc w:val="center"/>
                    <w:rPr>
                      <w:color w:val="auto"/>
                      <w:kern w:val="0"/>
                      <w:szCs w:val="21"/>
                    </w:rPr>
                  </w:pPr>
                  <w:r>
                    <w:rPr>
                      <w:rFonts w:hAnsi="宋体"/>
                      <w:color w:val="auto"/>
                      <w:kern w:val="0"/>
                      <w:szCs w:val="21"/>
                    </w:rPr>
                    <w:t>产生工序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Merge w:val="restart"/>
                  <w:vAlign w:val="center"/>
                </w:tcPr>
                <w:p>
                  <w:pPr>
                    <w:adjustRightInd w:val="0"/>
                    <w:snapToGrid w:val="0"/>
                    <w:jc w:val="center"/>
                    <w:rPr>
                      <w:bCs/>
                      <w:color w:val="auto"/>
                      <w:szCs w:val="21"/>
                    </w:rPr>
                  </w:pPr>
                  <w:r>
                    <w:rPr>
                      <w:rFonts w:hAnsi="宋体"/>
                      <w:bCs/>
                      <w:color w:val="auto"/>
                      <w:szCs w:val="21"/>
                    </w:rPr>
                    <w:t>危险废物</w:t>
                  </w:r>
                </w:p>
              </w:tc>
              <w:tc>
                <w:tcPr>
                  <w:tcW w:w="1927"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Ansi="宋体"/>
                      <w:color w:val="auto"/>
                      <w:szCs w:val="21"/>
                    </w:rPr>
                    <w:t>废包装桶</w:t>
                  </w:r>
                </w:p>
              </w:tc>
              <w:tc>
                <w:tcPr>
                  <w:tcW w:w="1393"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2013" w:type="dxa"/>
                  <w:vAlign w:val="center"/>
                </w:tcPr>
                <w:p>
                  <w:pPr>
                    <w:autoSpaceDE w:val="0"/>
                    <w:autoSpaceDN w:val="0"/>
                    <w:adjustRightInd w:val="0"/>
                    <w:snapToGrid w:val="0"/>
                    <w:jc w:val="center"/>
                    <w:rPr>
                      <w:rFonts w:ascii="Times New Roman" w:hAnsi="Times New Roman" w:eastAsia="宋体" w:cs="Times New Roman"/>
                      <w:bCs/>
                      <w:color w:val="auto"/>
                      <w:kern w:val="2"/>
                      <w:sz w:val="21"/>
                      <w:szCs w:val="21"/>
                      <w:lang w:val="en-US" w:eastAsia="zh-CN" w:bidi="ar-SA"/>
                    </w:rPr>
                  </w:pPr>
                  <w:r>
                    <w:rPr>
                      <w:rFonts w:hAnsi="宋体"/>
                      <w:color w:val="auto"/>
                      <w:kern w:val="0"/>
                      <w:szCs w:val="21"/>
                    </w:rPr>
                    <w:t>危废暂存库</w:t>
                  </w:r>
                </w:p>
              </w:tc>
              <w:tc>
                <w:tcPr>
                  <w:tcW w:w="2084" w:type="dxa"/>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hAnsi="宋体"/>
                      <w:color w:val="auto"/>
                      <w:szCs w:val="21"/>
                    </w:rPr>
                    <w:t>机油</w:t>
                  </w:r>
                  <w:r>
                    <w:rPr>
                      <w:rFonts w:hAnsi="宋体"/>
                      <w:color w:val="auto"/>
                      <w:szCs w:val="21"/>
                    </w:rPr>
                    <w:t>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Merge w:val="continue"/>
                  <w:vAlign w:val="center"/>
                </w:tcPr>
                <w:p>
                  <w:pPr>
                    <w:adjustRightInd w:val="0"/>
                    <w:snapToGrid w:val="0"/>
                    <w:jc w:val="center"/>
                    <w:rPr>
                      <w:bCs/>
                      <w:color w:val="auto"/>
                      <w:szCs w:val="21"/>
                    </w:rPr>
                  </w:pPr>
                </w:p>
              </w:tc>
              <w:tc>
                <w:tcPr>
                  <w:tcW w:w="1927" w:type="dxa"/>
                  <w:vAlign w:val="center"/>
                </w:tcPr>
                <w:p>
                  <w:pPr>
                    <w:pStyle w:val="144"/>
                    <w:adjustRightInd w:val="0"/>
                    <w:rPr>
                      <w:rFonts w:ascii="Times New Roman" w:hAnsi="Times New Roman" w:eastAsia="宋体" w:cs="Times New Roman"/>
                      <w:color w:val="auto"/>
                      <w:kern w:val="2"/>
                      <w:sz w:val="21"/>
                      <w:szCs w:val="21"/>
                      <w:lang w:val="en-US" w:eastAsia="zh-CN" w:bidi="ar-SA"/>
                    </w:rPr>
                  </w:pPr>
                  <w:r>
                    <w:rPr>
                      <w:rFonts w:hAnsi="宋体"/>
                      <w:color w:val="auto"/>
                      <w:sz w:val="21"/>
                      <w:szCs w:val="21"/>
                    </w:rPr>
                    <w:t>废</w:t>
                  </w:r>
                  <w:r>
                    <w:rPr>
                      <w:rFonts w:hint="eastAsia" w:hAnsi="宋体"/>
                      <w:color w:val="auto"/>
                      <w:sz w:val="21"/>
                      <w:szCs w:val="21"/>
                      <w:lang w:eastAsia="zh-CN"/>
                    </w:rPr>
                    <w:t>机</w:t>
                  </w:r>
                  <w:r>
                    <w:rPr>
                      <w:rFonts w:hAnsi="宋体"/>
                      <w:color w:val="auto"/>
                      <w:sz w:val="21"/>
                      <w:szCs w:val="21"/>
                    </w:rPr>
                    <w:t>油</w:t>
                  </w:r>
                </w:p>
              </w:tc>
              <w:tc>
                <w:tcPr>
                  <w:tcW w:w="1393"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c>
                <w:tcPr>
                  <w:tcW w:w="2013" w:type="dxa"/>
                  <w:vAlign w:val="center"/>
                </w:tcPr>
                <w:p>
                  <w:pPr>
                    <w:autoSpaceDE w:val="0"/>
                    <w:autoSpaceDN w:val="0"/>
                    <w:adjustRightInd w:val="0"/>
                    <w:snapToGrid w:val="0"/>
                    <w:jc w:val="center"/>
                    <w:rPr>
                      <w:rFonts w:ascii="Times New Roman" w:hAnsi="Times New Roman" w:eastAsia="宋体" w:cs="Times New Roman"/>
                      <w:color w:val="auto"/>
                      <w:kern w:val="0"/>
                      <w:sz w:val="21"/>
                      <w:szCs w:val="21"/>
                      <w:lang w:val="en-US" w:eastAsia="zh-CN" w:bidi="ar-SA"/>
                    </w:rPr>
                  </w:pPr>
                  <w:r>
                    <w:rPr>
                      <w:rFonts w:hAnsi="宋体"/>
                      <w:color w:val="auto"/>
                      <w:kern w:val="0"/>
                      <w:szCs w:val="21"/>
                    </w:rPr>
                    <w:t>危废暂存库</w:t>
                  </w:r>
                </w:p>
              </w:tc>
              <w:tc>
                <w:tcPr>
                  <w:tcW w:w="2084"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Ansi="宋体"/>
                      <w:color w:val="auto"/>
                      <w:szCs w:val="21"/>
                    </w:rPr>
                    <w:t>设备维护</w:t>
                  </w:r>
                  <w:r>
                    <w:rPr>
                      <w:rFonts w:hint="eastAsia" w:hAnsi="宋体"/>
                      <w:color w:val="auto"/>
                      <w:szCs w:val="21"/>
                      <w:lang w:eastAsia="zh-CN"/>
                    </w:rPr>
                    <w:t>、修理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Merge w:val="continue"/>
                  <w:vAlign w:val="center"/>
                </w:tcPr>
                <w:p>
                  <w:pPr>
                    <w:adjustRightInd w:val="0"/>
                    <w:snapToGrid w:val="0"/>
                    <w:jc w:val="center"/>
                    <w:rPr>
                      <w:bCs/>
                      <w:color w:val="auto"/>
                      <w:szCs w:val="21"/>
                    </w:rPr>
                  </w:pPr>
                </w:p>
              </w:tc>
              <w:tc>
                <w:tcPr>
                  <w:tcW w:w="1927" w:type="dxa"/>
                  <w:vAlign w:val="center"/>
                </w:tcPr>
                <w:p>
                  <w:pPr>
                    <w:pStyle w:val="144"/>
                    <w:adjustRightInd w:val="0"/>
                    <w:rPr>
                      <w:rFonts w:hAnsi="宋体"/>
                      <w:color w:val="auto"/>
                      <w:sz w:val="21"/>
                      <w:szCs w:val="21"/>
                    </w:rPr>
                  </w:pPr>
                  <w:r>
                    <w:rPr>
                      <w:rFonts w:hint="eastAsia" w:hAnsi="宋体"/>
                      <w:color w:val="auto"/>
                      <w:sz w:val="21"/>
                      <w:szCs w:val="21"/>
                    </w:rPr>
                    <w:t>废弃的含油抹布、劳保用品</w:t>
                  </w:r>
                </w:p>
              </w:tc>
              <w:tc>
                <w:tcPr>
                  <w:tcW w:w="1393"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0.03</w:t>
                  </w:r>
                </w:p>
              </w:tc>
              <w:tc>
                <w:tcPr>
                  <w:tcW w:w="2013" w:type="dxa"/>
                  <w:vAlign w:val="center"/>
                </w:tcPr>
                <w:p>
                  <w:pPr>
                    <w:autoSpaceDE w:val="0"/>
                    <w:autoSpaceDN w:val="0"/>
                    <w:adjustRightInd w:val="0"/>
                    <w:snapToGrid w:val="0"/>
                    <w:jc w:val="center"/>
                    <w:rPr>
                      <w:rFonts w:hint="eastAsia" w:hAnsi="宋体" w:eastAsia="宋体"/>
                      <w:color w:val="auto"/>
                      <w:kern w:val="0"/>
                      <w:szCs w:val="21"/>
                      <w:lang w:eastAsia="zh-CN"/>
                    </w:rPr>
                  </w:pPr>
                  <w:r>
                    <w:rPr>
                      <w:rFonts w:hAnsi="宋体"/>
                      <w:color w:val="auto"/>
                      <w:kern w:val="0"/>
                      <w:szCs w:val="21"/>
                    </w:rPr>
                    <w:t>危废暂存库</w:t>
                  </w:r>
                  <w:r>
                    <w:rPr>
                      <w:rFonts w:hint="eastAsia" w:hAnsi="宋体"/>
                      <w:color w:val="auto"/>
                      <w:kern w:val="0"/>
                      <w:szCs w:val="21"/>
                      <w:lang w:eastAsia="zh-CN"/>
                    </w:rPr>
                    <w:t>、车间内</w:t>
                  </w:r>
                </w:p>
              </w:tc>
              <w:tc>
                <w:tcPr>
                  <w:tcW w:w="2084" w:type="dxa"/>
                  <w:vAlign w:val="center"/>
                </w:tcPr>
                <w:p>
                  <w:pPr>
                    <w:adjustRightInd w:val="0"/>
                    <w:snapToGrid w:val="0"/>
                    <w:jc w:val="center"/>
                    <w:rPr>
                      <w:rFonts w:hAnsi="宋体"/>
                      <w:color w:val="auto"/>
                      <w:szCs w:val="21"/>
                    </w:rPr>
                  </w:pPr>
                  <w:r>
                    <w:rPr>
                      <w:rFonts w:hint="eastAsia" w:ascii="Times New Roman" w:hAnsi="Times New Roman" w:eastAsia="宋体" w:cs="Times New Roman"/>
                      <w:sz w:val="21"/>
                      <w:szCs w:val="21"/>
                    </w:rPr>
                    <w:t>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03" w:type="dxa"/>
                  <w:vMerge w:val="continue"/>
                  <w:vAlign w:val="center"/>
                </w:tcPr>
                <w:p>
                  <w:pPr>
                    <w:adjustRightInd w:val="0"/>
                    <w:snapToGrid w:val="0"/>
                    <w:jc w:val="center"/>
                    <w:rPr>
                      <w:bCs/>
                      <w:color w:val="auto"/>
                      <w:szCs w:val="21"/>
                    </w:rPr>
                  </w:pPr>
                </w:p>
              </w:tc>
              <w:tc>
                <w:tcPr>
                  <w:tcW w:w="1927" w:type="dxa"/>
                  <w:vAlign w:val="center"/>
                </w:tcPr>
                <w:p>
                  <w:pPr>
                    <w:pStyle w:val="144"/>
                    <w:adjustRightInd w:val="0"/>
                    <w:rPr>
                      <w:rFonts w:hint="eastAsia" w:hAnsi="宋体" w:eastAsia="宋体"/>
                      <w:color w:val="auto"/>
                      <w:sz w:val="21"/>
                      <w:szCs w:val="21"/>
                      <w:lang w:eastAsia="zh-CN"/>
                    </w:rPr>
                  </w:pPr>
                  <w:r>
                    <w:rPr>
                      <w:rFonts w:hint="eastAsia" w:hAnsi="宋体"/>
                      <w:color w:val="auto"/>
                      <w:sz w:val="21"/>
                      <w:szCs w:val="21"/>
                      <w:lang w:eastAsia="zh-CN"/>
                    </w:rPr>
                    <w:t>喷淋废液</w:t>
                  </w:r>
                </w:p>
              </w:tc>
              <w:tc>
                <w:tcPr>
                  <w:tcW w:w="1393" w:type="dxa"/>
                  <w:vAlign w:val="center"/>
                </w:tcPr>
                <w:p>
                  <w:pPr>
                    <w:adjustRightInd w:val="0"/>
                    <w:snapToGrid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013" w:type="dxa"/>
                  <w:vAlign w:val="center"/>
                </w:tcPr>
                <w:p>
                  <w:pPr>
                    <w:autoSpaceDE w:val="0"/>
                    <w:autoSpaceDN w:val="0"/>
                    <w:adjustRightInd w:val="0"/>
                    <w:snapToGrid w:val="0"/>
                    <w:jc w:val="center"/>
                    <w:rPr>
                      <w:rFonts w:hint="eastAsia" w:hAnsi="宋体" w:eastAsia="宋体"/>
                      <w:color w:val="auto"/>
                      <w:kern w:val="0"/>
                      <w:szCs w:val="21"/>
                      <w:lang w:eastAsia="zh-CN"/>
                    </w:rPr>
                  </w:pPr>
                  <w:r>
                    <w:rPr>
                      <w:rFonts w:hAnsi="宋体"/>
                      <w:color w:val="auto"/>
                      <w:kern w:val="0"/>
                      <w:szCs w:val="21"/>
                    </w:rPr>
                    <w:t>危废暂存库</w:t>
                  </w:r>
                  <w:r>
                    <w:rPr>
                      <w:rFonts w:hint="eastAsia" w:hAnsi="宋体"/>
                      <w:color w:val="auto"/>
                      <w:kern w:val="0"/>
                      <w:szCs w:val="21"/>
                      <w:lang w:eastAsia="zh-CN"/>
                    </w:rPr>
                    <w:t>、废气处理装置</w:t>
                  </w:r>
                </w:p>
              </w:tc>
              <w:tc>
                <w:tcPr>
                  <w:tcW w:w="2084" w:type="dxa"/>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eastAsia="zh-CN"/>
                    </w:rPr>
                    <w:t>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dxa"/>
                  <w:vAlign w:val="center"/>
                </w:tcPr>
                <w:p>
                  <w:pPr>
                    <w:adjustRightInd w:val="0"/>
                    <w:snapToGrid w:val="0"/>
                    <w:jc w:val="center"/>
                    <w:rPr>
                      <w:color w:val="auto"/>
                      <w:szCs w:val="21"/>
                    </w:rPr>
                  </w:pPr>
                  <w:r>
                    <w:rPr>
                      <w:rFonts w:hAnsi="宋体"/>
                      <w:color w:val="auto"/>
                      <w:szCs w:val="21"/>
                    </w:rPr>
                    <w:t>油类物质</w:t>
                  </w:r>
                </w:p>
              </w:tc>
              <w:tc>
                <w:tcPr>
                  <w:tcW w:w="1927" w:type="dxa"/>
                  <w:vAlign w:val="center"/>
                </w:tcPr>
                <w:p>
                  <w:pPr>
                    <w:adjustRightInd w:val="0"/>
                    <w:snapToGrid w:val="0"/>
                    <w:jc w:val="center"/>
                    <w:rPr>
                      <w:bCs/>
                      <w:color w:val="auto"/>
                      <w:kern w:val="0"/>
                      <w:szCs w:val="21"/>
                    </w:rPr>
                  </w:pPr>
                  <w:r>
                    <w:rPr>
                      <w:rFonts w:hAnsi="宋体"/>
                      <w:color w:val="auto"/>
                      <w:kern w:val="24"/>
                      <w:szCs w:val="21"/>
                      <w:lang w:val="zh-CN"/>
                    </w:rPr>
                    <w:t>机油</w:t>
                  </w:r>
                </w:p>
              </w:tc>
              <w:tc>
                <w:tcPr>
                  <w:tcW w:w="1393" w:type="dxa"/>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2</w:t>
                  </w:r>
                </w:p>
              </w:tc>
              <w:tc>
                <w:tcPr>
                  <w:tcW w:w="2013" w:type="dxa"/>
                  <w:vAlign w:val="center"/>
                </w:tcPr>
                <w:p>
                  <w:pPr>
                    <w:adjustRightInd w:val="0"/>
                    <w:snapToGrid w:val="0"/>
                    <w:jc w:val="center"/>
                    <w:rPr>
                      <w:color w:val="auto"/>
                      <w:kern w:val="0"/>
                      <w:szCs w:val="21"/>
                    </w:rPr>
                  </w:pPr>
                  <w:r>
                    <w:rPr>
                      <w:rFonts w:hAnsi="宋体"/>
                      <w:color w:val="auto"/>
                      <w:szCs w:val="21"/>
                    </w:rPr>
                    <w:t>原料仓库</w:t>
                  </w:r>
                </w:p>
              </w:tc>
              <w:tc>
                <w:tcPr>
                  <w:tcW w:w="2084" w:type="dxa"/>
                  <w:vAlign w:val="center"/>
                </w:tcPr>
                <w:p>
                  <w:pPr>
                    <w:adjustRightInd w:val="0"/>
                    <w:snapToGrid w:val="0"/>
                    <w:jc w:val="center"/>
                    <w:rPr>
                      <w:color w:val="auto"/>
                      <w:szCs w:val="21"/>
                      <w:highlight w:val="red"/>
                    </w:rPr>
                  </w:pPr>
                  <w:r>
                    <w:rPr>
                      <w:rFonts w:hAnsi="宋体"/>
                      <w:color w:val="auto"/>
                      <w:szCs w:val="21"/>
                    </w:rPr>
                    <w:t>机修</w:t>
                  </w:r>
                </w:p>
              </w:tc>
            </w:tr>
          </w:tbl>
          <w:p>
            <w:pPr>
              <w:spacing w:line="500" w:lineRule="exact"/>
              <w:ind w:firstLine="480" w:firstLineChars="200"/>
              <w:rPr>
                <w:color w:val="auto"/>
                <w:sz w:val="24"/>
                <w:lang w:val="zh-CN"/>
              </w:rPr>
            </w:pPr>
            <w:r>
              <w:rPr>
                <w:color w:val="auto"/>
                <w:sz w:val="24"/>
                <w:lang w:val="zh-CN"/>
              </w:rPr>
              <w:t>b</w:t>
            </w:r>
            <w:r>
              <w:rPr>
                <w:rFonts w:hAnsi="宋体"/>
                <w:color w:val="auto"/>
                <w:sz w:val="24"/>
                <w:lang w:val="zh-CN"/>
              </w:rPr>
              <w:t>）生产工艺危险性</w:t>
            </w:r>
          </w:p>
          <w:p>
            <w:pPr>
              <w:spacing w:line="500" w:lineRule="exact"/>
              <w:ind w:firstLine="480" w:firstLineChars="200"/>
              <w:rPr>
                <w:color w:val="auto"/>
                <w:sz w:val="24"/>
                <w:lang w:val="zh-CN"/>
              </w:rPr>
            </w:pPr>
            <w:r>
              <w:rPr>
                <w:rFonts w:hAnsi="宋体"/>
                <w:color w:val="auto"/>
                <w:sz w:val="24"/>
                <w:lang w:val="zh-CN"/>
              </w:rPr>
              <w:t>本项目主要工艺为喷水织造工艺</w:t>
            </w:r>
            <w:r>
              <w:rPr>
                <w:rFonts w:hint="eastAsia" w:hAnsi="宋体"/>
                <w:color w:val="auto"/>
                <w:sz w:val="24"/>
                <w:lang w:val="zh-CN"/>
              </w:rPr>
              <w:t>、整浆并工艺</w:t>
            </w:r>
            <w:r>
              <w:rPr>
                <w:rFonts w:hAnsi="宋体"/>
                <w:color w:val="auto"/>
                <w:sz w:val="24"/>
                <w:lang w:val="zh-CN"/>
              </w:rPr>
              <w:t>，不涉及危险工艺。</w:t>
            </w:r>
          </w:p>
          <w:p>
            <w:pPr>
              <w:spacing w:line="500" w:lineRule="exact"/>
              <w:jc w:val="left"/>
              <w:rPr>
                <w:b/>
                <w:color w:val="auto"/>
                <w:sz w:val="24"/>
              </w:rPr>
            </w:pPr>
            <w:r>
              <w:rPr>
                <w:b/>
                <w:color w:val="auto"/>
                <w:sz w:val="24"/>
              </w:rPr>
              <w:t>4.</w:t>
            </w:r>
            <w:r>
              <w:rPr>
                <w:rFonts w:hint="eastAsia"/>
                <w:b/>
                <w:color w:val="auto"/>
                <w:sz w:val="24"/>
                <w:lang w:val="en-US" w:eastAsia="zh-CN"/>
              </w:rPr>
              <w:t>8</w:t>
            </w:r>
            <w:r>
              <w:rPr>
                <w:b/>
                <w:color w:val="auto"/>
                <w:sz w:val="24"/>
              </w:rPr>
              <w:t>.2 Q</w:t>
            </w:r>
            <w:r>
              <w:rPr>
                <w:rFonts w:hAnsi="宋体"/>
                <w:b/>
                <w:color w:val="auto"/>
                <w:sz w:val="24"/>
              </w:rPr>
              <w:t>值计算</w:t>
            </w:r>
          </w:p>
          <w:p>
            <w:pPr>
              <w:widowControl/>
              <w:spacing w:line="500" w:lineRule="exact"/>
              <w:ind w:firstLine="480" w:firstLineChars="200"/>
              <w:jc w:val="left"/>
              <w:rPr>
                <w:sz w:val="24"/>
              </w:rPr>
            </w:pPr>
            <w:r>
              <w:rPr>
                <w:rFonts w:hAnsi="宋体"/>
                <w:sz w:val="24"/>
              </w:rPr>
              <w:t>计算所涉及的每种危险物质在厂界内的最大存在总量与其在《建设项目环境风险评价技术导则》（</w:t>
            </w:r>
            <w:r>
              <w:rPr>
                <w:sz w:val="24"/>
              </w:rPr>
              <w:t>HJ169-2018</w:t>
            </w:r>
            <w:r>
              <w:rPr>
                <w:rFonts w:hAnsi="宋体"/>
                <w:sz w:val="24"/>
              </w:rPr>
              <w:t>）附录</w:t>
            </w:r>
            <w:r>
              <w:rPr>
                <w:sz w:val="24"/>
              </w:rPr>
              <w:t>B</w:t>
            </w:r>
            <w:r>
              <w:rPr>
                <w:rFonts w:hAnsi="宋体"/>
                <w:sz w:val="24"/>
              </w:rPr>
              <w:t>中对应临界量的比值</w:t>
            </w:r>
            <w:r>
              <w:rPr>
                <w:sz w:val="24"/>
              </w:rPr>
              <w:t>Q</w:t>
            </w:r>
            <w:r>
              <w:rPr>
                <w:rFonts w:hAnsi="宋体"/>
                <w:sz w:val="24"/>
              </w:rPr>
              <w:t>。当至涉及一种危险物质时，计算该物质的总量与其临界量比值，即为</w:t>
            </w:r>
            <w:r>
              <w:rPr>
                <w:sz w:val="24"/>
              </w:rPr>
              <w:t>Q</w:t>
            </w:r>
            <w:r>
              <w:rPr>
                <w:rFonts w:hAnsi="宋体"/>
                <w:sz w:val="24"/>
              </w:rPr>
              <w:t>；</w:t>
            </w:r>
          </w:p>
          <w:p>
            <w:pPr>
              <w:widowControl/>
              <w:spacing w:line="500" w:lineRule="exact"/>
              <w:ind w:firstLine="480" w:firstLineChars="200"/>
              <w:jc w:val="left"/>
              <w:rPr>
                <w:sz w:val="24"/>
              </w:rPr>
            </w:pPr>
            <w:r>
              <w:rPr>
                <w:rFonts w:hAnsi="宋体"/>
                <w:sz w:val="24"/>
              </w:rPr>
              <w:t>但存在多种危险物质时，按下式计算：</w:t>
            </w:r>
          </w:p>
          <w:p>
            <w:pPr>
              <w:widowControl/>
              <w:spacing w:line="500" w:lineRule="exact"/>
              <w:ind w:firstLine="200"/>
              <w:jc w:val="center"/>
              <w:rPr>
                <w:sz w:val="24"/>
              </w:rPr>
            </w:pPr>
            <w:r>
              <w:rPr>
                <w:sz w:val="24"/>
              </w:rPr>
              <w:t>Q=q</w:t>
            </w:r>
            <w:r>
              <w:rPr>
                <w:sz w:val="24"/>
                <w:vertAlign w:val="subscript"/>
              </w:rPr>
              <w:t>1</w:t>
            </w:r>
            <w:r>
              <w:rPr>
                <w:sz w:val="24"/>
              </w:rPr>
              <w:t>/Q</w:t>
            </w:r>
            <w:r>
              <w:rPr>
                <w:sz w:val="24"/>
                <w:vertAlign w:val="subscript"/>
              </w:rPr>
              <w:t>1</w:t>
            </w:r>
            <w:r>
              <w:rPr>
                <w:sz w:val="24"/>
              </w:rPr>
              <w:t>+ q</w:t>
            </w:r>
            <w:r>
              <w:rPr>
                <w:sz w:val="24"/>
                <w:vertAlign w:val="subscript"/>
              </w:rPr>
              <w:t>2</w:t>
            </w:r>
            <w:r>
              <w:rPr>
                <w:sz w:val="24"/>
              </w:rPr>
              <w:t>/Q</w:t>
            </w:r>
            <w:r>
              <w:rPr>
                <w:sz w:val="24"/>
                <w:vertAlign w:val="subscript"/>
              </w:rPr>
              <w:t>2</w:t>
            </w:r>
            <w:r>
              <w:rPr>
                <w:sz w:val="24"/>
              </w:rPr>
              <w:t>+……+q</w:t>
            </w:r>
            <w:r>
              <w:rPr>
                <w:sz w:val="24"/>
                <w:vertAlign w:val="subscript"/>
              </w:rPr>
              <w:t>n</w:t>
            </w:r>
            <w:r>
              <w:rPr>
                <w:sz w:val="24"/>
              </w:rPr>
              <w:t>/Q</w:t>
            </w:r>
            <w:r>
              <w:rPr>
                <w:sz w:val="24"/>
                <w:vertAlign w:val="subscript"/>
              </w:rPr>
              <w:t>n</w:t>
            </w:r>
          </w:p>
          <w:p>
            <w:pPr>
              <w:widowControl/>
              <w:spacing w:line="500" w:lineRule="exact"/>
              <w:ind w:firstLine="480" w:firstLineChars="200"/>
              <w:jc w:val="left"/>
              <w:rPr>
                <w:sz w:val="24"/>
              </w:rPr>
            </w:pPr>
            <w:r>
              <w:rPr>
                <w:rFonts w:hAnsi="宋体"/>
                <w:sz w:val="24"/>
              </w:rPr>
              <w:t>式中：</w:t>
            </w: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rFonts w:hAnsi="宋体"/>
                <w:sz w:val="24"/>
              </w:rPr>
              <w:t>－每种危险物质最大存在量</w:t>
            </w:r>
            <w:r>
              <w:rPr>
                <w:sz w:val="24"/>
              </w:rPr>
              <w:t>(t)</w:t>
            </w:r>
            <w:r>
              <w:rPr>
                <w:rFonts w:hAnsi="宋体"/>
                <w:sz w:val="24"/>
              </w:rPr>
              <w:t>；</w:t>
            </w:r>
          </w:p>
          <w:p>
            <w:pPr>
              <w:widowControl/>
              <w:spacing w:line="500" w:lineRule="exact"/>
              <w:ind w:firstLine="480" w:firstLineChars="200"/>
              <w:jc w:val="left"/>
              <w:rPr>
                <w:sz w:val="24"/>
              </w:rPr>
            </w:pPr>
            <w:r>
              <w:rPr>
                <w:sz w:val="24"/>
              </w:rPr>
              <w:t xml:space="preserve">      Q</w:t>
            </w:r>
            <w:r>
              <w:rPr>
                <w:sz w:val="24"/>
                <w:vertAlign w:val="subscript"/>
              </w:rPr>
              <w:t>1</w:t>
            </w:r>
            <w:r>
              <w:rPr>
                <w:sz w:val="24"/>
              </w:rPr>
              <w:t>,Q</w:t>
            </w:r>
            <w:r>
              <w:rPr>
                <w:sz w:val="24"/>
                <w:vertAlign w:val="subscript"/>
              </w:rPr>
              <w:t>2</w:t>
            </w:r>
            <w:r>
              <w:rPr>
                <w:sz w:val="24"/>
              </w:rPr>
              <w:t>……Q</w:t>
            </w:r>
            <w:r>
              <w:rPr>
                <w:sz w:val="24"/>
                <w:vertAlign w:val="subscript"/>
              </w:rPr>
              <w:t>n</w:t>
            </w:r>
            <w:r>
              <w:rPr>
                <w:rFonts w:hAnsi="宋体"/>
                <w:sz w:val="24"/>
              </w:rPr>
              <w:t>－每种危险物质的临界量</w:t>
            </w:r>
            <w:r>
              <w:rPr>
                <w:sz w:val="24"/>
              </w:rPr>
              <w:t>(t)</w:t>
            </w:r>
            <w:r>
              <w:rPr>
                <w:rFonts w:hAnsi="宋体"/>
                <w:sz w:val="24"/>
              </w:rPr>
              <w:t>。</w:t>
            </w:r>
          </w:p>
          <w:p>
            <w:pPr>
              <w:autoSpaceDE w:val="0"/>
              <w:autoSpaceDN w:val="0"/>
              <w:adjustRightInd w:val="0"/>
              <w:spacing w:line="460" w:lineRule="exact"/>
              <w:ind w:firstLine="422" w:firstLineChars="200"/>
              <w:jc w:val="center"/>
              <w:rPr>
                <w:color w:val="auto"/>
              </w:rPr>
            </w:pPr>
            <w:r>
              <w:rPr>
                <w:rFonts w:hAnsi="宋体"/>
                <w:b/>
                <w:bCs/>
                <w:color w:val="auto"/>
                <w:kern w:val="0"/>
                <w:szCs w:val="21"/>
              </w:rPr>
              <w:t>表</w:t>
            </w:r>
            <w:r>
              <w:rPr>
                <w:b/>
                <w:bCs/>
                <w:color w:val="auto"/>
                <w:kern w:val="0"/>
                <w:szCs w:val="21"/>
              </w:rPr>
              <w:t>4.</w:t>
            </w:r>
            <w:r>
              <w:rPr>
                <w:rFonts w:hint="eastAsia"/>
                <w:b/>
                <w:bCs/>
                <w:color w:val="auto"/>
                <w:kern w:val="0"/>
                <w:szCs w:val="21"/>
                <w:lang w:val="en-US" w:eastAsia="zh-CN"/>
              </w:rPr>
              <w:t>8</w:t>
            </w:r>
            <w:r>
              <w:rPr>
                <w:b/>
                <w:bCs/>
                <w:color w:val="auto"/>
                <w:kern w:val="0"/>
                <w:szCs w:val="21"/>
              </w:rPr>
              <w:t xml:space="preserve">-2  </w:t>
            </w:r>
            <w:r>
              <w:rPr>
                <w:rFonts w:hAnsi="宋体"/>
                <w:b/>
                <w:bCs/>
                <w:color w:val="auto"/>
                <w:kern w:val="0"/>
                <w:szCs w:val="21"/>
              </w:rPr>
              <w:t>建设项目危险物质</w:t>
            </w:r>
            <w:r>
              <w:rPr>
                <w:b/>
                <w:bCs/>
                <w:color w:val="auto"/>
                <w:kern w:val="0"/>
                <w:szCs w:val="21"/>
              </w:rPr>
              <w:t>Q</w:t>
            </w:r>
            <w:r>
              <w:rPr>
                <w:rFonts w:hAnsi="宋体"/>
                <w:b/>
                <w:bCs/>
                <w:color w:val="auto"/>
                <w:kern w:val="0"/>
                <w:szCs w:val="21"/>
              </w:rPr>
              <w:t>值计算结果</w:t>
            </w:r>
          </w:p>
          <w:tbl>
            <w:tblPr>
              <w:tblStyle w:val="40"/>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425"/>
              <w:gridCol w:w="2559"/>
              <w:gridCol w:w="1698"/>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36" w:type="dxa"/>
                  <w:noWrap/>
                  <w:vAlign w:val="center"/>
                </w:tcPr>
                <w:p>
                  <w:pPr>
                    <w:adjustRightInd w:val="0"/>
                    <w:snapToGrid w:val="0"/>
                    <w:jc w:val="center"/>
                    <w:rPr>
                      <w:color w:val="auto"/>
                      <w:szCs w:val="21"/>
                    </w:rPr>
                  </w:pPr>
                  <w:r>
                    <w:rPr>
                      <w:rFonts w:hAnsi="宋体"/>
                      <w:color w:val="auto"/>
                      <w:szCs w:val="21"/>
                    </w:rPr>
                    <w:t>物料名称</w:t>
                  </w:r>
                </w:p>
              </w:tc>
              <w:tc>
                <w:tcPr>
                  <w:tcW w:w="1425" w:type="dxa"/>
                  <w:noWrap/>
                  <w:vAlign w:val="center"/>
                </w:tcPr>
                <w:p>
                  <w:pPr>
                    <w:adjustRightInd w:val="0"/>
                    <w:snapToGrid w:val="0"/>
                    <w:jc w:val="center"/>
                    <w:rPr>
                      <w:color w:val="auto"/>
                      <w:szCs w:val="21"/>
                    </w:rPr>
                  </w:pPr>
                  <w:r>
                    <w:rPr>
                      <w:rFonts w:hAnsi="宋体"/>
                      <w:color w:val="auto"/>
                      <w:szCs w:val="21"/>
                    </w:rPr>
                    <w:t>年使用量</w:t>
                  </w:r>
                  <w:r>
                    <w:rPr>
                      <w:color w:val="auto"/>
                      <w:szCs w:val="21"/>
                    </w:rPr>
                    <w:t>/</w:t>
                  </w:r>
                </w:p>
                <w:p>
                  <w:pPr>
                    <w:adjustRightInd w:val="0"/>
                    <w:snapToGrid w:val="0"/>
                    <w:jc w:val="center"/>
                    <w:rPr>
                      <w:color w:val="auto"/>
                      <w:szCs w:val="21"/>
                    </w:rPr>
                  </w:pPr>
                  <w:r>
                    <w:rPr>
                      <w:rFonts w:hAnsi="宋体"/>
                      <w:color w:val="auto"/>
                      <w:szCs w:val="21"/>
                    </w:rPr>
                    <w:t>产生量</w:t>
                  </w:r>
                  <w:r>
                    <w:rPr>
                      <w:color w:val="auto"/>
                      <w:szCs w:val="21"/>
                    </w:rPr>
                    <w:t>t</w:t>
                  </w:r>
                </w:p>
              </w:tc>
              <w:tc>
                <w:tcPr>
                  <w:tcW w:w="2559" w:type="dxa"/>
                  <w:noWrap/>
                  <w:vAlign w:val="center"/>
                </w:tcPr>
                <w:p>
                  <w:pPr>
                    <w:adjustRightInd w:val="0"/>
                    <w:snapToGrid w:val="0"/>
                    <w:jc w:val="center"/>
                    <w:rPr>
                      <w:color w:val="auto"/>
                      <w:szCs w:val="21"/>
                    </w:rPr>
                  </w:pPr>
                  <w:r>
                    <w:rPr>
                      <w:rFonts w:hAnsi="宋体"/>
                      <w:color w:val="auto"/>
                      <w:szCs w:val="21"/>
                    </w:rPr>
                    <w:t>最大储存量</w:t>
                  </w:r>
                  <w:r>
                    <w:rPr>
                      <w:color w:val="auto"/>
                      <w:szCs w:val="21"/>
                    </w:rPr>
                    <w:t>t</w:t>
                  </w:r>
                </w:p>
              </w:tc>
              <w:tc>
                <w:tcPr>
                  <w:tcW w:w="1698" w:type="dxa"/>
                  <w:noWrap/>
                  <w:vAlign w:val="center"/>
                </w:tcPr>
                <w:p>
                  <w:pPr>
                    <w:adjustRightInd w:val="0"/>
                    <w:snapToGrid w:val="0"/>
                    <w:jc w:val="center"/>
                    <w:rPr>
                      <w:color w:val="auto"/>
                      <w:szCs w:val="21"/>
                    </w:rPr>
                  </w:pPr>
                  <w:r>
                    <w:rPr>
                      <w:rFonts w:hAnsi="宋体"/>
                      <w:color w:val="auto"/>
                      <w:szCs w:val="21"/>
                    </w:rPr>
                    <w:t>临界储存量</w:t>
                  </w:r>
                  <w:r>
                    <w:rPr>
                      <w:color w:val="auto"/>
                      <w:szCs w:val="21"/>
                    </w:rPr>
                    <w:t>t</w:t>
                  </w:r>
                </w:p>
              </w:tc>
              <w:tc>
                <w:tcPr>
                  <w:tcW w:w="1150" w:type="dxa"/>
                  <w:noWrap/>
                  <w:vAlign w:val="center"/>
                </w:tcPr>
                <w:p>
                  <w:pPr>
                    <w:adjustRightInd w:val="0"/>
                    <w:snapToGrid w:val="0"/>
                    <w:jc w:val="center"/>
                    <w:rPr>
                      <w:color w:val="auto"/>
                      <w:szCs w:val="21"/>
                    </w:rPr>
                  </w:pPr>
                  <w:r>
                    <w:rPr>
                      <w:color w:val="auto"/>
                      <w:szCs w:val="2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6" w:type="dxa"/>
                  <w:noWrap/>
                  <w:vAlign w:val="center"/>
                </w:tcPr>
                <w:p>
                  <w:pPr>
                    <w:adjustRightInd w:val="0"/>
                    <w:snapToGrid w:val="0"/>
                    <w:jc w:val="center"/>
                    <w:rPr>
                      <w:color w:val="auto"/>
                      <w:szCs w:val="21"/>
                    </w:rPr>
                  </w:pPr>
                  <w:r>
                    <w:rPr>
                      <w:rFonts w:hAnsi="宋体"/>
                      <w:color w:val="auto"/>
                      <w:szCs w:val="21"/>
                    </w:rPr>
                    <w:t>油类物质</w:t>
                  </w:r>
                </w:p>
              </w:tc>
              <w:tc>
                <w:tcPr>
                  <w:tcW w:w="1425" w:type="dxa"/>
                  <w:noWrap/>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2</w:t>
                  </w:r>
                </w:p>
              </w:tc>
              <w:tc>
                <w:tcPr>
                  <w:tcW w:w="2559" w:type="dxa"/>
                  <w:noWrap/>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1</w:t>
                  </w:r>
                </w:p>
              </w:tc>
              <w:tc>
                <w:tcPr>
                  <w:tcW w:w="1698" w:type="dxa"/>
                  <w:noWrap/>
                  <w:vAlign w:val="center"/>
                </w:tcPr>
                <w:p>
                  <w:pPr>
                    <w:adjustRightInd w:val="0"/>
                    <w:snapToGrid w:val="0"/>
                    <w:jc w:val="center"/>
                    <w:rPr>
                      <w:color w:val="auto"/>
                      <w:szCs w:val="21"/>
                    </w:rPr>
                  </w:pPr>
                  <w:r>
                    <w:rPr>
                      <w:color w:val="auto"/>
                      <w:szCs w:val="21"/>
                    </w:rPr>
                    <w:t>2500</w:t>
                  </w:r>
                </w:p>
              </w:tc>
              <w:tc>
                <w:tcPr>
                  <w:tcW w:w="1150" w:type="dxa"/>
                  <w:noWrap/>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6" w:type="dxa"/>
                  <w:noWrap/>
                  <w:vAlign w:val="center"/>
                </w:tcPr>
                <w:p>
                  <w:pPr>
                    <w:adjustRightInd w:val="0"/>
                    <w:snapToGrid w:val="0"/>
                    <w:jc w:val="center"/>
                    <w:rPr>
                      <w:color w:val="auto"/>
                      <w:szCs w:val="21"/>
                    </w:rPr>
                  </w:pPr>
                  <w:r>
                    <w:rPr>
                      <w:rFonts w:hAnsi="宋体"/>
                      <w:color w:val="auto"/>
                      <w:szCs w:val="21"/>
                    </w:rPr>
                    <w:t>危险废物</w:t>
                  </w:r>
                </w:p>
              </w:tc>
              <w:tc>
                <w:tcPr>
                  <w:tcW w:w="1425" w:type="dxa"/>
                  <w:noWrap/>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5.73</w:t>
                  </w:r>
                </w:p>
              </w:tc>
              <w:tc>
                <w:tcPr>
                  <w:tcW w:w="2559" w:type="dxa"/>
                  <w:noWrap/>
                  <w:vAlign w:val="center"/>
                </w:tcPr>
                <w:p>
                  <w:pPr>
                    <w:adjustRightInd w:val="0"/>
                    <w:snapToGrid w:val="0"/>
                    <w:jc w:val="center"/>
                    <w:rPr>
                      <w:color w:val="auto"/>
                      <w:szCs w:val="21"/>
                    </w:rPr>
                  </w:pPr>
                  <w:r>
                    <w:rPr>
                      <w:rFonts w:hint="eastAsia"/>
                      <w:color w:val="auto"/>
                      <w:szCs w:val="21"/>
                      <w:lang w:val="en-US" w:eastAsia="zh-CN"/>
                    </w:rPr>
                    <w:t>5.73</w:t>
                  </w:r>
                  <w:r>
                    <w:rPr>
                      <w:rFonts w:hAnsi="宋体"/>
                      <w:color w:val="auto"/>
                      <w:szCs w:val="21"/>
                    </w:rPr>
                    <w:t>（危废暂存周期为</w:t>
                  </w:r>
                  <w:r>
                    <w:rPr>
                      <w:rFonts w:hint="eastAsia"/>
                      <w:color w:val="auto"/>
                      <w:szCs w:val="21"/>
                    </w:rPr>
                    <w:t>1年</w:t>
                  </w:r>
                  <w:r>
                    <w:rPr>
                      <w:rFonts w:hAnsi="宋体"/>
                      <w:color w:val="auto"/>
                      <w:szCs w:val="21"/>
                    </w:rPr>
                    <w:t>）</w:t>
                  </w:r>
                </w:p>
              </w:tc>
              <w:tc>
                <w:tcPr>
                  <w:tcW w:w="1698" w:type="dxa"/>
                  <w:noWrap/>
                  <w:vAlign w:val="center"/>
                </w:tcPr>
                <w:p>
                  <w:pPr>
                    <w:adjustRightInd w:val="0"/>
                    <w:snapToGrid w:val="0"/>
                    <w:jc w:val="center"/>
                    <w:rPr>
                      <w:color w:val="auto"/>
                      <w:szCs w:val="21"/>
                    </w:rPr>
                  </w:pPr>
                  <w:r>
                    <w:rPr>
                      <w:color w:val="auto"/>
                      <w:szCs w:val="21"/>
                    </w:rPr>
                    <w:t>50</w:t>
                  </w:r>
                </w:p>
              </w:tc>
              <w:tc>
                <w:tcPr>
                  <w:tcW w:w="1150" w:type="dxa"/>
                  <w:noWrap/>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0.1146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8" w:type="dxa"/>
                  <w:gridSpan w:val="4"/>
                  <w:noWrap/>
                  <w:vAlign w:val="center"/>
                </w:tcPr>
                <w:p>
                  <w:pPr>
                    <w:adjustRightInd w:val="0"/>
                    <w:snapToGrid w:val="0"/>
                    <w:jc w:val="center"/>
                    <w:rPr>
                      <w:color w:val="auto"/>
                      <w:szCs w:val="21"/>
                    </w:rPr>
                  </w:pPr>
                  <w:r>
                    <w:rPr>
                      <w:rFonts w:hAnsi="宋体"/>
                      <w:color w:val="auto"/>
                      <w:szCs w:val="21"/>
                    </w:rPr>
                    <w:t>合计</w:t>
                  </w:r>
                </w:p>
              </w:tc>
              <w:tc>
                <w:tcPr>
                  <w:tcW w:w="1150" w:type="dxa"/>
                  <w:noWrap/>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0.115</w:t>
                  </w:r>
                </w:p>
              </w:tc>
            </w:tr>
          </w:tbl>
          <w:p>
            <w:pPr>
              <w:spacing w:line="500" w:lineRule="exact"/>
              <w:ind w:firstLine="480" w:firstLineChars="200"/>
              <w:rPr>
                <w:b/>
                <w:color w:val="auto"/>
                <w:sz w:val="24"/>
              </w:rPr>
            </w:pPr>
            <w:r>
              <w:rPr>
                <w:rFonts w:hAnsi="宋体"/>
                <w:kern w:val="0"/>
                <w:sz w:val="24"/>
                <w:szCs w:val="20"/>
              </w:rPr>
              <w:t>本项目危险物质</w:t>
            </w:r>
            <w:r>
              <w:rPr>
                <w:kern w:val="0"/>
                <w:sz w:val="24"/>
                <w:szCs w:val="20"/>
              </w:rPr>
              <w:t>Q</w:t>
            </w:r>
            <w:r>
              <w:rPr>
                <w:rFonts w:hAnsi="宋体"/>
                <w:kern w:val="0"/>
                <w:sz w:val="24"/>
                <w:szCs w:val="20"/>
              </w:rPr>
              <w:t>＜</w:t>
            </w:r>
            <w:r>
              <w:rPr>
                <w:kern w:val="0"/>
                <w:sz w:val="24"/>
                <w:szCs w:val="20"/>
              </w:rPr>
              <w:t>1</w:t>
            </w:r>
            <w:r>
              <w:rPr>
                <w:rFonts w:hAnsi="宋体"/>
                <w:kern w:val="0"/>
                <w:sz w:val="24"/>
                <w:szCs w:val="20"/>
              </w:rPr>
              <w:t>，该项目风险潜势为</w:t>
            </w:r>
            <w:r>
              <w:rPr>
                <w:kern w:val="0"/>
                <w:sz w:val="24"/>
                <w:szCs w:val="20"/>
              </w:rPr>
              <w:fldChar w:fldCharType="begin"/>
            </w:r>
            <w:r>
              <w:rPr>
                <w:kern w:val="0"/>
                <w:sz w:val="24"/>
                <w:szCs w:val="20"/>
              </w:rPr>
              <w:instrText xml:space="preserve"> = 1 \* ROMAN </w:instrText>
            </w:r>
            <w:r>
              <w:rPr>
                <w:kern w:val="0"/>
                <w:sz w:val="24"/>
                <w:szCs w:val="20"/>
              </w:rPr>
              <w:fldChar w:fldCharType="separate"/>
            </w:r>
            <w:r>
              <w:rPr>
                <w:kern w:val="0"/>
                <w:sz w:val="24"/>
                <w:szCs w:val="20"/>
              </w:rPr>
              <w:t>I</w:t>
            </w:r>
            <w:r>
              <w:rPr>
                <w:kern w:val="0"/>
                <w:sz w:val="24"/>
                <w:szCs w:val="20"/>
              </w:rPr>
              <w:fldChar w:fldCharType="end"/>
            </w:r>
            <w:r>
              <w:rPr>
                <w:rFonts w:hAnsi="宋体"/>
                <w:kern w:val="0"/>
                <w:sz w:val="24"/>
                <w:szCs w:val="20"/>
              </w:rPr>
              <w:t>，风险评价仅做简单分析即可。</w:t>
            </w:r>
            <w:r>
              <w:rPr>
                <w:rFonts w:hint="eastAsia" w:hAnsi="宋体"/>
                <w:kern w:val="0"/>
                <w:sz w:val="24"/>
                <w:szCs w:val="20"/>
              </w:rPr>
              <w:t>故本环评无</w:t>
            </w:r>
            <w:r>
              <w:rPr>
                <w:rFonts w:hint="eastAsia" w:hAnsi="宋体"/>
                <w:color w:val="auto"/>
                <w:kern w:val="0"/>
                <w:sz w:val="24"/>
                <w:szCs w:val="20"/>
              </w:rPr>
              <w:t>需进行环境风险专项评价。</w:t>
            </w:r>
          </w:p>
          <w:p>
            <w:pPr>
              <w:spacing w:line="500" w:lineRule="exact"/>
              <w:jc w:val="left"/>
              <w:rPr>
                <w:b/>
                <w:color w:val="auto"/>
                <w:sz w:val="24"/>
              </w:rPr>
            </w:pPr>
            <w:r>
              <w:rPr>
                <w:b/>
                <w:color w:val="auto"/>
                <w:sz w:val="24"/>
              </w:rPr>
              <w:t>4.</w:t>
            </w:r>
            <w:r>
              <w:rPr>
                <w:rFonts w:hint="eastAsia"/>
                <w:b/>
                <w:color w:val="auto"/>
                <w:sz w:val="24"/>
                <w:lang w:val="en-US" w:eastAsia="zh-CN"/>
              </w:rPr>
              <w:t>8</w:t>
            </w:r>
            <w:r>
              <w:rPr>
                <w:b/>
                <w:color w:val="auto"/>
                <w:sz w:val="24"/>
              </w:rPr>
              <w:t>.3</w:t>
            </w:r>
            <w:r>
              <w:rPr>
                <w:rFonts w:hAnsi="宋体"/>
                <w:b/>
                <w:color w:val="auto"/>
                <w:sz w:val="24"/>
              </w:rPr>
              <w:t>影响途径分析</w:t>
            </w:r>
          </w:p>
          <w:p>
            <w:pPr>
              <w:spacing w:line="500" w:lineRule="exact"/>
              <w:ind w:firstLine="480" w:firstLineChars="200"/>
              <w:rPr>
                <w:b/>
                <w:bCs/>
              </w:rPr>
            </w:pPr>
            <w:r>
              <w:rPr>
                <w:rFonts w:hAnsi="宋体"/>
                <w:color w:val="auto"/>
                <w:sz w:val="24"/>
              </w:rPr>
              <w:t>本项目可能存在</w:t>
            </w:r>
            <w:r>
              <w:rPr>
                <w:rFonts w:hAnsi="宋体"/>
                <w:bCs/>
                <w:color w:val="auto"/>
                <w:sz w:val="24"/>
              </w:rPr>
              <w:t>危险</w:t>
            </w:r>
            <w:r>
              <w:rPr>
                <w:rFonts w:hAnsi="宋体"/>
                <w:bCs/>
                <w:sz w:val="24"/>
              </w:rPr>
              <w:t>废物</w:t>
            </w:r>
            <w:r>
              <w:rPr>
                <w:rFonts w:hAnsi="宋体"/>
                <w:sz w:val="24"/>
              </w:rPr>
              <w:t>泄漏、原料泄漏以及末端处置过程中废气事故性排放引起的风险</w:t>
            </w:r>
            <w:r>
              <w:rPr>
                <w:rFonts w:hAnsi="宋体"/>
                <w:bCs/>
                <w:sz w:val="24"/>
              </w:rPr>
              <w:t>，对当地大气环境、水环境、土壤造成影响。具体影响途径见表</w:t>
            </w:r>
            <w:r>
              <w:rPr>
                <w:bCs/>
                <w:sz w:val="24"/>
              </w:rPr>
              <w:t>4.</w:t>
            </w:r>
            <w:r>
              <w:rPr>
                <w:rFonts w:hint="eastAsia"/>
                <w:bCs/>
                <w:sz w:val="24"/>
                <w:lang w:val="en-US" w:eastAsia="zh-CN"/>
              </w:rPr>
              <w:t>8</w:t>
            </w:r>
            <w:r>
              <w:rPr>
                <w:bCs/>
                <w:sz w:val="24"/>
              </w:rPr>
              <w:t>-3</w:t>
            </w:r>
            <w:r>
              <w:rPr>
                <w:rFonts w:hAnsi="宋体"/>
                <w:bCs/>
                <w:sz w:val="24"/>
              </w:rPr>
              <w:t>。</w:t>
            </w:r>
          </w:p>
          <w:p>
            <w:pPr>
              <w:spacing w:line="460" w:lineRule="exact"/>
              <w:ind w:firstLine="482"/>
              <w:jc w:val="center"/>
              <w:rPr>
                <w:b/>
                <w:bCs/>
              </w:rPr>
            </w:pPr>
            <w:r>
              <w:rPr>
                <w:rFonts w:hAnsi="宋体"/>
                <w:b/>
                <w:bCs/>
              </w:rPr>
              <w:t>表</w:t>
            </w:r>
            <w:r>
              <w:rPr>
                <w:b/>
                <w:bCs/>
              </w:rPr>
              <w:t>4.</w:t>
            </w:r>
            <w:r>
              <w:rPr>
                <w:rFonts w:hint="eastAsia"/>
                <w:b/>
                <w:bCs/>
                <w:lang w:val="en-US" w:eastAsia="zh-CN"/>
              </w:rPr>
              <w:t>8</w:t>
            </w:r>
            <w:r>
              <w:rPr>
                <w:b/>
                <w:bCs/>
              </w:rPr>
              <w:t xml:space="preserve">-3  </w:t>
            </w:r>
            <w:r>
              <w:rPr>
                <w:rFonts w:hAnsi="宋体"/>
                <w:b/>
                <w:bCs/>
              </w:rPr>
              <w:t>建设项目环境风险物质及影响途径识别表</w:t>
            </w:r>
          </w:p>
          <w:tbl>
            <w:tblPr>
              <w:tblStyle w:val="40"/>
              <w:tblW w:w="827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99"/>
              <w:gridCol w:w="1309"/>
              <w:gridCol w:w="1087"/>
              <w:gridCol w:w="2449"/>
              <w:gridCol w:w="1447"/>
              <w:gridCol w:w="148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9"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序号</w:t>
                  </w:r>
                </w:p>
              </w:tc>
              <w:tc>
                <w:tcPr>
                  <w:tcW w:w="1309"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危险单元</w:t>
                  </w:r>
                </w:p>
              </w:tc>
              <w:tc>
                <w:tcPr>
                  <w:tcW w:w="1087"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风险源</w:t>
                  </w:r>
                </w:p>
              </w:tc>
              <w:tc>
                <w:tcPr>
                  <w:tcW w:w="2449"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主要危险物质</w:t>
                  </w:r>
                </w:p>
              </w:tc>
              <w:tc>
                <w:tcPr>
                  <w:tcW w:w="1447"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环境风险类型</w:t>
                  </w:r>
                </w:p>
              </w:tc>
              <w:tc>
                <w:tcPr>
                  <w:tcW w:w="1482"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环境影响途径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9"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sz w:val="21"/>
                      <w:szCs w:val="21"/>
                    </w:rPr>
                    <w:t>1</w:t>
                  </w:r>
                </w:p>
              </w:tc>
              <w:tc>
                <w:tcPr>
                  <w:tcW w:w="1309"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危险废物仓库</w:t>
                  </w:r>
                </w:p>
              </w:tc>
              <w:tc>
                <w:tcPr>
                  <w:tcW w:w="1087"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危废暂存区</w:t>
                  </w:r>
                </w:p>
              </w:tc>
              <w:tc>
                <w:tcPr>
                  <w:tcW w:w="2449"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废</w:t>
                  </w:r>
                  <w:r>
                    <w:rPr>
                      <w:rFonts w:hint="eastAsia" w:hAnsi="宋体"/>
                      <w:sz w:val="21"/>
                      <w:szCs w:val="21"/>
                      <w:lang w:eastAsia="zh-CN"/>
                    </w:rPr>
                    <w:t>机油</w:t>
                  </w:r>
                  <w:r>
                    <w:rPr>
                      <w:rFonts w:hAnsi="宋体"/>
                      <w:sz w:val="21"/>
                      <w:szCs w:val="21"/>
                    </w:rPr>
                    <w:t>等</w:t>
                  </w:r>
                </w:p>
              </w:tc>
              <w:tc>
                <w:tcPr>
                  <w:tcW w:w="1447"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泄漏</w:t>
                  </w:r>
                </w:p>
              </w:tc>
              <w:tc>
                <w:tcPr>
                  <w:tcW w:w="1482" w:type="dxa"/>
                  <w:noWrap/>
                  <w:tcMar>
                    <w:top w:w="0" w:type="dxa"/>
                    <w:left w:w="0" w:type="dxa"/>
                    <w:bottom w:w="0" w:type="dxa"/>
                    <w:right w:w="0" w:type="dxa"/>
                  </w:tcMar>
                  <w:vAlign w:val="center"/>
                </w:tcPr>
                <w:p>
                  <w:pPr>
                    <w:adjustRightInd w:val="0"/>
                    <w:snapToGrid w:val="0"/>
                    <w:jc w:val="center"/>
                    <w:rPr>
                      <w:szCs w:val="21"/>
                    </w:rPr>
                  </w:pPr>
                  <w:r>
                    <w:rPr>
                      <w:rFonts w:hAnsi="宋体"/>
                      <w:szCs w:val="21"/>
                    </w:rPr>
                    <w:t>水、土壤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9"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sz w:val="21"/>
                      <w:szCs w:val="21"/>
                    </w:rPr>
                    <w:t>2</w:t>
                  </w:r>
                </w:p>
              </w:tc>
              <w:tc>
                <w:tcPr>
                  <w:tcW w:w="1309"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原辅材料</w:t>
                  </w:r>
                </w:p>
              </w:tc>
              <w:tc>
                <w:tcPr>
                  <w:tcW w:w="1087"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仓库</w:t>
                  </w:r>
                </w:p>
              </w:tc>
              <w:tc>
                <w:tcPr>
                  <w:tcW w:w="2449"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机油</w:t>
                  </w:r>
                </w:p>
              </w:tc>
              <w:tc>
                <w:tcPr>
                  <w:tcW w:w="1447" w:type="dxa"/>
                  <w:noWrap/>
                  <w:tcMar>
                    <w:top w:w="0" w:type="dxa"/>
                    <w:left w:w="0" w:type="dxa"/>
                    <w:bottom w:w="0" w:type="dxa"/>
                    <w:right w:w="0" w:type="dxa"/>
                  </w:tcMar>
                  <w:vAlign w:val="center"/>
                </w:tcPr>
                <w:p>
                  <w:pPr>
                    <w:pStyle w:val="6"/>
                    <w:snapToGrid w:val="0"/>
                    <w:spacing w:line="240" w:lineRule="auto"/>
                    <w:jc w:val="center"/>
                    <w:textAlignment w:val="auto"/>
                    <w:rPr>
                      <w:sz w:val="21"/>
                      <w:szCs w:val="21"/>
                    </w:rPr>
                  </w:pPr>
                  <w:r>
                    <w:rPr>
                      <w:rFonts w:hAnsi="宋体"/>
                      <w:sz w:val="21"/>
                      <w:szCs w:val="21"/>
                    </w:rPr>
                    <w:t>泄露</w:t>
                  </w:r>
                </w:p>
              </w:tc>
              <w:tc>
                <w:tcPr>
                  <w:tcW w:w="1482" w:type="dxa"/>
                  <w:noWrap/>
                  <w:tcMar>
                    <w:top w:w="0" w:type="dxa"/>
                    <w:left w:w="0" w:type="dxa"/>
                    <w:bottom w:w="0" w:type="dxa"/>
                    <w:right w:w="0" w:type="dxa"/>
                  </w:tcMar>
                  <w:vAlign w:val="center"/>
                </w:tcPr>
                <w:p>
                  <w:pPr>
                    <w:adjustRightInd w:val="0"/>
                    <w:snapToGrid w:val="0"/>
                    <w:jc w:val="center"/>
                    <w:rPr>
                      <w:szCs w:val="21"/>
                    </w:rPr>
                  </w:pPr>
                  <w:r>
                    <w:rPr>
                      <w:rFonts w:hAnsi="宋体"/>
                      <w:szCs w:val="21"/>
                    </w:rPr>
                    <w:t>水、土壤</w:t>
                  </w:r>
                </w:p>
              </w:tc>
            </w:tr>
          </w:tbl>
          <w:p>
            <w:pPr>
              <w:spacing w:line="500" w:lineRule="exact"/>
              <w:jc w:val="left"/>
              <w:rPr>
                <w:bCs/>
                <w:kern w:val="0"/>
                <w:sz w:val="24"/>
              </w:rPr>
            </w:pPr>
            <w:r>
              <w:rPr>
                <w:b/>
                <w:sz w:val="24"/>
              </w:rPr>
              <w:t>4.</w:t>
            </w:r>
            <w:r>
              <w:rPr>
                <w:rFonts w:hint="eastAsia"/>
                <w:b/>
                <w:sz w:val="24"/>
                <w:lang w:val="en-US" w:eastAsia="zh-CN"/>
              </w:rPr>
              <w:t>8</w:t>
            </w:r>
            <w:r>
              <w:rPr>
                <w:b/>
                <w:sz w:val="24"/>
              </w:rPr>
              <w:t>.4</w:t>
            </w:r>
            <w:r>
              <w:rPr>
                <w:rFonts w:hAnsi="宋体"/>
                <w:b/>
                <w:sz w:val="24"/>
              </w:rPr>
              <w:t>环境风险分析以及防范措施</w:t>
            </w:r>
          </w:p>
          <w:p>
            <w:pPr>
              <w:widowControl/>
              <w:adjustRightInd w:val="0"/>
              <w:snapToGrid w:val="0"/>
              <w:spacing w:line="500" w:lineRule="exact"/>
              <w:ind w:firstLine="480" w:firstLineChars="200"/>
              <w:rPr>
                <w:bCs/>
                <w:sz w:val="24"/>
              </w:rPr>
            </w:pPr>
            <w:r>
              <w:rPr>
                <w:rFonts w:hAnsi="宋体"/>
                <w:bCs/>
                <w:kern w:val="0"/>
                <w:sz w:val="24"/>
              </w:rPr>
              <w:t>（</w:t>
            </w:r>
            <w:r>
              <w:rPr>
                <w:bCs/>
                <w:kern w:val="0"/>
                <w:sz w:val="24"/>
              </w:rPr>
              <w:t>1</w:t>
            </w:r>
            <w:r>
              <w:rPr>
                <w:rFonts w:hAnsi="宋体"/>
                <w:bCs/>
                <w:kern w:val="0"/>
                <w:sz w:val="24"/>
              </w:rPr>
              <w:t>）火灾事故风险防范措施</w:t>
            </w:r>
            <w:r>
              <w:rPr>
                <w:bCs/>
                <w:kern w:val="0"/>
                <w:sz w:val="24"/>
              </w:rPr>
              <w:t xml:space="preserve"> </w:t>
            </w:r>
          </w:p>
          <w:p>
            <w:pPr>
              <w:widowControl/>
              <w:adjustRightInd w:val="0"/>
              <w:snapToGrid w:val="0"/>
              <w:spacing w:line="500" w:lineRule="exact"/>
              <w:ind w:firstLine="480" w:firstLineChars="200"/>
              <w:rPr>
                <w:kern w:val="0"/>
                <w:sz w:val="24"/>
              </w:rPr>
            </w:pPr>
            <w:r>
              <w:rPr>
                <w:rFonts w:hAnsi="宋体"/>
                <w:kern w:val="0"/>
                <w:sz w:val="24"/>
              </w:rPr>
              <w:t>所有操作人员均应经过培训和严格训练合格后，才能允许上岗操作。培训的主要内容是生产工艺、安全操作等有关规程，操作人员不仅应熟练掌握正常生产状况下本岗位和相关岗位的操作程序和要求，而且应熟练掌握非正常生产状况下本岗位和相关岗位操作程序和要求。开、停车和检修状态下，需要排空的设备和管道应严格按照设计要求，将排放物料予以收集和处置，严禁乱排放。高度重视，认真进行设备和管道的检修和及时维修等工作。</w:t>
            </w:r>
          </w:p>
          <w:p>
            <w:pPr>
              <w:spacing w:line="500" w:lineRule="exact"/>
              <w:ind w:firstLine="480" w:firstLineChars="200"/>
              <w:contextualSpacing/>
              <w:rPr>
                <w:sz w:val="24"/>
              </w:rPr>
            </w:pPr>
            <w:r>
              <w:rPr>
                <w:rFonts w:hAnsi="宋体"/>
                <w:sz w:val="24"/>
              </w:rPr>
              <w:t>（</w:t>
            </w:r>
            <w:r>
              <w:rPr>
                <w:sz w:val="24"/>
              </w:rPr>
              <w:t>2</w:t>
            </w:r>
            <w:r>
              <w:rPr>
                <w:rFonts w:hAnsi="宋体"/>
                <w:sz w:val="24"/>
              </w:rPr>
              <w:t>）危险废物</w:t>
            </w:r>
          </w:p>
          <w:p>
            <w:pPr>
              <w:spacing w:line="500" w:lineRule="exact"/>
              <w:ind w:firstLine="480" w:firstLineChars="200"/>
              <w:contextualSpacing/>
              <w:rPr>
                <w:sz w:val="24"/>
                <w:szCs w:val="21"/>
              </w:rPr>
            </w:pPr>
            <w:r>
              <w:rPr>
                <w:rFonts w:hAnsi="宋体"/>
                <w:sz w:val="24"/>
                <w:szCs w:val="21"/>
              </w:rPr>
              <w:t>根据危险废物的性质和形态，可采用不同大小和不同材质的容器进行包装，所有包装容器应足够安全，并经过周密检查，严防在装载、搬移或运输途中出现渗漏、溢出、抛洒或挥发等情况。最后对危险废物进行安全包装，并在包装的明显位置附上危险废物标签。</w:t>
            </w:r>
          </w:p>
          <w:p>
            <w:pPr>
              <w:spacing w:line="500" w:lineRule="exact"/>
              <w:ind w:firstLine="480" w:firstLineChars="200"/>
              <w:contextualSpacing/>
              <w:rPr>
                <w:sz w:val="24"/>
                <w:szCs w:val="21"/>
              </w:rPr>
            </w:pPr>
            <w:r>
              <w:rPr>
                <w:rFonts w:hAnsi="宋体"/>
                <w:sz w:val="24"/>
                <w:szCs w:val="21"/>
              </w:rPr>
              <w:t>危险固废处理处置注意事项具体如下：</w:t>
            </w:r>
          </w:p>
          <w:p>
            <w:pPr>
              <w:spacing w:line="500" w:lineRule="exact"/>
              <w:ind w:firstLine="480" w:firstLineChars="200"/>
              <w:contextualSpacing/>
              <w:rPr>
                <w:sz w:val="24"/>
                <w:szCs w:val="21"/>
              </w:rPr>
            </w:pPr>
            <w:r>
              <w:rPr>
                <w:sz w:val="24"/>
                <w:szCs w:val="21"/>
              </w:rPr>
              <w:t>a</w:t>
            </w:r>
            <w:r>
              <w:rPr>
                <w:rFonts w:hAnsi="宋体"/>
                <w:sz w:val="24"/>
                <w:szCs w:val="21"/>
              </w:rPr>
              <w:t>）及时联系危废处理单位回收，填写危险废物产生情况一览表。危险废物贮存设施应满足《危险废物贮存污染控制标准》的要求。</w:t>
            </w:r>
          </w:p>
          <w:p>
            <w:pPr>
              <w:spacing w:line="500" w:lineRule="exact"/>
              <w:ind w:firstLine="480" w:firstLineChars="200"/>
              <w:contextualSpacing/>
              <w:rPr>
                <w:sz w:val="24"/>
                <w:szCs w:val="21"/>
              </w:rPr>
            </w:pPr>
            <w:r>
              <w:rPr>
                <w:sz w:val="24"/>
                <w:szCs w:val="21"/>
              </w:rPr>
              <w:t>b</w:t>
            </w:r>
            <w:r>
              <w:rPr>
                <w:rFonts w:hAnsi="宋体"/>
                <w:sz w:val="24"/>
                <w:szCs w:val="21"/>
              </w:rPr>
              <w:t>）废弃物收集暂存入库，并填写危险废物入库交接表。危险废物的转移和运输时填写（库存危险废物提供</w:t>
            </w:r>
            <w:r>
              <w:rPr>
                <w:sz w:val="24"/>
                <w:szCs w:val="21"/>
              </w:rPr>
              <w:t>/</w:t>
            </w:r>
            <w:r>
              <w:rPr>
                <w:rFonts w:hAnsi="宋体"/>
                <w:sz w:val="24"/>
                <w:szCs w:val="21"/>
              </w:rPr>
              <w:t>委托外单位利用</w:t>
            </w:r>
            <w:r>
              <w:rPr>
                <w:sz w:val="24"/>
                <w:szCs w:val="21"/>
              </w:rPr>
              <w:t>/</w:t>
            </w:r>
            <w:r>
              <w:rPr>
                <w:rFonts w:hAnsi="宋体"/>
                <w:sz w:val="24"/>
                <w:szCs w:val="21"/>
              </w:rPr>
              <w:t>处置交接表）。</w:t>
            </w:r>
          </w:p>
          <w:p>
            <w:pPr>
              <w:spacing w:line="500" w:lineRule="exact"/>
              <w:ind w:firstLine="480" w:firstLineChars="200"/>
              <w:contextualSpacing/>
              <w:rPr>
                <w:sz w:val="24"/>
                <w:szCs w:val="21"/>
              </w:rPr>
            </w:pPr>
            <w:r>
              <w:rPr>
                <w:sz w:val="24"/>
                <w:szCs w:val="21"/>
              </w:rPr>
              <w:t>c</w:t>
            </w:r>
            <w:r>
              <w:rPr>
                <w:rFonts w:hAnsi="宋体"/>
                <w:sz w:val="24"/>
                <w:szCs w:val="21"/>
              </w:rPr>
              <w:t>）危险废弃物收集及时得到危废处理单位回收的填写（危险废物直接提供</w:t>
            </w:r>
            <w:r>
              <w:rPr>
                <w:sz w:val="24"/>
                <w:szCs w:val="21"/>
              </w:rPr>
              <w:t>/</w:t>
            </w:r>
            <w:r>
              <w:rPr>
                <w:rFonts w:hAnsi="宋体"/>
                <w:sz w:val="24"/>
                <w:szCs w:val="21"/>
              </w:rPr>
              <w:t>委托外单位利用</w:t>
            </w:r>
            <w:r>
              <w:rPr>
                <w:sz w:val="24"/>
                <w:szCs w:val="21"/>
              </w:rPr>
              <w:t>/</w:t>
            </w:r>
            <w:r>
              <w:rPr>
                <w:rFonts w:hAnsi="宋体"/>
                <w:sz w:val="24"/>
                <w:szCs w:val="21"/>
              </w:rPr>
              <w:t>处置交接表）。</w:t>
            </w:r>
          </w:p>
          <w:p>
            <w:pPr>
              <w:spacing w:line="500" w:lineRule="exact"/>
              <w:ind w:firstLine="480" w:firstLineChars="200"/>
              <w:contextualSpacing/>
              <w:rPr>
                <w:sz w:val="24"/>
                <w:szCs w:val="21"/>
              </w:rPr>
            </w:pPr>
            <w:r>
              <w:rPr>
                <w:sz w:val="24"/>
                <w:szCs w:val="21"/>
              </w:rPr>
              <w:t>d</w:t>
            </w:r>
            <w:r>
              <w:rPr>
                <w:rFonts w:hAnsi="宋体"/>
                <w:sz w:val="24"/>
                <w:szCs w:val="21"/>
              </w:rPr>
              <w:t>）危险废物的转移和运输应按《危险废物转移联单管理办法》的规定报批危废物转移计划，填写好转运联单，并必须交由资质的单位承运。做好外运处置废弃物的运输登记，认真填写危险废物转移联单（每种废物填写一份联单），并加盖公司公章，经运输单位核实验收签字后，将联单第一联副联自留存档，将联单第二联交移出地环境保护行政主管部门，第三联及其余联交付运输单位，随危险废物转移运行。将第四联交接受单位，第五联交接受地生态环境局。</w:t>
            </w:r>
          </w:p>
          <w:p>
            <w:pPr>
              <w:spacing w:line="500" w:lineRule="exact"/>
              <w:ind w:firstLine="480" w:firstLineChars="200"/>
              <w:rPr>
                <w:bCs/>
                <w:sz w:val="24"/>
                <w:szCs w:val="20"/>
              </w:rPr>
            </w:pPr>
            <w:r>
              <w:rPr>
                <w:rFonts w:hAnsi="宋体"/>
                <w:bCs/>
                <w:sz w:val="24"/>
                <w:szCs w:val="20"/>
              </w:rPr>
              <w:t>（</w:t>
            </w:r>
            <w:r>
              <w:rPr>
                <w:bCs/>
                <w:sz w:val="24"/>
                <w:szCs w:val="20"/>
              </w:rPr>
              <w:t>3</w:t>
            </w:r>
            <w:r>
              <w:rPr>
                <w:rFonts w:hAnsi="宋体"/>
                <w:bCs/>
                <w:sz w:val="24"/>
                <w:szCs w:val="20"/>
              </w:rPr>
              <w:t>）废</w:t>
            </w:r>
            <w:r>
              <w:rPr>
                <w:rFonts w:hint="eastAsia" w:hAnsi="宋体"/>
                <w:bCs/>
                <w:sz w:val="24"/>
                <w:szCs w:val="20"/>
                <w:lang w:eastAsia="zh-CN"/>
              </w:rPr>
              <w:t>气</w:t>
            </w:r>
            <w:r>
              <w:rPr>
                <w:rFonts w:hAnsi="宋体"/>
                <w:bCs/>
                <w:sz w:val="24"/>
                <w:szCs w:val="20"/>
              </w:rPr>
              <w:t>事故性排放的方案与应急措施</w:t>
            </w:r>
          </w:p>
          <w:p>
            <w:pPr>
              <w:widowControl/>
              <w:wordWrap w:val="0"/>
              <w:spacing w:line="50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为确保不发生事故性废气排放，建设单位采取一定的事故性防范保护措施：</w:t>
            </w:r>
          </w:p>
          <w:p>
            <w:pPr>
              <w:widowControl/>
              <w:wordWrap w:val="0"/>
              <w:spacing w:line="500" w:lineRule="exact"/>
              <w:ind w:firstLine="480" w:firstLineChars="200"/>
              <w:rPr>
                <w:rFonts w:ascii="Times New Roman" w:hAnsi="Times New Roman" w:eastAsia="宋体" w:cs="Times New Roman"/>
                <w:kern w:val="0"/>
                <w:sz w:val="24"/>
                <w:szCs w:val="24"/>
              </w:rPr>
            </w:pPr>
            <w:r>
              <w:rPr>
                <w:rFonts w:ascii="Times New Roman" w:hAnsi="Times New Roman" w:eastAsia="微软雅黑" w:cs="Times New Roman"/>
                <w:kern w:val="0"/>
                <w:sz w:val="24"/>
                <w:szCs w:val="24"/>
              </w:rPr>
              <w:t>①</w:t>
            </w:r>
            <w:r>
              <w:rPr>
                <w:rFonts w:ascii="Times New Roman" w:hAnsi="Times New Roman" w:eastAsia="宋体" w:cs="Times New Roman"/>
                <w:kern w:val="0"/>
                <w:sz w:val="24"/>
                <w:szCs w:val="24"/>
              </w:rPr>
              <w:t>各生产环节严格执行生产管理的有关规定，加强设备的检修及保养，提高管理人员素质并设置机器事故应急措施及管理制度，确保设备长期处于良好状态，使设备达到预期的处理效果。</w:t>
            </w:r>
          </w:p>
          <w:p>
            <w:pPr>
              <w:widowControl/>
              <w:wordWrap w:val="0"/>
              <w:spacing w:line="500" w:lineRule="exact"/>
              <w:ind w:firstLine="480" w:firstLineChars="200"/>
              <w:rPr>
                <w:rFonts w:ascii="Times New Roman" w:hAnsi="Times New Roman" w:eastAsia="宋体" w:cs="Times New Roman"/>
                <w:kern w:val="0"/>
                <w:sz w:val="24"/>
                <w:szCs w:val="24"/>
              </w:rPr>
            </w:pPr>
            <w:r>
              <w:rPr>
                <w:rFonts w:ascii="Times New Roman" w:hAnsi="Times New Roman" w:eastAsia="微软雅黑" w:cs="Times New Roman"/>
                <w:kern w:val="0"/>
                <w:sz w:val="24"/>
                <w:szCs w:val="24"/>
              </w:rPr>
              <w:t>②</w:t>
            </w:r>
            <w:r>
              <w:rPr>
                <w:rFonts w:ascii="Times New Roman" w:hAnsi="Times New Roman" w:cs="Times New Roman"/>
                <w:kern w:val="0"/>
                <w:sz w:val="24"/>
                <w:szCs w:val="24"/>
              </w:rPr>
              <w:t>现场作业人员定时记录废气处理状况，如对废气处理设施的风机等设备进行点检工作，并派专人巡视，遇不良工作状况立即停止车间相关作业，维修正常后再开始作业，杜绝事故性废气直排，并及时呈报单位主管。待检修完毕再通知生产车间相关工序。</w:t>
            </w:r>
          </w:p>
          <w:p>
            <w:pPr>
              <w:spacing w:line="500" w:lineRule="exact"/>
              <w:ind w:firstLine="480" w:firstLineChars="200"/>
              <w:contextualSpacing/>
              <w:outlineLvl w:val="2"/>
              <w:rPr>
                <w:sz w:val="24"/>
                <w:szCs w:val="21"/>
              </w:rPr>
            </w:pPr>
            <w:r>
              <w:rPr>
                <w:rFonts w:hAnsi="宋体"/>
                <w:sz w:val="24"/>
                <w:szCs w:val="21"/>
              </w:rPr>
              <w:t>（</w:t>
            </w:r>
            <w:r>
              <w:rPr>
                <w:sz w:val="24"/>
                <w:szCs w:val="21"/>
              </w:rPr>
              <w:t>4</w:t>
            </w:r>
            <w:r>
              <w:rPr>
                <w:rFonts w:hAnsi="宋体"/>
                <w:sz w:val="24"/>
                <w:szCs w:val="21"/>
              </w:rPr>
              <w:t>）应急要求</w:t>
            </w:r>
          </w:p>
          <w:p>
            <w:pPr>
              <w:spacing w:line="500" w:lineRule="exact"/>
              <w:ind w:firstLine="480" w:firstLineChars="200"/>
              <w:contextualSpacing/>
              <w:rPr>
                <w:bCs/>
                <w:kern w:val="0"/>
                <w:sz w:val="24"/>
                <w:szCs w:val="20"/>
              </w:rPr>
            </w:pPr>
            <w:r>
              <w:rPr>
                <w:rFonts w:hAnsi="宋体"/>
                <w:sz w:val="24"/>
                <w:szCs w:val="20"/>
              </w:rPr>
              <w:t>制定风险事故应急预案的目的是为了在发生风险事故时，能以最快的速度发挥最大的效能，有序的实施救援，尽快控制事态的发展，降低事故造成的危害，减少事故造成的损失</w:t>
            </w:r>
            <w:r>
              <w:rPr>
                <w:rFonts w:hAnsi="宋体"/>
                <w:bCs/>
                <w:kern w:val="0"/>
                <w:sz w:val="24"/>
                <w:szCs w:val="20"/>
              </w:rPr>
              <w:t>。</w:t>
            </w:r>
          </w:p>
          <w:p>
            <w:pPr>
              <w:widowControl/>
              <w:adjustRightInd w:val="0"/>
              <w:snapToGrid w:val="0"/>
              <w:spacing w:line="500" w:lineRule="exact"/>
              <w:ind w:firstLine="480" w:firstLineChars="200"/>
              <w:rPr>
                <w:sz w:val="24"/>
                <w:szCs w:val="20"/>
              </w:rPr>
            </w:pPr>
            <w:r>
              <w:rPr>
                <w:rFonts w:hAnsi="宋体"/>
                <w:sz w:val="24"/>
                <w:szCs w:val="20"/>
              </w:rPr>
              <w:t>根据《关于印发</w:t>
            </w:r>
            <w:r>
              <w:rPr>
                <w:sz w:val="24"/>
                <w:szCs w:val="20"/>
              </w:rPr>
              <w:t>&lt;</w:t>
            </w:r>
            <w:r>
              <w:rPr>
                <w:rFonts w:hAnsi="宋体"/>
                <w:sz w:val="24"/>
                <w:szCs w:val="20"/>
              </w:rPr>
              <w:t>企业事业单位突发环境事件应急预案备案管理办法（试行）</w:t>
            </w:r>
            <w:r>
              <w:rPr>
                <w:sz w:val="24"/>
                <w:szCs w:val="20"/>
              </w:rPr>
              <w:t>&gt;</w:t>
            </w:r>
            <w:r>
              <w:rPr>
                <w:rFonts w:hAnsi="宋体"/>
                <w:sz w:val="24"/>
                <w:szCs w:val="20"/>
              </w:rPr>
              <w:t>的通知》（环发</w:t>
            </w:r>
            <w:r>
              <w:rPr>
                <w:sz w:val="24"/>
                <w:szCs w:val="20"/>
              </w:rPr>
              <w:t>[2015]4</w:t>
            </w:r>
            <w:r>
              <w:rPr>
                <w:rFonts w:hAnsi="宋体"/>
                <w:sz w:val="24"/>
                <w:szCs w:val="20"/>
              </w:rPr>
              <w:t>号）及《浙江省突发环境污染事故应急预案编制导则（试行）》、《企业突发环境事件风险分级方法》（</w:t>
            </w:r>
            <w:r>
              <w:rPr>
                <w:sz w:val="24"/>
                <w:szCs w:val="20"/>
              </w:rPr>
              <w:t>HJ941-2018</w:t>
            </w:r>
            <w:r>
              <w:rPr>
                <w:rFonts w:hAnsi="宋体"/>
                <w:sz w:val="24"/>
                <w:szCs w:val="20"/>
              </w:rPr>
              <w:t>）等要求，企业应编制事故应急预案，完善相应的风险防范措施，及时更新，并在当地生态环境部门进行备案。</w:t>
            </w:r>
          </w:p>
          <w:p>
            <w:pPr>
              <w:spacing w:line="500" w:lineRule="exact"/>
              <w:jc w:val="left"/>
              <w:rPr>
                <w:b/>
                <w:sz w:val="24"/>
              </w:rPr>
            </w:pPr>
            <w:r>
              <w:rPr>
                <w:b/>
                <w:sz w:val="24"/>
              </w:rPr>
              <w:t>4.</w:t>
            </w:r>
            <w:r>
              <w:rPr>
                <w:rFonts w:hint="eastAsia"/>
                <w:b/>
                <w:sz w:val="24"/>
                <w:lang w:val="en-US" w:eastAsia="zh-CN"/>
              </w:rPr>
              <w:t>8</w:t>
            </w:r>
            <w:r>
              <w:rPr>
                <w:b/>
                <w:sz w:val="24"/>
              </w:rPr>
              <w:t>.</w:t>
            </w:r>
            <w:r>
              <w:rPr>
                <w:rFonts w:hint="eastAsia"/>
                <w:b/>
                <w:sz w:val="24"/>
                <w:lang w:val="en-US" w:eastAsia="zh-CN"/>
              </w:rPr>
              <w:t>5</w:t>
            </w:r>
            <w:r>
              <w:rPr>
                <w:b/>
                <w:sz w:val="24"/>
              </w:rPr>
              <w:t xml:space="preserve"> </w:t>
            </w:r>
            <w:r>
              <w:rPr>
                <w:rFonts w:hAnsi="宋体"/>
                <w:b/>
                <w:sz w:val="24"/>
              </w:rPr>
              <w:t>结论</w:t>
            </w:r>
          </w:p>
          <w:p>
            <w:pPr>
              <w:adjustRightInd w:val="0"/>
              <w:snapToGrid w:val="0"/>
              <w:spacing w:line="500" w:lineRule="exact"/>
              <w:ind w:firstLine="480" w:firstLineChars="200"/>
              <w:rPr>
                <w:bCs/>
                <w:sz w:val="24"/>
                <w:szCs w:val="20"/>
              </w:rPr>
            </w:pPr>
            <w:r>
              <w:rPr>
                <w:rFonts w:hAnsi="宋体"/>
                <w:bCs/>
                <w:sz w:val="24"/>
                <w:szCs w:val="20"/>
              </w:rPr>
              <w:t>本项目不涉及危险工艺，</w:t>
            </w:r>
            <w:r>
              <w:rPr>
                <w:rFonts w:hAnsi="宋体"/>
                <w:sz w:val="24"/>
              </w:rPr>
              <w:t>根据环境风险事故分析，项目存在的潜在事故风险主要是原料、危险废物等泄露、污水站泄露等</w:t>
            </w:r>
            <w:r>
              <w:rPr>
                <w:rFonts w:hAnsi="宋体"/>
                <w:bCs/>
                <w:sz w:val="24"/>
                <w:szCs w:val="20"/>
              </w:rPr>
              <w:t>。要求企业建立较为完善的环境风险防范体系，生产中能严格按照上述环境防范措施，加强员工安全生产教育、应急响应，则发生环境严重污染事故的概率较小，环境风险可以接受。</w:t>
            </w:r>
          </w:p>
          <w:p>
            <w:pPr>
              <w:pStyle w:val="2"/>
              <w:spacing w:line="500" w:lineRule="exact"/>
              <w:jc w:val="left"/>
              <w:rPr>
                <w:bCs/>
              </w:rPr>
            </w:pPr>
            <w:r>
              <w:rPr>
                <w:bCs/>
              </w:rPr>
              <w:t>4.</w:t>
            </w:r>
            <w:r>
              <w:rPr>
                <w:rFonts w:hint="eastAsia"/>
                <w:bCs/>
                <w:lang w:val="en-US" w:eastAsia="zh-CN"/>
              </w:rPr>
              <w:t>7</w:t>
            </w:r>
            <w:r>
              <w:rPr>
                <w:bCs/>
              </w:rPr>
              <w:t xml:space="preserve"> </w:t>
            </w:r>
            <w:r>
              <w:rPr>
                <w:rFonts w:hAnsi="宋体"/>
                <w:bCs/>
              </w:rPr>
              <w:t>生态</w:t>
            </w:r>
          </w:p>
          <w:p>
            <w:pPr>
              <w:spacing w:line="500" w:lineRule="exact"/>
              <w:ind w:firstLine="480" w:firstLineChars="200"/>
              <w:rPr>
                <w:sz w:val="24"/>
              </w:rPr>
            </w:pPr>
            <w:r>
              <w:rPr>
                <w:rFonts w:hAnsi="宋体"/>
                <w:sz w:val="24"/>
              </w:rPr>
              <w:t>本项目选址于</w:t>
            </w:r>
            <w:r>
              <w:rPr>
                <w:rFonts w:hint="eastAsia" w:hAnsi="宋体"/>
                <w:kern w:val="0"/>
                <w:sz w:val="24"/>
                <w:lang w:eastAsia="zh-CN"/>
              </w:rPr>
              <w:t xml:space="preserve">长兴县虹星桥镇工业集中区 </w:t>
            </w:r>
            <w:r>
              <w:rPr>
                <w:rFonts w:hAnsi="宋体"/>
                <w:sz w:val="24"/>
              </w:rPr>
              <w:t>，系利用自有工业厂房，不新增用地，且用地范围内不涉及生态环境保护目标，无需进行评价。</w:t>
            </w:r>
          </w:p>
          <w:p>
            <w:pPr>
              <w:spacing w:line="500" w:lineRule="exact"/>
              <w:jc w:val="left"/>
              <w:rPr>
                <w:b/>
                <w:sz w:val="24"/>
              </w:rPr>
            </w:pPr>
            <w:r>
              <w:rPr>
                <w:b/>
                <w:sz w:val="24"/>
              </w:rPr>
              <w:t>4.</w:t>
            </w:r>
            <w:r>
              <w:rPr>
                <w:rFonts w:hint="eastAsia"/>
                <w:b/>
                <w:sz w:val="24"/>
                <w:lang w:val="en-US" w:eastAsia="zh-CN"/>
              </w:rPr>
              <w:t>8</w:t>
            </w:r>
            <w:r>
              <w:rPr>
                <w:b/>
                <w:sz w:val="24"/>
              </w:rPr>
              <w:t xml:space="preserve"> </w:t>
            </w:r>
            <w:r>
              <w:rPr>
                <w:rFonts w:hAnsi="宋体"/>
                <w:b/>
                <w:sz w:val="24"/>
              </w:rPr>
              <w:t>电磁辐射</w:t>
            </w:r>
          </w:p>
          <w:p>
            <w:pPr>
              <w:adjustRightInd w:val="0"/>
              <w:snapToGrid w:val="0"/>
              <w:spacing w:line="500" w:lineRule="exact"/>
              <w:ind w:firstLine="480" w:firstLineChars="200"/>
              <w:rPr>
                <w:kern w:val="0"/>
                <w:sz w:val="24"/>
              </w:rPr>
            </w:pPr>
            <w:r>
              <w:rPr>
                <w:rFonts w:hAnsi="宋体"/>
                <w:kern w:val="0"/>
                <w:sz w:val="24"/>
              </w:rPr>
              <w:t>本项目不涉及电磁辐射。</w:t>
            </w:r>
          </w:p>
          <w:p>
            <w:pPr>
              <w:spacing w:line="500" w:lineRule="exact"/>
              <w:jc w:val="left"/>
              <w:rPr>
                <w:b/>
                <w:sz w:val="24"/>
              </w:rPr>
            </w:pPr>
            <w:r>
              <w:rPr>
                <w:b/>
                <w:sz w:val="24"/>
              </w:rPr>
              <w:t>4.</w:t>
            </w:r>
            <w:r>
              <w:rPr>
                <w:rFonts w:hint="eastAsia"/>
                <w:b/>
                <w:sz w:val="24"/>
                <w:lang w:val="en-US" w:eastAsia="zh-CN"/>
              </w:rPr>
              <w:t>9</w:t>
            </w:r>
            <w:r>
              <w:rPr>
                <w:b/>
                <w:sz w:val="24"/>
              </w:rPr>
              <w:t xml:space="preserve"> </w:t>
            </w:r>
            <w:r>
              <w:rPr>
                <w:rFonts w:hAnsi="宋体"/>
                <w:b/>
                <w:sz w:val="24"/>
              </w:rPr>
              <w:t>环保工程投资</w:t>
            </w:r>
          </w:p>
          <w:p>
            <w:pPr>
              <w:spacing w:line="500" w:lineRule="exact"/>
              <w:ind w:firstLine="480" w:firstLineChars="200"/>
              <w:rPr>
                <w:color w:val="auto"/>
                <w:sz w:val="24"/>
              </w:rPr>
            </w:pPr>
            <w:r>
              <w:rPr>
                <w:rFonts w:hAnsi="宋体"/>
                <w:sz w:val="24"/>
              </w:rPr>
              <w:t>本项目</w:t>
            </w:r>
            <w:r>
              <w:rPr>
                <w:rFonts w:hAnsi="宋体"/>
                <w:color w:val="auto"/>
                <w:sz w:val="24"/>
              </w:rPr>
              <w:t>环保投资估算</w:t>
            </w:r>
            <w:r>
              <w:rPr>
                <w:rFonts w:hint="eastAsia"/>
                <w:color w:val="auto"/>
                <w:sz w:val="24"/>
                <w:lang w:val="en-US" w:eastAsia="zh-CN"/>
              </w:rPr>
              <w:t>63</w:t>
            </w:r>
            <w:r>
              <w:rPr>
                <w:rFonts w:hAnsi="宋体"/>
                <w:color w:val="auto"/>
                <w:sz w:val="24"/>
              </w:rPr>
              <w:t>万元，约占总投资的</w:t>
            </w:r>
            <w:r>
              <w:rPr>
                <w:rFonts w:hint="eastAsia"/>
                <w:color w:val="auto"/>
                <w:sz w:val="24"/>
                <w:lang w:val="en-US" w:eastAsia="zh-CN"/>
              </w:rPr>
              <w:t>1.21</w:t>
            </w:r>
            <w:r>
              <w:rPr>
                <w:color w:val="auto"/>
                <w:sz w:val="24"/>
              </w:rPr>
              <w:t>%</w:t>
            </w:r>
            <w:r>
              <w:rPr>
                <w:rFonts w:hAnsi="宋体"/>
                <w:color w:val="auto"/>
                <w:sz w:val="24"/>
              </w:rPr>
              <w:t>，本项目环保工程投资估算详见下表</w:t>
            </w:r>
            <w:r>
              <w:rPr>
                <w:color w:val="auto"/>
                <w:sz w:val="24"/>
              </w:rPr>
              <w:t>4.</w:t>
            </w:r>
            <w:r>
              <w:rPr>
                <w:rFonts w:hint="eastAsia"/>
                <w:color w:val="auto"/>
                <w:sz w:val="24"/>
                <w:lang w:val="en-US" w:eastAsia="zh-CN"/>
              </w:rPr>
              <w:t>9</w:t>
            </w:r>
            <w:r>
              <w:rPr>
                <w:color w:val="auto"/>
                <w:sz w:val="24"/>
              </w:rPr>
              <w:t>-1</w:t>
            </w:r>
            <w:r>
              <w:rPr>
                <w:rFonts w:hAnsi="宋体"/>
                <w:color w:val="auto"/>
                <w:sz w:val="24"/>
              </w:rPr>
              <w:t>。</w:t>
            </w:r>
          </w:p>
          <w:p>
            <w:pPr>
              <w:spacing w:line="460" w:lineRule="exact"/>
              <w:jc w:val="center"/>
              <w:rPr>
                <w:b/>
                <w:snapToGrid w:val="0"/>
                <w:color w:val="auto"/>
                <w:kern w:val="0"/>
                <w:szCs w:val="21"/>
              </w:rPr>
            </w:pPr>
            <w:r>
              <w:rPr>
                <w:rFonts w:hAnsi="宋体"/>
                <w:b/>
                <w:snapToGrid w:val="0"/>
                <w:color w:val="auto"/>
                <w:kern w:val="0"/>
                <w:szCs w:val="21"/>
              </w:rPr>
              <w:t>表</w:t>
            </w:r>
            <w:r>
              <w:rPr>
                <w:b/>
                <w:snapToGrid w:val="0"/>
                <w:color w:val="auto"/>
                <w:kern w:val="0"/>
                <w:szCs w:val="21"/>
              </w:rPr>
              <w:t>4.</w:t>
            </w:r>
            <w:r>
              <w:rPr>
                <w:rFonts w:hint="eastAsia"/>
                <w:b/>
                <w:snapToGrid w:val="0"/>
                <w:color w:val="auto"/>
                <w:kern w:val="0"/>
                <w:szCs w:val="21"/>
                <w:lang w:val="en-US" w:eastAsia="zh-CN"/>
              </w:rPr>
              <w:t>9</w:t>
            </w:r>
            <w:r>
              <w:rPr>
                <w:b/>
                <w:snapToGrid w:val="0"/>
                <w:color w:val="auto"/>
                <w:kern w:val="0"/>
                <w:szCs w:val="21"/>
              </w:rPr>
              <w:t xml:space="preserve">-1  </w:t>
            </w:r>
            <w:r>
              <w:rPr>
                <w:rFonts w:hAnsi="宋体"/>
                <w:b/>
                <w:snapToGrid w:val="0"/>
                <w:color w:val="auto"/>
                <w:kern w:val="0"/>
                <w:szCs w:val="21"/>
              </w:rPr>
              <w:t>环保工程投资估算表</w:t>
            </w:r>
          </w:p>
          <w:tbl>
            <w:tblPr>
              <w:tblStyle w:val="40"/>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435"/>
              <w:gridCol w:w="735"/>
              <w:gridCol w:w="2988"/>
              <w:gridCol w:w="1249"/>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时期</w:t>
                  </w:r>
                </w:p>
              </w:tc>
              <w:tc>
                <w:tcPr>
                  <w:tcW w:w="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序号</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类别</w:t>
                  </w:r>
                </w:p>
              </w:tc>
              <w:tc>
                <w:tcPr>
                  <w:tcW w:w="29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污染防治设施或措施名称</w:t>
                  </w:r>
                </w:p>
              </w:tc>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投资估算</w:t>
                  </w:r>
                </w:p>
              </w:tc>
              <w:tc>
                <w:tcPr>
                  <w:tcW w:w="23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营运期</w:t>
                  </w:r>
                </w:p>
              </w:tc>
              <w:tc>
                <w:tcPr>
                  <w:tcW w:w="4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default" w:ascii="Times New Roman" w:hAnsi="Times New Roman" w:eastAsia="宋体" w:cs="Times New Roman"/>
                      <w:b w:val="0"/>
                      <w:bCs/>
                      <w:color w:val="auto"/>
                      <w:szCs w:val="21"/>
                      <w:highlight w:val="none"/>
                    </w:rPr>
                    <w:t>1</w:t>
                  </w:r>
                </w:p>
              </w:tc>
              <w:tc>
                <w:tcPr>
                  <w:tcW w:w="7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废水</w:t>
                  </w:r>
                </w:p>
              </w:tc>
              <w:tc>
                <w:tcPr>
                  <w:tcW w:w="29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eastAsia="宋体"/>
                      <w:b w:val="0"/>
                      <w:bCs/>
                      <w:color w:val="auto"/>
                      <w:highlight w:val="none"/>
                      <w:lang w:eastAsia="zh-CN"/>
                    </w:rPr>
                  </w:pPr>
                  <w:r>
                    <w:rPr>
                      <w:rFonts w:hint="eastAsia" w:ascii="Times New Roman" w:hAnsi="Times New Roman" w:eastAsia="宋体" w:cs="Times New Roman"/>
                      <w:b w:val="0"/>
                      <w:bCs/>
                      <w:color w:val="auto"/>
                      <w:szCs w:val="21"/>
                      <w:highlight w:val="none"/>
                    </w:rPr>
                    <w:t>化粪池、污水管道</w:t>
                  </w:r>
                  <w:r>
                    <w:rPr>
                      <w:rFonts w:hint="eastAsia" w:ascii="Times New Roman" w:hAnsi="Times New Roman" w:eastAsia="宋体" w:cs="Times New Roman"/>
                      <w:b w:val="0"/>
                      <w:bCs/>
                      <w:color w:val="auto"/>
                      <w:szCs w:val="21"/>
                      <w:highlight w:val="none"/>
                      <w:lang w:eastAsia="zh-CN"/>
                    </w:rPr>
                    <w:t>铺设</w:t>
                  </w:r>
                </w:p>
              </w:tc>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Cs w:val="21"/>
                      <w:highlight w:val="none"/>
                      <w:lang w:eastAsia="zh-CN"/>
                    </w:rPr>
                  </w:pPr>
                  <w:r>
                    <w:rPr>
                      <w:rFonts w:hint="eastAsia" w:ascii="Times New Roman" w:hAnsi="Times New Roman" w:eastAsia="宋体" w:cs="Times New Roman"/>
                      <w:b w:val="0"/>
                      <w:bCs/>
                      <w:color w:val="auto"/>
                      <w:szCs w:val="21"/>
                      <w:highlight w:val="none"/>
                      <w:lang w:eastAsia="zh-CN"/>
                    </w:rPr>
                    <w:t>/</w:t>
                  </w:r>
                </w:p>
              </w:tc>
              <w:tc>
                <w:tcPr>
                  <w:tcW w:w="2315"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Cs w:val="21"/>
                      <w:highlight w:val="none"/>
                      <w:lang w:eastAsia="zh-CN"/>
                    </w:rPr>
                  </w:pPr>
                  <w:r>
                    <w:rPr>
                      <w:rFonts w:hint="eastAsia" w:ascii="Times New Roman" w:hAnsi="Times New Roman" w:eastAsia="宋体" w:cs="Times New Roman"/>
                      <w:b w:val="0"/>
                      <w:bCs/>
                      <w:color w:val="auto"/>
                      <w:szCs w:val="21"/>
                      <w:highlight w:val="none"/>
                      <w:lang w:eastAsia="zh-CN"/>
                    </w:rPr>
                    <w:t>利用现有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4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7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29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生产废水排放口及管道</w:t>
                  </w:r>
                </w:p>
              </w:tc>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w:t>
                  </w:r>
                </w:p>
              </w:tc>
              <w:tc>
                <w:tcPr>
                  <w:tcW w:w="2315"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0"/>
                      <w:szCs w:val="20"/>
                      <w:highlight w:val="none"/>
                      <w:lang w:val="en-US" w:eastAsia="zh-CN"/>
                    </w:rPr>
                  </w:pPr>
                  <w:r>
                    <w:rPr>
                      <w:rFonts w:hint="eastAsia" w:ascii="Times New Roman" w:hAnsi="Times New Roman" w:cs="Times New Roman"/>
                      <w:b w:val="0"/>
                      <w:bCs/>
                      <w:color w:val="auto"/>
                      <w:sz w:val="20"/>
                      <w:szCs w:val="20"/>
                      <w:highlight w:val="none"/>
                      <w:lang w:val="en-US" w:eastAsia="zh-CN"/>
                    </w:rPr>
                    <w:t>2</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b w:val="0"/>
                      <w:bCs/>
                      <w:color w:val="auto"/>
                      <w:sz w:val="20"/>
                      <w:szCs w:val="20"/>
                      <w:highlight w:val="none"/>
                      <w:lang w:eastAsia="zh-CN"/>
                    </w:rPr>
                  </w:pPr>
                  <w:r>
                    <w:rPr>
                      <w:rFonts w:hint="eastAsia" w:ascii="Times New Roman" w:hAnsi="Times New Roman" w:cs="Times New Roman"/>
                      <w:b w:val="0"/>
                      <w:bCs/>
                      <w:color w:val="auto"/>
                      <w:sz w:val="20"/>
                      <w:szCs w:val="20"/>
                      <w:highlight w:val="none"/>
                      <w:lang w:eastAsia="zh-CN"/>
                    </w:rPr>
                    <w:t>废气</w:t>
                  </w:r>
                </w:p>
              </w:tc>
              <w:tc>
                <w:tcPr>
                  <w:tcW w:w="29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eastAsia="zh-CN"/>
                    </w:rPr>
                    <w:t>新增冷却</w:t>
                  </w:r>
                  <w:r>
                    <w:rPr>
                      <w:rFonts w:hint="eastAsia" w:ascii="Times New Roman" w:hAnsi="Times New Roman" w:eastAsia="宋体" w:cs="Times New Roman"/>
                      <w:b w:val="0"/>
                      <w:bCs/>
                      <w:color w:val="auto"/>
                      <w:szCs w:val="21"/>
                      <w:highlight w:val="none"/>
                      <w:lang w:val="en-US" w:eastAsia="zh-CN"/>
                    </w:rPr>
                    <w:t>+水喷淋+静电油烟净化器设施2套</w:t>
                  </w:r>
                </w:p>
              </w:tc>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30万元</w:t>
                  </w:r>
                </w:p>
              </w:tc>
              <w:tc>
                <w:tcPr>
                  <w:tcW w:w="23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Cs w:val="21"/>
                      <w:highlight w:val="none"/>
                      <w:lang w:eastAsia="zh-CN"/>
                    </w:rPr>
                  </w:pPr>
                  <w:r>
                    <w:rPr>
                      <w:rFonts w:hint="eastAsia" w:ascii="Times New Roman" w:hAnsi="Times New Roman" w:eastAsia="宋体" w:cs="Times New Roman"/>
                      <w:b w:val="0"/>
                      <w:bCs/>
                      <w:color w:val="auto"/>
                      <w:szCs w:val="21"/>
                      <w:highlight w:val="none"/>
                      <w:lang w:eastAsia="zh-CN"/>
                    </w:rPr>
                    <w:t>废气处理设施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default" w:ascii="Times New Roman" w:hAnsi="Times New Roman" w:eastAsia="宋体" w:cs="Times New Roman"/>
                      <w:b w:val="0"/>
                      <w:bCs/>
                      <w:color w:val="auto"/>
                      <w:szCs w:val="21"/>
                      <w:highlight w:val="none"/>
                    </w:rPr>
                    <w:t>3</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噪声</w:t>
                  </w:r>
                </w:p>
              </w:tc>
              <w:tc>
                <w:tcPr>
                  <w:tcW w:w="29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设备养护、隔声、消声和设备基础减振等</w:t>
                  </w:r>
                </w:p>
              </w:tc>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15万元</w:t>
                  </w:r>
                </w:p>
              </w:tc>
              <w:tc>
                <w:tcPr>
                  <w:tcW w:w="23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噪声防治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default" w:ascii="Times New Roman" w:hAnsi="Times New Roman" w:eastAsia="宋体" w:cs="Times New Roman"/>
                      <w:b w:val="0"/>
                      <w:bCs/>
                      <w:color w:val="auto"/>
                      <w:szCs w:val="21"/>
                      <w:highlight w:val="none"/>
                    </w:rPr>
                    <w:t>4</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固废</w:t>
                  </w:r>
                </w:p>
              </w:tc>
              <w:tc>
                <w:tcPr>
                  <w:tcW w:w="29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一般固废暂存设施</w:t>
                  </w:r>
                </w:p>
              </w:tc>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default" w:ascii="Times New Roman" w:hAnsi="Times New Roman" w:eastAsia="宋体" w:cs="Times New Roman"/>
                      <w:b w:val="0"/>
                      <w:bCs/>
                      <w:color w:val="auto"/>
                      <w:szCs w:val="21"/>
                      <w:highlight w:val="none"/>
                    </w:rPr>
                    <w:t>3</w:t>
                  </w:r>
                  <w:r>
                    <w:rPr>
                      <w:rFonts w:hint="eastAsia" w:ascii="Times New Roman" w:hAnsi="Times New Roman" w:eastAsia="宋体" w:cs="Times New Roman"/>
                      <w:b w:val="0"/>
                      <w:bCs/>
                      <w:color w:val="auto"/>
                      <w:szCs w:val="21"/>
                      <w:highlight w:val="none"/>
                    </w:rPr>
                    <w:t>万元</w:t>
                  </w:r>
                </w:p>
              </w:tc>
              <w:tc>
                <w:tcPr>
                  <w:tcW w:w="23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一般固废暂存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default" w:ascii="Times New Roman" w:hAnsi="Times New Roman" w:eastAsia="宋体" w:cs="Times New Roman"/>
                      <w:b w:val="0"/>
                      <w:bCs/>
                      <w:color w:val="auto"/>
                      <w:szCs w:val="21"/>
                      <w:highlight w:val="none"/>
                    </w:rPr>
                    <w:t>5</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固废</w:t>
                  </w:r>
                </w:p>
              </w:tc>
              <w:tc>
                <w:tcPr>
                  <w:tcW w:w="29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危废仓库</w:t>
                  </w:r>
                </w:p>
              </w:tc>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default" w:ascii="Times New Roman" w:hAnsi="Times New Roman" w:eastAsia="宋体" w:cs="Times New Roman"/>
                      <w:b w:val="0"/>
                      <w:bCs/>
                      <w:color w:val="auto"/>
                      <w:szCs w:val="21"/>
                      <w:highlight w:val="none"/>
                    </w:rPr>
                    <w:t>5</w:t>
                  </w:r>
                  <w:r>
                    <w:rPr>
                      <w:rFonts w:hint="eastAsia" w:ascii="Times New Roman" w:hAnsi="Times New Roman" w:eastAsia="宋体" w:cs="Times New Roman"/>
                      <w:b w:val="0"/>
                      <w:bCs/>
                      <w:color w:val="auto"/>
                      <w:szCs w:val="21"/>
                      <w:highlight w:val="none"/>
                    </w:rPr>
                    <w:t>万元</w:t>
                  </w:r>
                </w:p>
              </w:tc>
              <w:tc>
                <w:tcPr>
                  <w:tcW w:w="23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危废暂存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6</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风险</w:t>
                  </w:r>
                </w:p>
              </w:tc>
              <w:tc>
                <w:tcPr>
                  <w:tcW w:w="29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火灾、物料存储风险防范等</w:t>
                  </w:r>
                </w:p>
              </w:tc>
              <w:tc>
                <w:tcPr>
                  <w:tcW w:w="1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10万元</w:t>
                  </w:r>
                </w:p>
              </w:tc>
              <w:tc>
                <w:tcPr>
                  <w:tcW w:w="23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szCs w:val="21"/>
                      <w:highlight w:val="none"/>
                    </w:rPr>
                    <w:t>风险防范等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rPr>
                    <w:t>合计</w:t>
                  </w:r>
                </w:p>
              </w:tc>
              <w:tc>
                <w:tcPr>
                  <w:tcW w:w="35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Cs w:val="21"/>
                      <w:highlight w:val="none"/>
                    </w:rPr>
                  </w:pPr>
                  <w:r>
                    <w:rPr>
                      <w:rFonts w:hint="eastAsia" w:ascii="Times New Roman" w:hAnsi="Times New Roman" w:eastAsia="宋体" w:cs="Times New Roman"/>
                      <w:b w:val="0"/>
                      <w:bCs/>
                      <w:color w:val="auto"/>
                      <w:szCs w:val="21"/>
                      <w:highlight w:val="none"/>
                      <w:lang w:val="en-US" w:eastAsia="zh-CN"/>
                    </w:rPr>
                    <w:t>63</w:t>
                  </w:r>
                  <w:r>
                    <w:rPr>
                      <w:rFonts w:hint="eastAsia" w:ascii="Times New Roman" w:hAnsi="Times New Roman" w:eastAsia="宋体" w:cs="Times New Roman"/>
                      <w:b w:val="0"/>
                      <w:bCs/>
                      <w:color w:val="auto"/>
                      <w:szCs w:val="21"/>
                      <w:highlight w:val="none"/>
                    </w:rPr>
                    <w:t>万元</w:t>
                  </w:r>
                </w:p>
              </w:tc>
            </w:tr>
          </w:tbl>
          <w:p>
            <w:pPr>
              <w:adjustRightInd w:val="0"/>
              <w:snapToGrid w:val="0"/>
              <w:spacing w:line="500" w:lineRule="exact"/>
              <w:rPr>
                <w:bCs/>
                <w:color w:val="auto"/>
                <w:sz w:val="24"/>
                <w:szCs w:val="20"/>
              </w:rPr>
            </w:pPr>
          </w:p>
          <w:p>
            <w:pPr>
              <w:adjustRightInd w:val="0"/>
              <w:snapToGrid w:val="0"/>
              <w:spacing w:line="500" w:lineRule="exact"/>
              <w:rPr>
                <w:bCs/>
                <w:color w:val="auto"/>
                <w:sz w:val="24"/>
                <w:szCs w:val="20"/>
              </w:rPr>
            </w:pPr>
          </w:p>
          <w:p>
            <w:pPr>
              <w:pStyle w:val="5"/>
            </w:pPr>
          </w:p>
          <w:p/>
          <w:p>
            <w:pPr>
              <w:pStyle w:val="5"/>
            </w:pPr>
          </w:p>
          <w:p/>
          <w:p>
            <w:pPr>
              <w:pStyle w:val="5"/>
            </w:pPr>
          </w:p>
          <w:p>
            <w:pPr>
              <w:pStyle w:val="2"/>
            </w:pPr>
          </w:p>
          <w:p/>
          <w:p>
            <w:pPr>
              <w:pStyle w:val="2"/>
            </w:pPr>
          </w:p>
          <w:p>
            <w:pPr>
              <w:pStyle w:val="5"/>
              <w:ind w:left="0" w:leftChars="0" w:firstLine="0" w:firstLineChars="0"/>
              <w:rPr>
                <w:bCs/>
                <w:sz w:val="24"/>
                <w:szCs w:val="20"/>
              </w:rPr>
            </w:pPr>
          </w:p>
          <w:p>
            <w:pPr>
              <w:pStyle w:val="5"/>
              <w:ind w:left="0" w:leftChars="0" w:firstLine="0" w:firstLineChars="0"/>
              <w:rPr>
                <w:vertAlign w:val="baseline"/>
              </w:rPr>
            </w:pPr>
          </w:p>
        </w:tc>
      </w:tr>
    </w:tbl>
    <w:p>
      <w:pPr>
        <w:pStyle w:val="5"/>
        <w:ind w:left="0" w:leftChars="0" w:firstLine="0" w:firstLineChars="0"/>
        <w:sectPr>
          <w:pgSz w:w="11906" w:h="16838"/>
          <w:pgMar w:top="1588" w:right="1588" w:bottom="1588" w:left="1588" w:header="851" w:footer="992" w:gutter="0"/>
          <w:pgBorders>
            <w:top w:val="none" w:sz="0" w:space="0"/>
            <w:left w:val="none" w:sz="0" w:space="0"/>
            <w:bottom w:val="none" w:sz="0" w:space="0"/>
            <w:right w:val="none" w:sz="0" w:space="0"/>
          </w:pgBorders>
          <w:cols w:space="720" w:num="1"/>
          <w:docGrid w:linePitch="312" w:charSpace="0"/>
        </w:sectPr>
      </w:pPr>
    </w:p>
    <w:bookmarkEnd w:id="26"/>
    <w:p>
      <w:pPr>
        <w:spacing w:line="500" w:lineRule="exact"/>
        <w:jc w:val="center"/>
        <w:outlineLvl w:val="0"/>
        <w:rPr>
          <w:rFonts w:hint="eastAsia" w:ascii="黑体" w:hAnsi="黑体" w:eastAsia="黑体" w:cs="黑体"/>
          <w:color w:val="auto"/>
          <w:sz w:val="28"/>
          <w:szCs w:val="28"/>
        </w:rPr>
      </w:pPr>
      <w:bookmarkStart w:id="34" w:name="_Toc14320"/>
      <w:bookmarkStart w:id="35" w:name="_Toc67915199"/>
      <w:r>
        <w:rPr>
          <w:rFonts w:hint="eastAsia" w:ascii="黑体" w:hAnsi="黑体" w:eastAsia="黑体" w:cs="黑体"/>
          <w:color w:val="auto"/>
          <w:sz w:val="28"/>
          <w:szCs w:val="28"/>
        </w:rPr>
        <w:t>五、</w:t>
      </w:r>
      <w:bookmarkStart w:id="36" w:name="_Hlk54167917"/>
      <w:r>
        <w:rPr>
          <w:rFonts w:hint="eastAsia" w:ascii="黑体" w:hAnsi="黑体" w:eastAsia="黑体" w:cs="黑体"/>
          <w:color w:val="auto"/>
          <w:sz w:val="28"/>
          <w:szCs w:val="28"/>
        </w:rPr>
        <w:t>环境保护措施监督检查清单</w:t>
      </w:r>
      <w:bookmarkEnd w:id="34"/>
      <w:bookmarkEnd w:id="35"/>
      <w:bookmarkEnd w:id="36"/>
    </w:p>
    <w:tbl>
      <w:tblPr>
        <w:tblStyle w:val="40"/>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851"/>
        <w:gridCol w:w="1433"/>
        <w:gridCol w:w="2194"/>
        <w:gridCol w:w="2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150" w:type="dxa"/>
            <w:tcBorders>
              <w:tl2br w:val="single" w:color="auto" w:sz="4" w:space="0"/>
            </w:tcBorders>
            <w:noWrap/>
            <w:vAlign w:val="center"/>
          </w:tcPr>
          <w:p>
            <w:pPr>
              <w:adjustRightInd w:val="0"/>
              <w:snapToGrid w:val="0"/>
              <w:jc w:val="right"/>
              <w:rPr>
                <w:b/>
                <w:bCs/>
                <w:color w:val="auto"/>
                <w:szCs w:val="21"/>
              </w:rPr>
            </w:pPr>
            <w:r>
              <w:rPr>
                <w:rFonts w:hAnsi="宋体"/>
                <w:b/>
                <w:bCs/>
                <w:color w:val="auto"/>
                <w:szCs w:val="21"/>
              </w:rPr>
              <w:t>内容</w:t>
            </w:r>
          </w:p>
          <w:p>
            <w:pPr>
              <w:adjustRightInd w:val="0"/>
              <w:snapToGrid w:val="0"/>
              <w:rPr>
                <w:color w:val="auto"/>
                <w:szCs w:val="21"/>
              </w:rPr>
            </w:pPr>
            <w:r>
              <w:rPr>
                <w:rFonts w:hAnsi="宋体"/>
                <w:b/>
                <w:bCs/>
                <w:color w:val="auto"/>
                <w:szCs w:val="21"/>
              </w:rPr>
              <w:t>要素</w:t>
            </w:r>
          </w:p>
        </w:tc>
        <w:tc>
          <w:tcPr>
            <w:tcW w:w="1851" w:type="dxa"/>
            <w:noWrap/>
            <w:vAlign w:val="center"/>
          </w:tcPr>
          <w:p>
            <w:pPr>
              <w:adjustRightInd w:val="0"/>
              <w:snapToGrid w:val="0"/>
              <w:jc w:val="center"/>
              <w:rPr>
                <w:color w:val="auto"/>
                <w:szCs w:val="21"/>
              </w:rPr>
            </w:pPr>
            <w:r>
              <w:rPr>
                <w:rFonts w:hAnsi="宋体"/>
                <w:color w:val="auto"/>
                <w:szCs w:val="21"/>
              </w:rPr>
              <w:t>排放口（编号、</w:t>
            </w:r>
          </w:p>
          <w:p>
            <w:pPr>
              <w:adjustRightInd w:val="0"/>
              <w:snapToGrid w:val="0"/>
              <w:jc w:val="center"/>
              <w:rPr>
                <w:color w:val="auto"/>
                <w:szCs w:val="21"/>
              </w:rPr>
            </w:pPr>
            <w:r>
              <w:rPr>
                <w:rFonts w:hAnsi="宋体"/>
                <w:color w:val="auto"/>
                <w:szCs w:val="21"/>
              </w:rPr>
              <w:t>名称）</w:t>
            </w:r>
            <w:r>
              <w:rPr>
                <w:color w:val="auto"/>
                <w:szCs w:val="21"/>
              </w:rPr>
              <w:t>/</w:t>
            </w:r>
            <w:r>
              <w:rPr>
                <w:rFonts w:hAnsi="宋体"/>
                <w:color w:val="auto"/>
                <w:szCs w:val="21"/>
              </w:rPr>
              <w:t>污染源</w:t>
            </w:r>
          </w:p>
        </w:tc>
        <w:tc>
          <w:tcPr>
            <w:tcW w:w="1433" w:type="dxa"/>
            <w:noWrap/>
            <w:vAlign w:val="center"/>
          </w:tcPr>
          <w:p>
            <w:pPr>
              <w:adjustRightInd w:val="0"/>
              <w:snapToGrid w:val="0"/>
              <w:jc w:val="center"/>
              <w:rPr>
                <w:color w:val="auto"/>
                <w:szCs w:val="21"/>
              </w:rPr>
            </w:pPr>
            <w:r>
              <w:rPr>
                <w:rFonts w:hAnsi="宋体"/>
                <w:color w:val="auto"/>
                <w:szCs w:val="21"/>
              </w:rPr>
              <w:t>污染物项目</w:t>
            </w:r>
          </w:p>
        </w:tc>
        <w:tc>
          <w:tcPr>
            <w:tcW w:w="2194" w:type="dxa"/>
            <w:noWrap/>
            <w:vAlign w:val="center"/>
          </w:tcPr>
          <w:p>
            <w:pPr>
              <w:adjustRightInd w:val="0"/>
              <w:snapToGrid w:val="0"/>
              <w:jc w:val="center"/>
              <w:rPr>
                <w:color w:val="auto"/>
                <w:szCs w:val="21"/>
              </w:rPr>
            </w:pPr>
            <w:r>
              <w:rPr>
                <w:rFonts w:hAnsi="宋体"/>
                <w:color w:val="auto"/>
                <w:szCs w:val="21"/>
              </w:rPr>
              <w:t>环境保护措施</w:t>
            </w:r>
          </w:p>
        </w:tc>
        <w:tc>
          <w:tcPr>
            <w:tcW w:w="2422" w:type="dxa"/>
            <w:noWrap/>
            <w:vAlign w:val="center"/>
          </w:tcPr>
          <w:p>
            <w:pPr>
              <w:adjustRightInd w:val="0"/>
              <w:snapToGrid w:val="0"/>
              <w:jc w:val="center"/>
              <w:rPr>
                <w:color w:val="auto"/>
                <w:szCs w:val="21"/>
              </w:rPr>
            </w:pPr>
            <w:r>
              <w:rPr>
                <w:rFonts w:hAnsi="宋体"/>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1150" w:type="dxa"/>
            <w:vMerge w:val="restart"/>
            <w:noWrap/>
            <w:vAlign w:val="center"/>
          </w:tcPr>
          <w:p>
            <w:pPr>
              <w:adjustRightInd w:val="0"/>
              <w:snapToGrid w:val="0"/>
              <w:jc w:val="center"/>
              <w:rPr>
                <w:szCs w:val="21"/>
              </w:rPr>
            </w:pPr>
            <w:r>
              <w:rPr>
                <w:rFonts w:hAnsi="宋体"/>
                <w:szCs w:val="21"/>
              </w:rPr>
              <w:t>大气环境</w:t>
            </w:r>
          </w:p>
        </w:tc>
        <w:tc>
          <w:tcPr>
            <w:tcW w:w="1851" w:type="dxa"/>
            <w:noWrap/>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hAnsi="宋体"/>
                <w:szCs w:val="21"/>
                <w:lang w:eastAsia="zh-CN"/>
              </w:rPr>
              <w:t>织造粉尘</w:t>
            </w:r>
          </w:p>
        </w:tc>
        <w:tc>
          <w:tcPr>
            <w:tcW w:w="1433" w:type="dxa"/>
            <w:noWrap/>
            <w:vAlign w:val="center"/>
          </w:tcPr>
          <w:p>
            <w:pPr>
              <w:pStyle w:val="2"/>
              <w:adjustRightInd w:val="0"/>
              <w:spacing w:line="240" w:lineRule="auto"/>
              <w:jc w:val="center"/>
              <w:rPr>
                <w:rFonts w:ascii="Times New Roman" w:hAnsi="Times New Roman" w:eastAsia="宋体" w:cs="Times New Roman"/>
                <w:b w:val="0"/>
                <w:color w:val="auto"/>
                <w:kern w:val="2"/>
                <w:sz w:val="21"/>
                <w:szCs w:val="21"/>
                <w:lang w:val="en-US" w:eastAsia="zh-CN" w:bidi="ar-SA"/>
              </w:rPr>
            </w:pPr>
            <w:r>
              <w:rPr>
                <w:rFonts w:hAnsi="宋体"/>
                <w:b w:val="0"/>
                <w:color w:val="auto"/>
                <w:sz w:val="21"/>
                <w:szCs w:val="21"/>
              </w:rPr>
              <w:t>颗粒物</w:t>
            </w:r>
          </w:p>
        </w:tc>
        <w:tc>
          <w:tcPr>
            <w:tcW w:w="2194" w:type="dxa"/>
            <w:noWrap/>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hAnsi="宋体"/>
                <w:bCs/>
                <w:szCs w:val="21"/>
              </w:rPr>
              <w:t>加强车间通风</w:t>
            </w:r>
          </w:p>
        </w:tc>
        <w:tc>
          <w:tcPr>
            <w:tcW w:w="2422" w:type="dxa"/>
            <w:noWrap/>
            <w:vAlign w:val="center"/>
          </w:tcPr>
          <w:p>
            <w:pPr>
              <w:adjustRightInd w:val="0"/>
              <w:snapToGrid w:val="0"/>
              <w:rPr>
                <w:rFonts w:ascii="Times New Roman" w:hAnsi="Times New Roman" w:eastAsia="宋体" w:cs="Times New Roman"/>
                <w:kern w:val="2"/>
                <w:sz w:val="21"/>
                <w:szCs w:val="21"/>
                <w:lang w:val="en-US" w:eastAsia="zh-CN" w:bidi="ar-SA"/>
              </w:rPr>
            </w:pPr>
            <w:r>
              <w:rPr>
                <w:rFonts w:hAnsi="宋体"/>
                <w:szCs w:val="21"/>
              </w:rPr>
              <w:t>《大气污染物综合排放标准》</w:t>
            </w:r>
            <w:r>
              <w:rPr>
                <w:rFonts w:hint="eastAsia" w:hAnsi="宋体"/>
                <w:szCs w:val="21"/>
              </w:rPr>
              <w:t>（</w:t>
            </w:r>
            <w:r>
              <w:rPr>
                <w:rFonts w:hAnsi="宋体"/>
                <w:szCs w:val="21"/>
              </w:rPr>
              <w:t>GB16297-1996</w:t>
            </w:r>
            <w:r>
              <w:rPr>
                <w:rFonts w:hint="eastAsia" w:hAnsi="宋体"/>
                <w:szCs w:val="21"/>
              </w:rPr>
              <w:t>）</w:t>
            </w:r>
            <w:r>
              <w:rPr>
                <w:rFonts w:hAnsi="宋体"/>
                <w:szCs w:val="21"/>
              </w:rPr>
              <w:t>表2中的新污染源大气污染物排放限值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50" w:type="dxa"/>
            <w:vMerge w:val="continue"/>
            <w:noWrap/>
            <w:vAlign w:val="center"/>
          </w:tcPr>
          <w:p>
            <w:pPr>
              <w:adjustRightInd w:val="0"/>
              <w:snapToGrid w:val="0"/>
              <w:jc w:val="center"/>
              <w:rPr>
                <w:szCs w:val="21"/>
              </w:rPr>
            </w:pPr>
          </w:p>
        </w:tc>
        <w:tc>
          <w:tcPr>
            <w:tcW w:w="1851" w:type="dxa"/>
            <w:noWrap/>
            <w:vAlign w:val="center"/>
          </w:tcPr>
          <w:p>
            <w:pPr>
              <w:adjustRightInd w:val="0"/>
              <w:snapToGrid w:val="0"/>
              <w:jc w:val="center"/>
              <w:rPr>
                <w:rFonts w:hint="eastAsia" w:eastAsia="宋体"/>
                <w:szCs w:val="21"/>
                <w:lang w:eastAsia="zh-CN"/>
              </w:rPr>
            </w:pPr>
            <w:r>
              <w:rPr>
                <w:rFonts w:hint="eastAsia"/>
                <w:szCs w:val="21"/>
                <w:lang w:eastAsia="zh-CN"/>
              </w:rPr>
              <w:t>加弹废气（</w:t>
            </w:r>
            <w:r>
              <w:rPr>
                <w:rFonts w:hint="eastAsia"/>
                <w:szCs w:val="21"/>
                <w:lang w:val="en-US" w:eastAsia="zh-CN"/>
              </w:rPr>
              <w:t>DA001</w:t>
            </w:r>
            <w:r>
              <w:rPr>
                <w:rFonts w:hint="eastAsia"/>
                <w:szCs w:val="21"/>
                <w:lang w:eastAsia="zh-CN"/>
              </w:rPr>
              <w:t>）</w:t>
            </w:r>
          </w:p>
        </w:tc>
        <w:tc>
          <w:tcPr>
            <w:tcW w:w="1433" w:type="dxa"/>
            <w:noWrap/>
            <w:vAlign w:val="center"/>
          </w:tcPr>
          <w:p>
            <w:pPr>
              <w:pStyle w:val="2"/>
              <w:adjustRightInd w:val="0"/>
              <w:spacing w:line="240" w:lineRule="auto"/>
              <w:jc w:val="center"/>
              <w:rPr>
                <w:rFonts w:hint="eastAsia" w:eastAsia="宋体"/>
                <w:b w:val="0"/>
                <w:color w:val="auto"/>
                <w:sz w:val="21"/>
                <w:szCs w:val="21"/>
                <w:lang w:eastAsia="zh-CN"/>
              </w:rPr>
            </w:pPr>
            <w:r>
              <w:rPr>
                <w:rFonts w:hint="eastAsia"/>
                <w:b w:val="0"/>
                <w:color w:val="auto"/>
                <w:sz w:val="21"/>
                <w:szCs w:val="21"/>
                <w:lang w:eastAsia="zh-CN"/>
              </w:rPr>
              <w:t>非甲烷总烃、臭气浓度</w:t>
            </w:r>
          </w:p>
        </w:tc>
        <w:tc>
          <w:tcPr>
            <w:tcW w:w="2194" w:type="dxa"/>
            <w:noWrap/>
            <w:vAlign w:val="center"/>
          </w:tcPr>
          <w:p>
            <w:pPr>
              <w:adjustRightInd w:val="0"/>
              <w:snapToGrid w:val="0"/>
              <w:jc w:val="center"/>
              <w:rPr>
                <w:rFonts w:hint="default" w:eastAsia="宋体"/>
                <w:szCs w:val="21"/>
                <w:lang w:val="en-US" w:eastAsia="zh-CN"/>
              </w:rPr>
            </w:pPr>
            <w:r>
              <w:rPr>
                <w:rFonts w:hint="eastAsia"/>
                <w:szCs w:val="21"/>
                <w:lang w:val="en-US" w:eastAsia="zh-CN"/>
              </w:rPr>
              <w:t>经冷却+水喷淋+静电油烟净化器处理后通过20m高排气筒高空排放</w:t>
            </w:r>
          </w:p>
        </w:tc>
        <w:tc>
          <w:tcPr>
            <w:tcW w:w="2422" w:type="dxa"/>
            <w:noWrap/>
            <w:vAlign w:val="center"/>
          </w:tcPr>
          <w:p>
            <w:pPr>
              <w:adjustRightInd w:val="0"/>
              <w:snapToGrid w:val="0"/>
              <w:rPr>
                <w:szCs w:val="21"/>
              </w:rPr>
            </w:pPr>
            <w:r>
              <w:rPr>
                <w:rFonts w:hAnsi="宋体"/>
                <w:szCs w:val="21"/>
              </w:rPr>
              <w:t>《大气污染物综合排放标准》</w:t>
            </w:r>
            <w:r>
              <w:rPr>
                <w:rFonts w:hint="eastAsia" w:hAnsi="宋体"/>
                <w:szCs w:val="21"/>
              </w:rPr>
              <w:t>（</w:t>
            </w:r>
            <w:r>
              <w:rPr>
                <w:rFonts w:hAnsi="宋体"/>
                <w:szCs w:val="21"/>
              </w:rPr>
              <w:t>GB16297-1996</w:t>
            </w:r>
            <w:r>
              <w:rPr>
                <w:rFonts w:hint="eastAsia" w:hAnsi="宋体"/>
                <w:szCs w:val="21"/>
              </w:rPr>
              <w:t>）</w:t>
            </w:r>
            <w:r>
              <w:rPr>
                <w:rFonts w:hAnsi="宋体"/>
                <w:szCs w:val="21"/>
              </w:rPr>
              <w:t>表2中的新污染源大气污染物排放限值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50" w:type="dxa"/>
            <w:vMerge w:val="continue"/>
            <w:noWrap/>
            <w:vAlign w:val="center"/>
          </w:tcPr>
          <w:p>
            <w:pPr>
              <w:adjustRightInd w:val="0"/>
              <w:snapToGrid w:val="0"/>
              <w:jc w:val="center"/>
              <w:rPr>
                <w:szCs w:val="21"/>
              </w:rPr>
            </w:pPr>
          </w:p>
        </w:tc>
        <w:tc>
          <w:tcPr>
            <w:tcW w:w="1851" w:type="dxa"/>
            <w:noWrap/>
            <w:vAlign w:val="center"/>
          </w:tcPr>
          <w:p>
            <w:pPr>
              <w:pStyle w:val="2"/>
              <w:spacing w:line="240" w:lineRule="auto"/>
              <w:jc w:val="center"/>
              <w:rPr>
                <w:rFonts w:hint="eastAsia" w:eastAsia="宋体"/>
                <w:b w:val="0"/>
                <w:bCs/>
                <w:color w:val="auto"/>
                <w:szCs w:val="21"/>
                <w:lang w:eastAsia="zh-CN"/>
              </w:rPr>
            </w:pPr>
            <w:r>
              <w:rPr>
                <w:rFonts w:hint="eastAsia"/>
                <w:b w:val="0"/>
                <w:bCs/>
                <w:color w:val="auto"/>
                <w:szCs w:val="21"/>
                <w:lang w:eastAsia="zh-CN"/>
              </w:rPr>
              <w:t>有机废气（</w:t>
            </w:r>
            <w:r>
              <w:rPr>
                <w:rFonts w:hint="eastAsia"/>
                <w:b w:val="0"/>
                <w:bCs/>
                <w:color w:val="auto"/>
                <w:szCs w:val="21"/>
                <w:lang w:val="en-US" w:eastAsia="zh-CN"/>
              </w:rPr>
              <w:t>DA002</w:t>
            </w:r>
            <w:r>
              <w:rPr>
                <w:rFonts w:hint="eastAsia"/>
                <w:b w:val="0"/>
                <w:bCs/>
                <w:color w:val="auto"/>
                <w:szCs w:val="21"/>
                <w:lang w:eastAsia="zh-CN"/>
              </w:rPr>
              <w:t>）</w:t>
            </w:r>
          </w:p>
        </w:tc>
        <w:tc>
          <w:tcPr>
            <w:tcW w:w="1433" w:type="dxa"/>
            <w:noWrap/>
            <w:vAlign w:val="center"/>
          </w:tcPr>
          <w:p>
            <w:pPr>
              <w:adjustRightInd w:val="0"/>
              <w:snapToGrid w:val="0"/>
              <w:jc w:val="center"/>
              <w:rPr>
                <w:bCs/>
                <w:szCs w:val="21"/>
              </w:rPr>
            </w:pPr>
            <w:r>
              <w:rPr>
                <w:rFonts w:hint="eastAsia"/>
                <w:b w:val="0"/>
                <w:color w:val="auto"/>
                <w:sz w:val="21"/>
                <w:szCs w:val="21"/>
                <w:lang w:eastAsia="zh-CN"/>
              </w:rPr>
              <w:t>非甲烷总烃、臭气浓度</w:t>
            </w:r>
          </w:p>
        </w:tc>
        <w:tc>
          <w:tcPr>
            <w:tcW w:w="2194" w:type="dxa"/>
            <w:noWrap/>
            <w:vAlign w:val="center"/>
          </w:tcPr>
          <w:p>
            <w:pPr>
              <w:jc w:val="center"/>
              <w:rPr>
                <w:bCs/>
                <w:szCs w:val="21"/>
              </w:rPr>
            </w:pPr>
            <w:r>
              <w:rPr>
                <w:rFonts w:hint="eastAsia"/>
                <w:szCs w:val="21"/>
                <w:lang w:val="en-US" w:eastAsia="zh-CN"/>
              </w:rPr>
              <w:t>经冷却+水喷淋+静电油烟净化器处理后通过20m高排气筒高空排放</w:t>
            </w:r>
          </w:p>
        </w:tc>
        <w:tc>
          <w:tcPr>
            <w:tcW w:w="2422" w:type="dxa"/>
            <w:noWrap/>
            <w:vAlign w:val="center"/>
          </w:tcPr>
          <w:p>
            <w:pPr>
              <w:adjustRightInd w:val="0"/>
              <w:snapToGrid w:val="0"/>
              <w:rPr>
                <w:szCs w:val="21"/>
              </w:rPr>
            </w:pPr>
            <w:r>
              <w:rPr>
                <w:rFonts w:hint="eastAsia"/>
                <w:szCs w:val="21"/>
              </w:rPr>
              <w:t>《纺织染整工业大气污染物排放标准》（DB33/962-2015）表 1“新建企业排放限值”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1150" w:type="dxa"/>
            <w:vMerge w:val="restart"/>
            <w:noWrap/>
            <w:vAlign w:val="center"/>
          </w:tcPr>
          <w:p>
            <w:pPr>
              <w:adjustRightInd w:val="0"/>
              <w:snapToGrid w:val="0"/>
              <w:jc w:val="center"/>
              <w:rPr>
                <w:szCs w:val="21"/>
              </w:rPr>
            </w:pPr>
            <w:r>
              <w:rPr>
                <w:rFonts w:hAnsi="宋体"/>
                <w:szCs w:val="21"/>
              </w:rPr>
              <w:t>地表水</w:t>
            </w:r>
          </w:p>
          <w:p>
            <w:pPr>
              <w:adjustRightInd w:val="0"/>
              <w:snapToGrid w:val="0"/>
              <w:jc w:val="center"/>
              <w:rPr>
                <w:szCs w:val="21"/>
              </w:rPr>
            </w:pPr>
            <w:r>
              <w:rPr>
                <w:rFonts w:hAnsi="宋体"/>
                <w:szCs w:val="21"/>
              </w:rPr>
              <w:t>环境</w:t>
            </w:r>
          </w:p>
        </w:tc>
        <w:tc>
          <w:tcPr>
            <w:tcW w:w="1851" w:type="dxa"/>
            <w:noWrap/>
            <w:vAlign w:val="center"/>
          </w:tcPr>
          <w:p>
            <w:pPr>
              <w:adjustRightInd w:val="0"/>
              <w:snapToGrid w:val="0"/>
              <w:jc w:val="center"/>
              <w:rPr>
                <w:szCs w:val="21"/>
              </w:rPr>
            </w:pPr>
            <w:r>
              <w:rPr>
                <w:rFonts w:hAnsi="宋体"/>
                <w:szCs w:val="21"/>
              </w:rPr>
              <w:t>生活污水</w:t>
            </w:r>
          </w:p>
        </w:tc>
        <w:tc>
          <w:tcPr>
            <w:tcW w:w="1433" w:type="dxa"/>
            <w:noWrap/>
            <w:vAlign w:val="center"/>
          </w:tcPr>
          <w:p>
            <w:pPr>
              <w:adjustRightInd w:val="0"/>
              <w:snapToGrid w:val="0"/>
              <w:jc w:val="center"/>
              <w:rPr>
                <w:szCs w:val="21"/>
              </w:rPr>
            </w:pPr>
            <w:r>
              <w:rPr>
                <w:szCs w:val="21"/>
              </w:rPr>
              <w:t>COD</w:t>
            </w:r>
            <w:r>
              <w:rPr>
                <w:szCs w:val="21"/>
                <w:vertAlign w:val="subscript"/>
              </w:rPr>
              <w:t>Cr</w:t>
            </w:r>
            <w:r>
              <w:rPr>
                <w:rFonts w:hAnsi="宋体"/>
                <w:szCs w:val="21"/>
              </w:rPr>
              <w:t>、氨氮</w:t>
            </w:r>
          </w:p>
        </w:tc>
        <w:tc>
          <w:tcPr>
            <w:tcW w:w="2194" w:type="dxa"/>
            <w:tcBorders>
              <w:right w:val="single" w:color="000000" w:sz="2" w:space="0"/>
            </w:tcBorders>
            <w:noWrap/>
            <w:vAlign w:val="center"/>
          </w:tcPr>
          <w:p>
            <w:pPr>
              <w:adjustRightInd w:val="0"/>
              <w:snapToGrid w:val="0"/>
              <w:jc w:val="center"/>
              <w:rPr>
                <w:rFonts w:hint="eastAsia" w:eastAsia="宋体"/>
                <w:szCs w:val="21"/>
                <w:lang w:eastAsia="zh-CN"/>
              </w:rPr>
            </w:pPr>
            <w:r>
              <w:rPr>
                <w:rFonts w:hint="eastAsia"/>
                <w:szCs w:val="21"/>
                <w:lang w:eastAsia="zh-CN"/>
              </w:rPr>
              <w:t>经化粪池预处理后纳入农村生活污水终端系统处理达标后排放</w:t>
            </w:r>
          </w:p>
        </w:tc>
        <w:tc>
          <w:tcPr>
            <w:tcW w:w="2422" w:type="dxa"/>
            <w:tcBorders>
              <w:left w:val="single" w:color="000000" w:sz="2" w:space="0"/>
            </w:tcBorders>
            <w:noWrap/>
            <w:vAlign w:val="center"/>
          </w:tcPr>
          <w:p>
            <w:pPr>
              <w:adjustRightInd w:val="0"/>
              <w:snapToGrid w:val="0"/>
              <w:rPr>
                <w:szCs w:val="21"/>
              </w:rPr>
            </w:pPr>
            <w:r>
              <w:rPr>
                <w:rFonts w:hint="eastAsia"/>
                <w:szCs w:val="21"/>
              </w:rPr>
              <w:t>《农村生活污水集中处理设施水污染物排放标准》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0" w:type="dxa"/>
            <w:vMerge w:val="continue"/>
            <w:noWrap/>
            <w:vAlign w:val="center"/>
          </w:tcPr>
          <w:p>
            <w:pPr>
              <w:adjustRightInd w:val="0"/>
              <w:snapToGrid w:val="0"/>
              <w:jc w:val="center"/>
              <w:rPr>
                <w:rFonts w:hAnsi="宋体"/>
                <w:szCs w:val="21"/>
              </w:rPr>
            </w:pPr>
          </w:p>
        </w:tc>
        <w:tc>
          <w:tcPr>
            <w:tcW w:w="1851" w:type="dxa"/>
            <w:noWrap/>
            <w:vAlign w:val="center"/>
          </w:tcPr>
          <w:p>
            <w:pPr>
              <w:adjustRightInd w:val="0"/>
              <w:snapToGrid w:val="0"/>
              <w:jc w:val="center"/>
              <w:rPr>
                <w:rFonts w:hint="eastAsia" w:hAnsi="宋体" w:eastAsia="宋体"/>
                <w:szCs w:val="21"/>
                <w:lang w:eastAsia="zh-CN"/>
              </w:rPr>
            </w:pPr>
            <w:r>
              <w:rPr>
                <w:rFonts w:hint="eastAsia" w:hAnsi="宋体"/>
                <w:szCs w:val="21"/>
              </w:rPr>
              <w:t>织造废水</w:t>
            </w:r>
            <w:r>
              <w:rPr>
                <w:rFonts w:hint="eastAsia" w:hAnsi="宋体"/>
                <w:szCs w:val="21"/>
                <w:lang w:eastAsia="zh-CN"/>
              </w:rPr>
              <w:t>（含码布废水、清洗废水）</w:t>
            </w:r>
          </w:p>
        </w:tc>
        <w:tc>
          <w:tcPr>
            <w:tcW w:w="1433" w:type="dxa"/>
            <w:noWrap/>
            <w:vAlign w:val="center"/>
          </w:tcPr>
          <w:p>
            <w:pPr>
              <w:jc w:val="center"/>
              <w:rPr>
                <w:szCs w:val="21"/>
              </w:rPr>
            </w:pPr>
            <w:r>
              <w:rPr>
                <w:bCs/>
                <w:szCs w:val="21"/>
              </w:rPr>
              <w:t>COD</w:t>
            </w:r>
            <w:r>
              <w:rPr>
                <w:bCs/>
                <w:szCs w:val="21"/>
                <w:vertAlign w:val="subscript"/>
              </w:rPr>
              <w:t>Cr</w:t>
            </w:r>
            <w:r>
              <w:rPr>
                <w:bCs/>
                <w:szCs w:val="21"/>
              </w:rPr>
              <w:t>、</w:t>
            </w:r>
            <w:r>
              <w:rPr>
                <w:rFonts w:eastAsia="Times New Roman"/>
                <w:szCs w:val="21"/>
              </w:rPr>
              <w:t>SS</w:t>
            </w:r>
            <w:r>
              <w:rPr>
                <w:rFonts w:hint="eastAsia"/>
                <w:szCs w:val="21"/>
              </w:rPr>
              <w:t>、石油类</w:t>
            </w:r>
          </w:p>
        </w:tc>
        <w:tc>
          <w:tcPr>
            <w:tcW w:w="4616" w:type="dxa"/>
            <w:gridSpan w:val="2"/>
            <w:noWrap/>
            <w:vAlign w:val="center"/>
          </w:tcPr>
          <w:p>
            <w:pPr>
              <w:adjustRightInd w:val="0"/>
              <w:snapToGrid w:val="0"/>
              <w:rPr>
                <w:rFonts w:hint="eastAsia" w:hAnsi="宋体" w:eastAsia="宋体"/>
                <w:szCs w:val="21"/>
                <w:lang w:eastAsia="zh-CN"/>
              </w:rPr>
            </w:pPr>
            <w:r>
              <w:rPr>
                <w:rFonts w:hint="eastAsia" w:hAnsi="宋体"/>
                <w:szCs w:val="21"/>
              </w:rPr>
              <w:t>织造废水收集后排至长兴虹溪污水处理有限公司建设在虹星桥镇北片工业园区的中水回用站处理后回用于本厂织造，不排放</w:t>
            </w:r>
            <w:r>
              <w:rPr>
                <w:rFonts w:hint="eastAsia"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0" w:type="dxa"/>
            <w:vMerge w:val="continue"/>
            <w:noWrap/>
            <w:vAlign w:val="center"/>
          </w:tcPr>
          <w:p>
            <w:pPr>
              <w:adjustRightInd w:val="0"/>
              <w:snapToGrid w:val="0"/>
              <w:jc w:val="center"/>
              <w:rPr>
                <w:rFonts w:hAnsi="宋体"/>
                <w:szCs w:val="21"/>
              </w:rPr>
            </w:pPr>
          </w:p>
        </w:tc>
        <w:tc>
          <w:tcPr>
            <w:tcW w:w="1851" w:type="dxa"/>
            <w:noWrap/>
            <w:vAlign w:val="center"/>
          </w:tcPr>
          <w:p>
            <w:pPr>
              <w:adjustRightInd w:val="0"/>
              <w:snapToGrid w:val="0"/>
              <w:jc w:val="center"/>
              <w:rPr>
                <w:rFonts w:hint="eastAsia" w:hAnsi="宋体" w:eastAsia="宋体"/>
                <w:szCs w:val="21"/>
                <w:lang w:eastAsia="zh-CN"/>
              </w:rPr>
            </w:pPr>
            <w:r>
              <w:rPr>
                <w:rFonts w:hint="eastAsia" w:hAnsi="宋体"/>
                <w:szCs w:val="21"/>
                <w:lang w:eastAsia="zh-CN"/>
              </w:rPr>
              <w:t>喷淋补充水</w:t>
            </w:r>
          </w:p>
        </w:tc>
        <w:tc>
          <w:tcPr>
            <w:tcW w:w="1433" w:type="dxa"/>
            <w:noWrap/>
            <w:vAlign w:val="center"/>
          </w:tcPr>
          <w:p>
            <w:pPr>
              <w:jc w:val="center"/>
              <w:rPr>
                <w:rFonts w:hint="eastAsia" w:eastAsia="宋体"/>
                <w:bCs/>
                <w:szCs w:val="21"/>
                <w:lang w:val="en-US" w:eastAsia="zh-CN"/>
              </w:rPr>
            </w:pPr>
            <w:r>
              <w:rPr>
                <w:rFonts w:hint="eastAsia"/>
                <w:bCs/>
                <w:szCs w:val="21"/>
                <w:lang w:val="en-US" w:eastAsia="zh-CN"/>
              </w:rPr>
              <w:t>/</w:t>
            </w:r>
          </w:p>
        </w:tc>
        <w:tc>
          <w:tcPr>
            <w:tcW w:w="4616" w:type="dxa"/>
            <w:gridSpan w:val="2"/>
            <w:noWrap/>
            <w:vAlign w:val="center"/>
          </w:tcPr>
          <w:p>
            <w:pPr>
              <w:adjustRightInd w:val="0"/>
              <w:snapToGrid w:val="0"/>
              <w:rPr>
                <w:rFonts w:hint="default" w:eastAsia="宋体"/>
                <w:szCs w:val="21"/>
                <w:lang w:val="en-US" w:eastAsia="zh-CN"/>
              </w:rPr>
            </w:pPr>
            <w:r>
              <w:rPr>
                <w:rFonts w:hint="eastAsia"/>
                <w:szCs w:val="21"/>
                <w:lang w:eastAsia="zh-CN"/>
              </w:rPr>
              <w:t>年补充水量为</w:t>
            </w:r>
            <w:r>
              <w:rPr>
                <w:rFonts w:hint="eastAsia"/>
                <w:szCs w:val="21"/>
                <w:lang w:val="en-US" w:eastAsia="zh-CN"/>
              </w:rPr>
              <w:t>16.2t/a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0" w:type="dxa"/>
            <w:vMerge w:val="continue"/>
            <w:noWrap/>
            <w:vAlign w:val="center"/>
          </w:tcPr>
          <w:p>
            <w:pPr>
              <w:adjustRightInd w:val="0"/>
              <w:snapToGrid w:val="0"/>
              <w:jc w:val="center"/>
              <w:rPr>
                <w:rFonts w:hAnsi="宋体"/>
                <w:szCs w:val="21"/>
              </w:rPr>
            </w:pPr>
          </w:p>
        </w:tc>
        <w:tc>
          <w:tcPr>
            <w:tcW w:w="1851" w:type="dxa"/>
            <w:noWrap/>
            <w:vAlign w:val="center"/>
          </w:tcPr>
          <w:p>
            <w:pPr>
              <w:adjustRightInd w:val="0"/>
              <w:snapToGrid w:val="0"/>
              <w:jc w:val="center"/>
              <w:rPr>
                <w:rFonts w:hint="eastAsia" w:hAnsi="宋体"/>
                <w:szCs w:val="21"/>
              </w:rPr>
            </w:pPr>
            <w:r>
              <w:rPr>
                <w:rFonts w:hint="eastAsia" w:hAnsi="宋体"/>
                <w:szCs w:val="21"/>
              </w:rPr>
              <w:t>冷却补充水</w:t>
            </w:r>
          </w:p>
        </w:tc>
        <w:tc>
          <w:tcPr>
            <w:tcW w:w="1433" w:type="dxa"/>
            <w:noWrap/>
            <w:vAlign w:val="center"/>
          </w:tcPr>
          <w:p>
            <w:pPr>
              <w:jc w:val="center"/>
              <w:rPr>
                <w:rFonts w:hint="eastAsia" w:eastAsia="宋体"/>
                <w:bCs/>
                <w:szCs w:val="21"/>
                <w:lang w:val="en-US" w:eastAsia="zh-CN"/>
              </w:rPr>
            </w:pPr>
            <w:r>
              <w:rPr>
                <w:rFonts w:hint="eastAsia"/>
                <w:bCs/>
                <w:szCs w:val="21"/>
                <w:lang w:val="en-US" w:eastAsia="zh-CN"/>
              </w:rPr>
              <w:t>/</w:t>
            </w:r>
          </w:p>
        </w:tc>
        <w:tc>
          <w:tcPr>
            <w:tcW w:w="4616" w:type="dxa"/>
            <w:gridSpan w:val="2"/>
            <w:noWrap/>
            <w:vAlign w:val="center"/>
          </w:tcPr>
          <w:p>
            <w:pPr>
              <w:adjustRightInd w:val="0"/>
              <w:snapToGrid w:val="0"/>
              <w:rPr>
                <w:rFonts w:hint="eastAsia"/>
                <w:szCs w:val="21"/>
              </w:rPr>
            </w:pPr>
            <w:r>
              <w:rPr>
                <w:rFonts w:hint="eastAsia"/>
                <w:szCs w:val="21"/>
                <w:lang w:eastAsia="zh-CN"/>
              </w:rPr>
              <w:t>年补充水量为</w:t>
            </w:r>
            <w:r>
              <w:rPr>
                <w:rFonts w:hint="eastAsia"/>
                <w:szCs w:val="21"/>
                <w:lang w:val="en-US" w:eastAsia="zh-CN"/>
              </w:rPr>
              <w:t>50t/a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1150" w:type="dxa"/>
            <w:noWrap/>
            <w:vAlign w:val="center"/>
          </w:tcPr>
          <w:p>
            <w:pPr>
              <w:adjustRightInd w:val="0"/>
              <w:snapToGrid w:val="0"/>
              <w:jc w:val="center"/>
              <w:rPr>
                <w:szCs w:val="21"/>
              </w:rPr>
            </w:pPr>
            <w:r>
              <w:rPr>
                <w:rFonts w:hAnsi="宋体"/>
                <w:szCs w:val="21"/>
              </w:rPr>
              <w:t>声环境</w:t>
            </w:r>
          </w:p>
        </w:tc>
        <w:tc>
          <w:tcPr>
            <w:tcW w:w="1851" w:type="dxa"/>
            <w:noWrap/>
            <w:vAlign w:val="center"/>
          </w:tcPr>
          <w:p>
            <w:pPr>
              <w:adjustRightInd w:val="0"/>
              <w:snapToGrid w:val="0"/>
              <w:jc w:val="center"/>
              <w:rPr>
                <w:szCs w:val="21"/>
              </w:rPr>
            </w:pPr>
            <w:r>
              <w:rPr>
                <w:rFonts w:hAnsi="宋体"/>
                <w:szCs w:val="21"/>
              </w:rPr>
              <w:t>噪声</w:t>
            </w:r>
          </w:p>
        </w:tc>
        <w:tc>
          <w:tcPr>
            <w:tcW w:w="1433" w:type="dxa"/>
            <w:noWrap/>
            <w:vAlign w:val="center"/>
          </w:tcPr>
          <w:p>
            <w:pPr>
              <w:adjustRightInd w:val="0"/>
              <w:snapToGrid w:val="0"/>
              <w:jc w:val="center"/>
              <w:rPr>
                <w:szCs w:val="21"/>
              </w:rPr>
            </w:pPr>
            <w:r>
              <w:rPr>
                <w:rFonts w:hAnsi="宋体"/>
                <w:szCs w:val="21"/>
              </w:rPr>
              <w:t>设备噪声</w:t>
            </w:r>
          </w:p>
        </w:tc>
        <w:tc>
          <w:tcPr>
            <w:tcW w:w="2194" w:type="dxa"/>
            <w:noWrap/>
            <w:vAlign w:val="center"/>
          </w:tcPr>
          <w:p>
            <w:pPr>
              <w:adjustRightInd w:val="0"/>
              <w:snapToGrid w:val="0"/>
              <w:jc w:val="center"/>
              <w:rPr>
                <w:szCs w:val="21"/>
              </w:rPr>
            </w:pPr>
            <w:r>
              <w:rPr>
                <w:rFonts w:hint="eastAsia" w:hAnsi="宋体"/>
                <w:szCs w:val="21"/>
              </w:rPr>
              <w:t>高噪设备加设减振垫，生产时关闭门窗；加强设备养护和保养等措施</w:t>
            </w:r>
            <w:r>
              <w:rPr>
                <w:rFonts w:hAnsi="宋体"/>
                <w:szCs w:val="21"/>
              </w:rPr>
              <w:t>等</w:t>
            </w:r>
          </w:p>
        </w:tc>
        <w:tc>
          <w:tcPr>
            <w:tcW w:w="2422" w:type="dxa"/>
            <w:noWrap/>
            <w:vAlign w:val="center"/>
          </w:tcPr>
          <w:p>
            <w:pPr>
              <w:adjustRightInd w:val="0"/>
              <w:snapToGrid w:val="0"/>
              <w:rPr>
                <w:szCs w:val="21"/>
              </w:rPr>
            </w:pPr>
            <w:r>
              <w:rPr>
                <w:rFonts w:hAnsi="宋体"/>
                <w:szCs w:val="21"/>
              </w:rPr>
              <w:t>《工业企业厂界环境噪声排放标准》（</w:t>
            </w:r>
            <w:r>
              <w:rPr>
                <w:szCs w:val="21"/>
              </w:rPr>
              <w:t>GB12348-2008</w:t>
            </w:r>
            <w:r>
              <w:rPr>
                <w:rFonts w:hAnsi="宋体"/>
                <w:szCs w:val="21"/>
              </w:rPr>
              <w:t>）中的</w:t>
            </w:r>
            <w:r>
              <w:rPr>
                <w:szCs w:val="21"/>
              </w:rPr>
              <w:t>3</w:t>
            </w:r>
            <w:r>
              <w:rPr>
                <w:rFonts w:hAnsi="宋体"/>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0" w:type="dxa"/>
            <w:noWrap/>
            <w:vAlign w:val="center"/>
          </w:tcPr>
          <w:p>
            <w:pPr>
              <w:adjustRightInd w:val="0"/>
              <w:snapToGrid w:val="0"/>
              <w:jc w:val="center"/>
              <w:rPr>
                <w:szCs w:val="21"/>
              </w:rPr>
            </w:pPr>
            <w:r>
              <w:rPr>
                <w:rFonts w:hAnsi="宋体"/>
                <w:szCs w:val="21"/>
              </w:rPr>
              <w:t>电磁辐射</w:t>
            </w:r>
          </w:p>
        </w:tc>
        <w:tc>
          <w:tcPr>
            <w:tcW w:w="1851" w:type="dxa"/>
            <w:noWrap/>
            <w:vAlign w:val="center"/>
          </w:tcPr>
          <w:p>
            <w:pPr>
              <w:adjustRightInd w:val="0"/>
              <w:snapToGrid w:val="0"/>
              <w:jc w:val="center"/>
              <w:rPr>
                <w:szCs w:val="21"/>
              </w:rPr>
            </w:pPr>
            <w:r>
              <w:rPr>
                <w:szCs w:val="21"/>
              </w:rPr>
              <w:t>/</w:t>
            </w:r>
          </w:p>
        </w:tc>
        <w:tc>
          <w:tcPr>
            <w:tcW w:w="1433" w:type="dxa"/>
            <w:noWrap/>
            <w:vAlign w:val="center"/>
          </w:tcPr>
          <w:p>
            <w:pPr>
              <w:adjustRightInd w:val="0"/>
              <w:snapToGrid w:val="0"/>
              <w:jc w:val="center"/>
              <w:rPr>
                <w:szCs w:val="21"/>
              </w:rPr>
            </w:pPr>
            <w:r>
              <w:rPr>
                <w:szCs w:val="21"/>
              </w:rPr>
              <w:t>/</w:t>
            </w:r>
          </w:p>
        </w:tc>
        <w:tc>
          <w:tcPr>
            <w:tcW w:w="2194" w:type="dxa"/>
            <w:noWrap/>
            <w:vAlign w:val="center"/>
          </w:tcPr>
          <w:p>
            <w:pPr>
              <w:adjustRightInd w:val="0"/>
              <w:snapToGrid w:val="0"/>
              <w:jc w:val="center"/>
              <w:rPr>
                <w:szCs w:val="21"/>
              </w:rPr>
            </w:pPr>
            <w:r>
              <w:rPr>
                <w:szCs w:val="21"/>
              </w:rPr>
              <w:t>/</w:t>
            </w:r>
          </w:p>
        </w:tc>
        <w:tc>
          <w:tcPr>
            <w:tcW w:w="2422" w:type="dxa"/>
            <w:noWrap/>
            <w:vAlign w:val="center"/>
          </w:tcPr>
          <w:p>
            <w:pPr>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1150" w:type="dxa"/>
            <w:noWrap/>
            <w:vAlign w:val="center"/>
          </w:tcPr>
          <w:p>
            <w:pPr>
              <w:adjustRightInd w:val="0"/>
              <w:snapToGrid w:val="0"/>
              <w:jc w:val="center"/>
              <w:rPr>
                <w:szCs w:val="21"/>
              </w:rPr>
            </w:pPr>
            <w:r>
              <w:rPr>
                <w:rFonts w:hAnsi="宋体"/>
                <w:szCs w:val="21"/>
              </w:rPr>
              <w:t>固体废物</w:t>
            </w:r>
          </w:p>
        </w:tc>
        <w:tc>
          <w:tcPr>
            <w:tcW w:w="7900" w:type="dxa"/>
            <w:gridSpan w:val="4"/>
            <w:noWrap/>
            <w:vAlign w:val="center"/>
          </w:tcPr>
          <w:p>
            <w:pPr>
              <w:keepNext w:val="0"/>
              <w:keepLines w:val="0"/>
              <w:widowControl w:val="0"/>
              <w:kinsoku/>
              <w:wordWrap/>
              <w:overflowPunct/>
              <w:topLinePunct w:val="0"/>
              <w:bidi w:val="0"/>
              <w:spacing w:line="360" w:lineRule="exact"/>
              <w:textAlignment w:val="auto"/>
              <w:rPr>
                <w:rFonts w:hint="eastAsia"/>
                <w:color w:val="auto"/>
                <w:szCs w:val="21"/>
                <w:highlight w:val="none"/>
              </w:rPr>
            </w:pPr>
            <w:r>
              <w:rPr>
                <w:rFonts w:hint="eastAsia"/>
                <w:b/>
                <w:bCs/>
                <w:color w:val="auto"/>
                <w:szCs w:val="21"/>
                <w:highlight w:val="none"/>
              </w:rPr>
              <w:t>一般固废：</w:t>
            </w:r>
            <w:r>
              <w:rPr>
                <w:rFonts w:hint="eastAsia"/>
                <w:b w:val="0"/>
                <w:bCs w:val="0"/>
                <w:color w:val="auto"/>
                <w:szCs w:val="21"/>
                <w:highlight w:val="none"/>
                <w:lang w:eastAsia="zh-CN"/>
              </w:rPr>
              <w:t>生活垃圾：收集后委托当地环卫部门清运处理；废丝、废布、废包装材料、废棕丝、废滤网收集后出售给废旧物资回收公司，不外排</w:t>
            </w:r>
            <w:r>
              <w:rPr>
                <w:rFonts w:hint="eastAsia"/>
                <w:color w:val="auto"/>
                <w:szCs w:val="21"/>
                <w:highlight w:val="none"/>
              </w:rPr>
              <w:t>。</w:t>
            </w:r>
          </w:p>
          <w:p>
            <w:pPr>
              <w:pStyle w:val="2"/>
              <w:keepNext w:val="0"/>
              <w:keepLines w:val="0"/>
              <w:widowControl w:val="0"/>
              <w:kinsoku/>
              <w:wordWrap/>
              <w:overflowPunct/>
              <w:topLinePunct w:val="0"/>
              <w:bidi w:val="0"/>
              <w:spacing w:line="360" w:lineRule="exact"/>
              <w:jc w:val="both"/>
              <w:textAlignment w:val="auto"/>
              <w:rPr>
                <w:rFonts w:hint="eastAsia"/>
                <w:b w:val="0"/>
                <w:bCs/>
                <w:color w:val="auto"/>
                <w:sz w:val="21"/>
                <w:szCs w:val="21"/>
                <w:highlight w:val="none"/>
              </w:rPr>
            </w:pPr>
            <w:r>
              <w:rPr>
                <w:rFonts w:hint="eastAsia"/>
                <w:b/>
                <w:bCs/>
                <w:color w:val="auto"/>
                <w:sz w:val="21"/>
                <w:szCs w:val="21"/>
                <w:highlight w:val="none"/>
              </w:rPr>
              <w:t>危险废物</w:t>
            </w:r>
            <w:r>
              <w:rPr>
                <w:rFonts w:hint="eastAsia"/>
                <w:color w:val="auto"/>
                <w:sz w:val="21"/>
                <w:szCs w:val="21"/>
                <w:highlight w:val="none"/>
              </w:rPr>
              <w:t>：</w:t>
            </w:r>
            <w:r>
              <w:rPr>
                <w:rFonts w:hint="eastAsia"/>
                <w:b w:val="0"/>
                <w:bCs/>
                <w:color w:val="auto"/>
                <w:sz w:val="21"/>
                <w:szCs w:val="21"/>
                <w:highlight w:val="none"/>
                <w:lang w:eastAsia="zh-CN"/>
              </w:rPr>
              <w:t>废机油、废包装桶、废弃的含油抹布、劳保用品、喷淋废液收集后委托资质单位处置</w:t>
            </w:r>
            <w:r>
              <w:rPr>
                <w:rFonts w:hint="eastAsia"/>
                <w:b w:val="0"/>
                <w:bCs/>
                <w:color w:val="auto"/>
                <w:sz w:val="21"/>
                <w:szCs w:val="21"/>
                <w:highlight w:val="none"/>
              </w:rPr>
              <w:t>，不排放。</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eastAsia="宋体"/>
                <w:lang w:eastAsia="zh-CN"/>
              </w:rPr>
            </w:pPr>
            <w:r>
              <w:rPr>
                <w:rFonts w:hint="eastAsia"/>
                <w:b w:val="0"/>
                <w:bCs/>
                <w:color w:val="auto"/>
                <w:sz w:val="21"/>
                <w:szCs w:val="21"/>
                <w:highlight w:val="none"/>
                <w:lang w:eastAsia="zh-CN"/>
              </w:rPr>
              <w:t>吨桶定期由供货商回收，如有破碎无法利用须按危废处置。</w:t>
            </w:r>
          </w:p>
          <w:p>
            <w:pPr>
              <w:keepNext w:val="0"/>
              <w:keepLines w:val="0"/>
              <w:widowControl w:val="0"/>
              <w:kinsoku/>
              <w:wordWrap/>
              <w:overflowPunct/>
              <w:topLinePunct w:val="0"/>
              <w:autoSpaceDE w:val="0"/>
              <w:autoSpaceDN w:val="0"/>
              <w:bidi w:val="0"/>
              <w:adjustRightInd w:val="0"/>
              <w:snapToGrid w:val="0"/>
              <w:spacing w:line="360" w:lineRule="exact"/>
              <w:textAlignment w:val="auto"/>
              <w:rPr>
                <w:szCs w:val="21"/>
              </w:rPr>
            </w:pPr>
            <w:r>
              <w:rPr>
                <w:rFonts w:hint="eastAsia"/>
                <w:color w:val="auto"/>
                <w:highlight w:val="none"/>
              </w:rPr>
              <w:t>企业</w:t>
            </w:r>
            <w:r>
              <w:rPr>
                <w:rFonts w:hint="eastAsia"/>
                <w:color w:val="auto"/>
                <w:highlight w:val="none"/>
                <w:lang w:eastAsia="zh-CN"/>
              </w:rPr>
              <w:t>将</w:t>
            </w:r>
            <w:r>
              <w:rPr>
                <w:rFonts w:hint="eastAsia"/>
                <w:color w:val="auto"/>
                <w:highlight w:val="none"/>
              </w:rPr>
              <w:t>设置符合规范的一般固废暂存场所及危险废物暂存场所，并落实相关环境管理要求。危险废物纳入全国固体废物管理信息系统管理。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1150" w:type="dxa"/>
            <w:noWrap/>
            <w:vAlign w:val="center"/>
          </w:tcPr>
          <w:p>
            <w:pPr>
              <w:adjustRightInd w:val="0"/>
              <w:snapToGrid w:val="0"/>
              <w:jc w:val="center"/>
              <w:rPr>
                <w:szCs w:val="21"/>
              </w:rPr>
            </w:pPr>
            <w:r>
              <w:rPr>
                <w:rFonts w:hAnsi="宋体"/>
                <w:szCs w:val="21"/>
              </w:rPr>
              <w:t>土壤及地下水污染防治措施</w:t>
            </w:r>
          </w:p>
        </w:tc>
        <w:tc>
          <w:tcPr>
            <w:tcW w:w="7900" w:type="dxa"/>
            <w:gridSpan w:val="4"/>
            <w:noWrap/>
            <w:vAlign w:val="center"/>
          </w:tcPr>
          <w:p>
            <w:pPr>
              <w:spacing w:line="460" w:lineRule="exact"/>
              <w:jc w:val="left"/>
              <w:rPr>
                <w:szCs w:val="21"/>
              </w:rPr>
            </w:pPr>
            <w:r>
              <w:rPr>
                <w:rFonts w:hAnsi="宋体"/>
                <w:szCs w:val="21"/>
              </w:rPr>
              <w:t>从原料和产品储存、生产过程、污染处理等全过程控制各种原辅材料、中间材料泄漏（含跑、冒、滴、漏），同时对有害物质可能泄漏到地面的区域采取防渗措施，阻止其渗入地下水中，即从源头到末端全方位采取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50" w:type="dxa"/>
            <w:noWrap/>
            <w:vAlign w:val="center"/>
          </w:tcPr>
          <w:p>
            <w:pPr>
              <w:adjustRightInd w:val="0"/>
              <w:snapToGrid w:val="0"/>
              <w:jc w:val="center"/>
              <w:rPr>
                <w:szCs w:val="21"/>
              </w:rPr>
            </w:pPr>
            <w:r>
              <w:rPr>
                <w:rFonts w:hAnsi="宋体"/>
                <w:szCs w:val="21"/>
              </w:rPr>
              <w:t>生态保护措施</w:t>
            </w:r>
          </w:p>
        </w:tc>
        <w:tc>
          <w:tcPr>
            <w:tcW w:w="7900" w:type="dxa"/>
            <w:gridSpan w:val="4"/>
            <w:noWrap/>
            <w:vAlign w:val="center"/>
          </w:tcPr>
          <w:p>
            <w:pPr>
              <w:adjustRightInd w:val="0"/>
              <w:snapToGrid w:val="0"/>
              <w:jc w:val="center"/>
              <w:rPr>
                <w:szCs w:val="21"/>
              </w:rPr>
            </w:pPr>
            <w:r>
              <w:rPr>
                <w:rFonts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1150" w:type="dxa"/>
            <w:noWrap/>
            <w:vAlign w:val="center"/>
          </w:tcPr>
          <w:p>
            <w:pPr>
              <w:adjustRightInd w:val="0"/>
              <w:snapToGrid w:val="0"/>
              <w:jc w:val="center"/>
              <w:rPr>
                <w:spacing w:val="-8"/>
                <w:szCs w:val="21"/>
              </w:rPr>
            </w:pPr>
            <w:r>
              <w:rPr>
                <w:rFonts w:hAnsi="宋体"/>
                <w:spacing w:val="-8"/>
                <w:szCs w:val="21"/>
              </w:rPr>
              <w:t>环境风险</w:t>
            </w:r>
          </w:p>
          <w:p>
            <w:pPr>
              <w:adjustRightInd w:val="0"/>
              <w:snapToGrid w:val="0"/>
              <w:jc w:val="center"/>
              <w:rPr>
                <w:spacing w:val="-8"/>
                <w:szCs w:val="21"/>
              </w:rPr>
            </w:pPr>
            <w:r>
              <w:rPr>
                <w:rFonts w:hAnsi="宋体"/>
                <w:spacing w:val="-8"/>
                <w:szCs w:val="21"/>
              </w:rPr>
              <w:t>防范措施</w:t>
            </w:r>
          </w:p>
        </w:tc>
        <w:tc>
          <w:tcPr>
            <w:tcW w:w="7900" w:type="dxa"/>
            <w:gridSpan w:val="4"/>
            <w:noWrap/>
            <w:vAlign w:val="center"/>
          </w:tcPr>
          <w:p>
            <w:pPr>
              <w:spacing w:line="460" w:lineRule="exact"/>
              <w:jc w:val="left"/>
              <w:rPr>
                <w:szCs w:val="21"/>
              </w:rPr>
            </w:pPr>
            <w:r>
              <w:rPr>
                <w:rFonts w:hAnsi="宋体"/>
                <w:kern w:val="0"/>
                <w:szCs w:val="21"/>
              </w:rPr>
              <w:t>地面进行防渗处理，安排专人巡查，设置灭火器、消防沙等应急物资。加强废气处理设施和各类生产设备的检修及保养，提高管理人员素质，并设置事故应急措施及管理制度，确保设备长期处于良好状态，使设备达到预期的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50" w:type="dxa"/>
            <w:noWrap/>
            <w:vAlign w:val="center"/>
          </w:tcPr>
          <w:p>
            <w:pPr>
              <w:adjustRightInd w:val="0"/>
              <w:snapToGrid w:val="0"/>
              <w:jc w:val="center"/>
              <w:rPr>
                <w:spacing w:val="-8"/>
                <w:szCs w:val="21"/>
              </w:rPr>
            </w:pPr>
            <w:r>
              <w:rPr>
                <w:rFonts w:hAnsi="宋体"/>
                <w:spacing w:val="-8"/>
                <w:szCs w:val="21"/>
              </w:rPr>
              <w:t>其他环境</w:t>
            </w:r>
          </w:p>
          <w:p>
            <w:pPr>
              <w:adjustRightInd w:val="0"/>
              <w:snapToGrid w:val="0"/>
              <w:jc w:val="center"/>
              <w:rPr>
                <w:spacing w:val="-8"/>
                <w:szCs w:val="21"/>
              </w:rPr>
            </w:pPr>
            <w:r>
              <w:rPr>
                <w:rFonts w:hAnsi="宋体"/>
                <w:spacing w:val="-8"/>
                <w:szCs w:val="21"/>
              </w:rPr>
              <w:t>管理要求</w:t>
            </w:r>
          </w:p>
        </w:tc>
        <w:tc>
          <w:tcPr>
            <w:tcW w:w="7900" w:type="dxa"/>
            <w:gridSpan w:val="4"/>
            <w:noWrap/>
            <w:vAlign w:val="center"/>
          </w:tcPr>
          <w:p>
            <w:pPr>
              <w:spacing w:line="460" w:lineRule="exact"/>
              <w:jc w:val="left"/>
              <w:rPr>
                <w:kern w:val="0"/>
                <w:szCs w:val="21"/>
              </w:rPr>
            </w:pPr>
            <w:r>
              <w:rPr>
                <w:rFonts w:hAnsi="宋体"/>
                <w:kern w:val="0"/>
                <w:szCs w:val="21"/>
              </w:rPr>
              <w:t>（</w:t>
            </w:r>
            <w:r>
              <w:rPr>
                <w:kern w:val="0"/>
                <w:szCs w:val="21"/>
              </w:rPr>
              <w:t>1</w:t>
            </w:r>
            <w:r>
              <w:rPr>
                <w:rFonts w:hAnsi="宋体"/>
                <w:kern w:val="0"/>
                <w:szCs w:val="21"/>
              </w:rPr>
              <w:t>）严格执行</w:t>
            </w:r>
            <w:r>
              <w:rPr>
                <w:kern w:val="0"/>
                <w:szCs w:val="21"/>
              </w:rPr>
              <w:t>“</w:t>
            </w:r>
            <w:r>
              <w:rPr>
                <w:rFonts w:hAnsi="宋体"/>
                <w:kern w:val="0"/>
                <w:szCs w:val="21"/>
              </w:rPr>
              <w:t>三同时</w:t>
            </w:r>
            <w:r>
              <w:rPr>
                <w:kern w:val="0"/>
                <w:szCs w:val="21"/>
              </w:rPr>
              <w:t>”</w:t>
            </w:r>
            <w:r>
              <w:rPr>
                <w:rFonts w:hAnsi="宋体"/>
                <w:kern w:val="0"/>
                <w:szCs w:val="21"/>
              </w:rPr>
              <w:t>的管理条例。在项目筹备、实施、建设阶段，严格执行建设项目环境影响评价的制度，并将继续按照国家法律法规要求，严格执行</w:t>
            </w:r>
            <w:r>
              <w:rPr>
                <w:kern w:val="0"/>
                <w:szCs w:val="21"/>
              </w:rPr>
              <w:t>“</w:t>
            </w:r>
            <w:r>
              <w:rPr>
                <w:rFonts w:hAnsi="宋体"/>
                <w:kern w:val="0"/>
                <w:szCs w:val="21"/>
              </w:rPr>
              <w:t>三同时</w:t>
            </w:r>
            <w:r>
              <w:rPr>
                <w:kern w:val="0"/>
                <w:szCs w:val="21"/>
              </w:rPr>
              <w:t>”</w:t>
            </w:r>
            <w:r>
              <w:rPr>
                <w:rFonts w:hAnsi="宋体"/>
                <w:kern w:val="0"/>
                <w:szCs w:val="21"/>
              </w:rPr>
              <w:t>，确保污染处理设施能够和生产工艺</w:t>
            </w:r>
            <w:r>
              <w:rPr>
                <w:kern w:val="0"/>
                <w:szCs w:val="21"/>
              </w:rPr>
              <w:t>“</w:t>
            </w:r>
            <w:r>
              <w:rPr>
                <w:rFonts w:hAnsi="宋体"/>
                <w:kern w:val="0"/>
                <w:szCs w:val="21"/>
              </w:rPr>
              <w:t>同时设计</w:t>
            </w:r>
            <w:r>
              <w:rPr>
                <w:kern w:val="0"/>
                <w:szCs w:val="21"/>
              </w:rPr>
              <w:t>”</w:t>
            </w:r>
            <w:r>
              <w:rPr>
                <w:rFonts w:hAnsi="宋体"/>
                <w:kern w:val="0"/>
                <w:szCs w:val="21"/>
              </w:rPr>
              <w:t>，和项目主体工程</w:t>
            </w:r>
            <w:r>
              <w:rPr>
                <w:kern w:val="0"/>
                <w:szCs w:val="21"/>
              </w:rPr>
              <w:t>“</w:t>
            </w:r>
            <w:r>
              <w:rPr>
                <w:rFonts w:hAnsi="宋体"/>
                <w:kern w:val="0"/>
                <w:szCs w:val="21"/>
              </w:rPr>
              <w:t>同时施工</w:t>
            </w:r>
            <w:r>
              <w:rPr>
                <w:kern w:val="0"/>
                <w:szCs w:val="21"/>
              </w:rPr>
              <w:t>”</w:t>
            </w:r>
            <w:r>
              <w:rPr>
                <w:rFonts w:hAnsi="宋体"/>
                <w:kern w:val="0"/>
                <w:szCs w:val="21"/>
              </w:rPr>
              <w:t>，做到与项目生产</w:t>
            </w:r>
            <w:r>
              <w:rPr>
                <w:kern w:val="0"/>
                <w:szCs w:val="21"/>
              </w:rPr>
              <w:t>“</w:t>
            </w:r>
            <w:r>
              <w:rPr>
                <w:rFonts w:hAnsi="宋体"/>
                <w:kern w:val="0"/>
                <w:szCs w:val="21"/>
              </w:rPr>
              <w:t>同时验收运行</w:t>
            </w:r>
            <w:r>
              <w:rPr>
                <w:kern w:val="0"/>
                <w:szCs w:val="21"/>
              </w:rPr>
              <w:t>”</w:t>
            </w:r>
            <w:r>
              <w:rPr>
                <w:rFonts w:hAnsi="宋体"/>
                <w:kern w:val="0"/>
                <w:szCs w:val="21"/>
              </w:rPr>
              <w:t>。</w:t>
            </w:r>
          </w:p>
          <w:p>
            <w:pPr>
              <w:spacing w:line="460" w:lineRule="exact"/>
              <w:jc w:val="left"/>
              <w:rPr>
                <w:kern w:val="0"/>
                <w:szCs w:val="21"/>
              </w:rPr>
            </w:pPr>
            <w:r>
              <w:rPr>
                <w:rFonts w:hAnsi="宋体"/>
                <w:kern w:val="0"/>
                <w:szCs w:val="21"/>
              </w:rPr>
              <w:t>（</w:t>
            </w:r>
            <w:r>
              <w:rPr>
                <w:kern w:val="0"/>
                <w:szCs w:val="21"/>
              </w:rPr>
              <w:t>2</w:t>
            </w:r>
            <w:r>
              <w:rPr>
                <w:rFonts w:hAnsi="宋体"/>
                <w:kern w:val="0"/>
                <w:szCs w:val="21"/>
              </w:rPr>
              <w:t>）排污许可制度。根据《国务院办公厅关于印发控制污染物排放许可制实施方案的通知》（国办发</w:t>
            </w:r>
            <w:r>
              <w:rPr>
                <w:kern w:val="0"/>
                <w:szCs w:val="21"/>
              </w:rPr>
              <w:t>[2016]81</w:t>
            </w:r>
            <w:r>
              <w:rPr>
                <w:rFonts w:hAnsi="宋体"/>
                <w:kern w:val="0"/>
                <w:szCs w:val="21"/>
              </w:rPr>
              <w:t>号）等文件的要求，需根据《排污许可证申请与核发技术规范</w:t>
            </w:r>
            <w:r>
              <w:rPr>
                <w:kern w:val="0"/>
                <w:szCs w:val="21"/>
              </w:rPr>
              <w:t xml:space="preserve"> </w:t>
            </w:r>
            <w:r>
              <w:rPr>
                <w:rFonts w:hAnsi="宋体"/>
                <w:kern w:val="0"/>
                <w:szCs w:val="21"/>
              </w:rPr>
              <w:t>总则》（</w:t>
            </w:r>
            <w:r>
              <w:rPr>
                <w:kern w:val="0"/>
                <w:szCs w:val="21"/>
              </w:rPr>
              <w:t>HJ942-2018</w:t>
            </w:r>
            <w:r>
              <w:rPr>
                <w:rFonts w:hAnsi="宋体"/>
                <w:kern w:val="0"/>
                <w:szCs w:val="21"/>
              </w:rPr>
              <w:t>）申领排污许可证，并应按照排污许可证中的相关许可内容进行排污，具体要求如下：</w:t>
            </w:r>
            <w:r>
              <w:rPr>
                <w:kern w:val="0"/>
                <w:szCs w:val="21"/>
              </w:rPr>
              <w:t xml:space="preserve"> </w:t>
            </w:r>
          </w:p>
          <w:p>
            <w:pPr>
              <w:spacing w:line="460" w:lineRule="exact"/>
              <w:ind w:firstLine="420" w:firstLineChars="200"/>
              <w:jc w:val="left"/>
              <w:rPr>
                <w:kern w:val="0"/>
                <w:szCs w:val="21"/>
              </w:rPr>
            </w:pPr>
            <w:r>
              <w:rPr>
                <w:kern w:val="0"/>
                <w:szCs w:val="21"/>
              </w:rPr>
              <w:t>a</w:t>
            </w:r>
            <w:r>
              <w:rPr>
                <w:rFonts w:hAnsi="宋体"/>
                <w:kern w:val="0"/>
                <w:szCs w:val="21"/>
              </w:rPr>
              <w:t>）排污口位置和数量、排放方式、排放去向、排放污染物种类、排放浓度和排放量、执行的排放标准等符合排污许可证的规定，不得私设暗管或以其他方式逃避监管。</w:t>
            </w:r>
          </w:p>
          <w:p>
            <w:pPr>
              <w:spacing w:line="460" w:lineRule="exact"/>
              <w:ind w:firstLine="420" w:firstLineChars="200"/>
              <w:jc w:val="left"/>
              <w:rPr>
                <w:kern w:val="0"/>
                <w:szCs w:val="21"/>
              </w:rPr>
            </w:pPr>
            <w:r>
              <w:rPr>
                <w:kern w:val="0"/>
                <w:szCs w:val="21"/>
              </w:rPr>
              <w:t>b</w:t>
            </w:r>
            <w:r>
              <w:rPr>
                <w:rFonts w:hAnsi="宋体"/>
                <w:kern w:val="0"/>
                <w:szCs w:val="21"/>
              </w:rPr>
              <w:t>）按排污许可证规定的监测点位、监测因子、监测频次和相关监测技术规范开展自行监测并公开。</w:t>
            </w:r>
            <w:r>
              <w:rPr>
                <w:kern w:val="0"/>
                <w:szCs w:val="21"/>
              </w:rPr>
              <w:t xml:space="preserve"> </w:t>
            </w:r>
          </w:p>
          <w:p>
            <w:pPr>
              <w:spacing w:line="460" w:lineRule="exact"/>
              <w:ind w:firstLine="420" w:firstLineChars="200"/>
              <w:jc w:val="left"/>
              <w:rPr>
                <w:kern w:val="0"/>
                <w:szCs w:val="21"/>
              </w:rPr>
            </w:pPr>
            <w:r>
              <w:rPr>
                <w:kern w:val="0"/>
                <w:szCs w:val="21"/>
              </w:rPr>
              <w:t>c</w:t>
            </w:r>
            <w:r>
              <w:rPr>
                <w:rFonts w:hAnsi="宋体"/>
                <w:kern w:val="0"/>
                <w:szCs w:val="21"/>
              </w:rPr>
              <w:t>）按规范进行台账记录，主要内容包括生产信息、原辅材料使用情况、污染防治设施运行记录、监测数据等。</w:t>
            </w:r>
            <w:r>
              <w:rPr>
                <w:kern w:val="0"/>
                <w:szCs w:val="21"/>
              </w:rPr>
              <w:t xml:space="preserve"> </w:t>
            </w:r>
          </w:p>
          <w:p>
            <w:pPr>
              <w:spacing w:line="460" w:lineRule="exact"/>
              <w:ind w:firstLine="420" w:firstLineChars="200"/>
              <w:jc w:val="left"/>
              <w:rPr>
                <w:kern w:val="0"/>
                <w:szCs w:val="21"/>
              </w:rPr>
            </w:pPr>
            <w:r>
              <w:rPr>
                <w:kern w:val="0"/>
                <w:szCs w:val="21"/>
              </w:rPr>
              <w:t>d</w:t>
            </w:r>
            <w:r>
              <w:rPr>
                <w:rFonts w:hAnsi="宋体"/>
                <w:kern w:val="0"/>
                <w:szCs w:val="21"/>
              </w:rPr>
              <w:t>）按排污许可证规定，定期在国家排污许可证管理信息平台填报信息，编制排污许可证执行报告，及时报送有核发权的生态环境主管部门并公开，执行报告主要内容包括生产信息、污染防治设施运行情况、污染物按证排放情况等。</w:t>
            </w:r>
            <w:r>
              <w:rPr>
                <w:kern w:val="0"/>
                <w:sz w:val="24"/>
              </w:rPr>
              <w:t xml:space="preserve"> </w:t>
            </w:r>
          </w:p>
          <w:p>
            <w:pPr>
              <w:spacing w:line="460" w:lineRule="exact"/>
              <w:jc w:val="left"/>
              <w:rPr>
                <w:kern w:val="0"/>
                <w:szCs w:val="21"/>
              </w:rPr>
            </w:pPr>
            <w:r>
              <w:rPr>
                <w:rFonts w:hAnsi="宋体"/>
                <w:kern w:val="0"/>
                <w:szCs w:val="21"/>
              </w:rPr>
              <w:t>（</w:t>
            </w:r>
            <w:r>
              <w:rPr>
                <w:kern w:val="0"/>
                <w:szCs w:val="21"/>
              </w:rPr>
              <w:t>3</w:t>
            </w:r>
            <w:r>
              <w:rPr>
                <w:rFonts w:hAnsi="宋体"/>
                <w:kern w:val="0"/>
                <w:szCs w:val="21"/>
              </w:rPr>
              <w:t>）严格实行监测和坚决做到达标排放。定期监测，确保废水、废气稳定达标排放。</w:t>
            </w:r>
          </w:p>
          <w:p>
            <w:pPr>
              <w:spacing w:line="460" w:lineRule="exact"/>
              <w:jc w:val="left"/>
              <w:rPr>
                <w:kern w:val="0"/>
                <w:szCs w:val="21"/>
              </w:rPr>
            </w:pPr>
            <w:r>
              <w:rPr>
                <w:rFonts w:hAnsi="宋体"/>
                <w:kern w:val="0"/>
                <w:szCs w:val="21"/>
              </w:rPr>
              <w:t>（</w:t>
            </w:r>
            <w:r>
              <w:rPr>
                <w:kern w:val="0"/>
                <w:szCs w:val="21"/>
              </w:rPr>
              <w:t>4</w:t>
            </w:r>
            <w:r>
              <w:rPr>
                <w:rFonts w:hAnsi="宋体"/>
                <w:kern w:val="0"/>
                <w:szCs w:val="21"/>
              </w:rPr>
              <w:t>）健全污染处理设施管理制度。保证处理设施能够长期、稳定、有效地进行处理运行。净化设施的操作管理与生产经营活动一起纳入日常管理工作的范畴，落实责任人、操作人员、维修人员、运行经费、设备的备品备件和其他原辅材料。制定各级岗位责任制，编制操作规程，建立管理台帐。</w:t>
            </w:r>
          </w:p>
          <w:p>
            <w:pPr>
              <w:spacing w:line="460" w:lineRule="exact"/>
              <w:jc w:val="left"/>
              <w:rPr>
                <w:kern w:val="0"/>
                <w:szCs w:val="21"/>
              </w:rPr>
            </w:pPr>
            <w:r>
              <w:rPr>
                <w:rFonts w:hAnsi="宋体"/>
                <w:kern w:val="0"/>
                <w:szCs w:val="21"/>
              </w:rPr>
              <w:t>（</w:t>
            </w:r>
            <w:r>
              <w:rPr>
                <w:kern w:val="0"/>
                <w:szCs w:val="21"/>
              </w:rPr>
              <w:t>5</w:t>
            </w:r>
            <w:r>
              <w:rPr>
                <w:rFonts w:hAnsi="宋体"/>
                <w:kern w:val="0"/>
                <w:szCs w:val="21"/>
              </w:rPr>
              <w:t>）建立企业环境监督员制度，实行职业资格管理，定期参加专业技能培训。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50" w:type="dxa"/>
            <w:noWrap/>
            <w:vAlign w:val="center"/>
          </w:tcPr>
          <w:p>
            <w:pPr>
              <w:adjustRightInd w:val="0"/>
              <w:snapToGrid w:val="0"/>
              <w:jc w:val="center"/>
              <w:rPr>
                <w:rFonts w:hint="eastAsia" w:hAnsi="宋体" w:eastAsia="宋体"/>
                <w:spacing w:val="-8"/>
                <w:szCs w:val="21"/>
                <w:lang w:eastAsia="zh-CN"/>
              </w:rPr>
            </w:pPr>
            <w:r>
              <w:rPr>
                <w:rFonts w:hint="eastAsia" w:hAnsi="宋体"/>
                <w:spacing w:val="-8"/>
                <w:szCs w:val="21"/>
                <w:lang w:eastAsia="zh-CN"/>
              </w:rPr>
              <w:t>公众参与</w:t>
            </w:r>
          </w:p>
        </w:tc>
        <w:tc>
          <w:tcPr>
            <w:tcW w:w="7900" w:type="dxa"/>
            <w:gridSpan w:val="4"/>
            <w:noWrap/>
            <w:vAlign w:val="center"/>
          </w:tcPr>
          <w:p>
            <w:pPr>
              <w:spacing w:line="460" w:lineRule="exact"/>
              <w:jc w:val="left"/>
              <w:rPr>
                <w:rFonts w:hAnsi="宋体"/>
                <w:kern w:val="0"/>
                <w:szCs w:val="21"/>
              </w:rPr>
            </w:pPr>
            <w:r>
              <w:rPr>
                <w:rFonts w:hint="eastAsia" w:hAnsi="宋体"/>
                <w:kern w:val="0"/>
                <w:szCs w:val="21"/>
              </w:rPr>
              <w:t>本项目环评期间，根据《浙江省建设项目环境保护管理办法（2021年修正）》（浙江省人民政府令第 388 号）、《浙江省环境保护厅关于印发建设项目环境影响评价信息公开相关法律法规解读的函》（浙江省环境保护厅，浙环发[2018]10 号）等文件规定要求，在浙江政务服务网及评价区域范围内的村民委员会的公示栏进行了环保公示。</w:t>
            </w:r>
          </w:p>
          <w:p>
            <w:pPr>
              <w:spacing w:line="460" w:lineRule="exact"/>
              <w:jc w:val="left"/>
              <w:rPr>
                <w:rFonts w:hAnsi="宋体"/>
                <w:kern w:val="0"/>
                <w:szCs w:val="21"/>
              </w:rPr>
            </w:pPr>
            <w:r>
              <w:rPr>
                <w:rFonts w:hint="eastAsia" w:hAnsi="宋体"/>
                <w:kern w:val="0"/>
                <w:szCs w:val="21"/>
              </w:rPr>
              <w:t>公示期间（2022年8月9日~</w:t>
            </w:r>
            <w:r>
              <w:rPr>
                <w:rFonts w:hint="eastAsia" w:hAnsi="宋体"/>
                <w:kern w:val="0"/>
                <w:szCs w:val="21"/>
                <w:lang w:val="en-US" w:eastAsia="zh-CN"/>
              </w:rPr>
              <w:t>8</w:t>
            </w:r>
            <w:r>
              <w:rPr>
                <w:rFonts w:hint="eastAsia" w:hAnsi="宋体"/>
                <w:kern w:val="0"/>
                <w:szCs w:val="21"/>
              </w:rPr>
              <w:t>月</w:t>
            </w:r>
            <w:r>
              <w:rPr>
                <w:rFonts w:hint="eastAsia" w:hAnsi="宋体"/>
                <w:kern w:val="0"/>
                <w:szCs w:val="21"/>
                <w:lang w:val="en-US" w:eastAsia="zh-CN"/>
              </w:rPr>
              <w:t>22</w:t>
            </w:r>
            <w:r>
              <w:rPr>
                <w:rFonts w:hint="eastAsia" w:hAnsi="宋体"/>
                <w:kern w:val="0"/>
                <w:szCs w:val="21"/>
              </w:rPr>
              <w:t>日），未收到个人或团体对本项目的相关意见和建议。</w:t>
            </w:r>
          </w:p>
        </w:tc>
      </w:tr>
    </w:tbl>
    <w:p>
      <w:pPr>
        <w:pStyle w:val="35"/>
        <w:spacing w:before="0" w:beforeAutospacing="0" w:after="0" w:afterAutospacing="0" w:line="500" w:lineRule="exact"/>
        <w:jc w:val="center"/>
        <w:outlineLvl w:val="0"/>
        <w:rPr>
          <w:rFonts w:ascii="Times New Roman" w:hAnsi="Times New Roman" w:cs="Times New Roman"/>
          <w:snapToGrid w:val="0"/>
          <w:sz w:val="30"/>
          <w:szCs w:val="30"/>
        </w:rPr>
      </w:pPr>
      <w:r>
        <w:rPr>
          <w:rFonts w:ascii="Times New Roman" w:hAnsi="Times New Roman" w:cs="Times New Roman"/>
          <w:snapToGrid w:val="0"/>
        </w:rPr>
        <w:br w:type="page"/>
      </w:r>
      <w:bookmarkStart w:id="37" w:name="_Toc12382"/>
      <w:bookmarkStart w:id="38" w:name="_Toc67915200"/>
      <w:r>
        <w:rPr>
          <w:rFonts w:hint="eastAsia" w:ascii="黑体" w:hAnsi="黑体" w:eastAsia="黑体" w:cs="黑体"/>
          <w:color w:val="auto"/>
          <w:kern w:val="2"/>
          <w:sz w:val="28"/>
          <w:szCs w:val="28"/>
        </w:rPr>
        <w:t>六、结论</w:t>
      </w:r>
      <w:bookmarkEnd w:id="37"/>
      <w:bookmarkEnd w:id="38"/>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ign w:val="center"/>
          </w:tcPr>
          <w:p>
            <w:pPr>
              <w:spacing w:line="500" w:lineRule="exact"/>
              <w:ind w:firstLine="470" w:firstLineChars="196"/>
              <w:jc w:val="both"/>
              <w:rPr>
                <w:bCs/>
                <w:sz w:val="24"/>
              </w:rPr>
            </w:pPr>
            <w:r>
              <w:rPr>
                <w:rFonts w:hAnsi="宋体"/>
                <w:bCs/>
                <w:sz w:val="24"/>
              </w:rPr>
              <w:t>经过本项目建设内容、建设规模、产品方案、生产工艺、污染防治措施、环境影响等进行综合分析，得出以下评价结论：</w:t>
            </w:r>
          </w:p>
          <w:p>
            <w:pPr>
              <w:spacing w:line="500" w:lineRule="exact"/>
              <w:ind w:firstLine="470" w:firstLineChars="196"/>
              <w:jc w:val="both"/>
              <w:rPr>
                <w:sz w:val="24"/>
              </w:rPr>
            </w:pPr>
            <w:r>
              <w:rPr>
                <w:rFonts w:hint="eastAsia" w:hAnsi="宋体"/>
                <w:bCs/>
                <w:sz w:val="24"/>
                <w:lang w:eastAsia="zh-CN"/>
              </w:rPr>
              <w:t>长兴钱宇纺织有限公司年产高档纺织面料3800万米、家纺四件套10万套建设项目</w:t>
            </w:r>
            <w:r>
              <w:rPr>
                <w:rFonts w:hAnsi="宋体"/>
                <w:sz w:val="24"/>
              </w:rPr>
              <w:t>选址于</w:t>
            </w:r>
            <w:r>
              <w:rPr>
                <w:rFonts w:hint="eastAsia" w:hAnsi="宋体"/>
                <w:sz w:val="24"/>
                <w:lang w:eastAsia="zh-CN"/>
              </w:rPr>
              <w:t xml:space="preserve">浙江省长兴县虹星桥镇工业集中区 </w:t>
            </w:r>
            <w:r>
              <w:rPr>
                <w:rFonts w:hAnsi="宋体"/>
                <w:sz w:val="24"/>
              </w:rPr>
              <w:t>，项目建设符合《建设项目环境保护管理条例》（国务院令第</w:t>
            </w:r>
            <w:r>
              <w:rPr>
                <w:sz w:val="24"/>
              </w:rPr>
              <w:t>682</w:t>
            </w:r>
            <w:r>
              <w:rPr>
                <w:rFonts w:hAnsi="宋体"/>
                <w:sz w:val="24"/>
              </w:rPr>
              <w:t>号）</w:t>
            </w:r>
            <w:r>
              <w:rPr>
                <w:sz w:val="24"/>
              </w:rPr>
              <w:t>“</w:t>
            </w:r>
            <w:r>
              <w:rPr>
                <w:rFonts w:hAnsi="宋体"/>
                <w:sz w:val="24"/>
              </w:rPr>
              <w:t>四性五不批</w:t>
            </w:r>
            <w:r>
              <w:rPr>
                <w:sz w:val="24"/>
              </w:rPr>
              <w:t>”</w:t>
            </w:r>
            <w:r>
              <w:rPr>
                <w:rFonts w:hAnsi="宋体"/>
                <w:sz w:val="24"/>
              </w:rPr>
              <w:t>要求，符合《浙江省建设项目环境保护管理办法》（浙江省人民政府令第</w:t>
            </w:r>
            <w:r>
              <w:rPr>
                <w:sz w:val="24"/>
              </w:rPr>
              <w:t>388</w:t>
            </w:r>
            <w:r>
              <w:rPr>
                <w:rFonts w:hAnsi="宋体"/>
                <w:sz w:val="24"/>
              </w:rPr>
              <w:t>号）中的审批原则，符合《关于以改善环境质量为核心加强环境影响评价管理的通知》（环环评〔</w:t>
            </w:r>
            <w:r>
              <w:rPr>
                <w:sz w:val="24"/>
              </w:rPr>
              <w:t>2016</w:t>
            </w:r>
            <w:r>
              <w:rPr>
                <w:rFonts w:hAnsi="宋体"/>
                <w:sz w:val="24"/>
              </w:rPr>
              <w:t>〕</w:t>
            </w:r>
            <w:r>
              <w:rPr>
                <w:sz w:val="24"/>
              </w:rPr>
              <w:t>150</w:t>
            </w:r>
            <w:r>
              <w:rPr>
                <w:rFonts w:hAnsi="宋体"/>
                <w:sz w:val="24"/>
              </w:rPr>
              <w:t>号）中</w:t>
            </w:r>
            <w:r>
              <w:rPr>
                <w:sz w:val="24"/>
              </w:rPr>
              <w:t>“</w:t>
            </w:r>
            <w:r>
              <w:rPr>
                <w:rFonts w:hAnsi="宋体"/>
                <w:sz w:val="24"/>
              </w:rPr>
              <w:t>三线一单</w:t>
            </w:r>
            <w:r>
              <w:rPr>
                <w:sz w:val="24"/>
              </w:rPr>
              <w:t>”</w:t>
            </w:r>
            <w:r>
              <w:rPr>
                <w:rFonts w:hAnsi="宋体"/>
                <w:sz w:val="24"/>
              </w:rPr>
              <w:t>要求，符合当地总体规划，符合国家、地方产业政策，选址合理。本项目营运过程中产生的各类污染源均能够得到有效控制并做到达标排放，符合总量控制和达标排放的原则，对环境影响不大，环境风险很小。</w:t>
            </w:r>
          </w:p>
          <w:p>
            <w:pPr>
              <w:spacing w:line="500" w:lineRule="exact"/>
              <w:ind w:firstLine="470" w:firstLineChars="196"/>
              <w:jc w:val="both"/>
              <w:rPr>
                <w:sz w:val="24"/>
              </w:rPr>
            </w:pPr>
            <w:r>
              <w:rPr>
                <w:rFonts w:hAnsi="宋体"/>
                <w:sz w:val="24"/>
              </w:rPr>
              <w:t>从环保角度看，本项目在所选厂址上实施是可行的。</w:t>
            </w:r>
          </w:p>
          <w:p>
            <w:pPr>
              <w:pStyle w:val="2"/>
              <w:jc w:val="both"/>
              <w:rPr>
                <w:color w:val="auto"/>
              </w:rPr>
            </w:pPr>
          </w:p>
          <w:p>
            <w:pPr>
              <w:jc w:val="both"/>
            </w:pPr>
          </w:p>
          <w:p>
            <w:pPr>
              <w:pStyle w:val="2"/>
              <w:jc w:val="both"/>
              <w:rPr>
                <w:color w:val="auto"/>
              </w:rPr>
            </w:pPr>
          </w:p>
          <w:p>
            <w:pPr>
              <w:jc w:val="both"/>
            </w:pPr>
          </w:p>
          <w:p>
            <w:pPr>
              <w:pStyle w:val="2"/>
              <w:jc w:val="both"/>
              <w:rPr>
                <w:color w:val="auto"/>
              </w:rPr>
            </w:pPr>
          </w:p>
          <w:p>
            <w:pPr>
              <w:jc w:val="both"/>
            </w:pPr>
          </w:p>
          <w:p>
            <w:pPr>
              <w:pStyle w:val="2"/>
              <w:jc w:val="both"/>
              <w:rPr>
                <w:color w:val="auto"/>
              </w:rPr>
            </w:pPr>
          </w:p>
          <w:p>
            <w:pPr>
              <w:jc w:val="both"/>
            </w:pPr>
          </w:p>
          <w:p>
            <w:pPr>
              <w:pStyle w:val="2"/>
              <w:jc w:val="both"/>
              <w:rPr>
                <w:color w:val="auto"/>
              </w:rPr>
            </w:pPr>
          </w:p>
          <w:p>
            <w:pPr>
              <w:jc w:val="both"/>
            </w:pPr>
          </w:p>
          <w:p>
            <w:pPr>
              <w:pStyle w:val="2"/>
              <w:jc w:val="both"/>
              <w:rPr>
                <w:color w:val="auto"/>
              </w:rPr>
            </w:pPr>
          </w:p>
          <w:p>
            <w:pPr>
              <w:jc w:val="both"/>
            </w:pPr>
          </w:p>
          <w:p>
            <w:pPr>
              <w:pStyle w:val="2"/>
              <w:jc w:val="both"/>
              <w:rPr>
                <w:color w:val="auto"/>
              </w:rPr>
            </w:pPr>
          </w:p>
          <w:p>
            <w:pPr>
              <w:jc w:val="both"/>
            </w:pPr>
          </w:p>
          <w:p>
            <w:pPr>
              <w:pStyle w:val="2"/>
              <w:jc w:val="both"/>
              <w:rPr>
                <w:color w:val="auto"/>
              </w:rPr>
            </w:pPr>
          </w:p>
          <w:p>
            <w:pPr>
              <w:jc w:val="both"/>
            </w:pPr>
          </w:p>
          <w:p>
            <w:pPr>
              <w:jc w:val="both"/>
            </w:pPr>
          </w:p>
        </w:tc>
      </w:tr>
    </w:tbl>
    <w:p>
      <w:pPr>
        <w:rPr>
          <w:rFonts w:hint="eastAsia"/>
          <w:b/>
          <w:sz w:val="24"/>
          <w:lang w:eastAsia="zh-CN"/>
        </w:rPr>
      </w:pPr>
    </w:p>
    <w:p>
      <w:pPr>
        <w:rPr>
          <w:rFonts w:hint="eastAsia"/>
          <w:b/>
          <w:sz w:val="24"/>
          <w:lang w:eastAsia="zh-CN"/>
        </w:rPr>
      </w:pPr>
    </w:p>
    <w:p>
      <w:pPr>
        <w:rPr>
          <w:rFonts w:hint="eastAsia" w:eastAsia="宋体"/>
          <w:b/>
          <w:sz w:val="24"/>
          <w:lang w:eastAsia="zh-CN"/>
        </w:rPr>
        <w:sectPr>
          <w:footerReference r:id="rId21" w:type="default"/>
          <w:pgSz w:w="11906" w:h="16838"/>
          <w:pgMar w:top="1588" w:right="1588" w:bottom="1588" w:left="1588" w:header="851" w:footer="992" w:gutter="0"/>
          <w:pgBorders>
            <w:top w:val="none" w:sz="0" w:space="0"/>
            <w:left w:val="none" w:sz="0" w:space="0"/>
            <w:bottom w:val="none" w:sz="0" w:space="0"/>
            <w:right w:val="none" w:sz="0" w:space="0"/>
          </w:pgBorders>
          <w:cols w:space="720" w:num="1"/>
          <w:docGrid w:linePitch="312" w:charSpace="0"/>
        </w:sectPr>
      </w:pPr>
    </w:p>
    <w:p>
      <w:pPr>
        <w:pStyle w:val="35"/>
        <w:spacing w:before="0" w:beforeAutospacing="0" w:after="0" w:afterAutospacing="0" w:line="500" w:lineRule="exact"/>
        <w:outlineLvl w:val="0"/>
        <w:rPr>
          <w:rFonts w:ascii="Times New Roman" w:hAnsi="Times New Roman" w:cs="Times New Roman"/>
          <w:bCs/>
          <w:kern w:val="2"/>
          <w:sz w:val="28"/>
          <w:szCs w:val="28"/>
        </w:rPr>
      </w:pPr>
      <w:bookmarkStart w:id="39" w:name="_Toc67915201"/>
      <w:bookmarkStart w:id="40" w:name="_Toc9672"/>
      <w:r>
        <w:rPr>
          <w:rFonts w:ascii="Times New Roman" w:cs="Times New Roman"/>
          <w:bCs/>
          <w:kern w:val="2"/>
          <w:sz w:val="28"/>
          <w:szCs w:val="28"/>
        </w:rPr>
        <w:t>附表</w:t>
      </w:r>
      <w:bookmarkEnd w:id="39"/>
      <w:bookmarkEnd w:id="40"/>
    </w:p>
    <w:p>
      <w:pPr>
        <w:spacing w:line="500" w:lineRule="exact"/>
        <w:jc w:val="center"/>
        <w:rPr>
          <w:sz w:val="28"/>
          <w:szCs w:val="28"/>
        </w:rPr>
      </w:pPr>
      <w:bookmarkStart w:id="41" w:name="_Toc67915202"/>
      <w:r>
        <w:rPr>
          <w:rFonts w:hAnsi="宋体"/>
          <w:sz w:val="28"/>
          <w:szCs w:val="28"/>
        </w:rPr>
        <w:t>建设项目污染物排放量汇总表</w:t>
      </w:r>
      <w:bookmarkEnd w:id="41"/>
    </w:p>
    <w:tbl>
      <w:tblPr>
        <w:tblStyle w:val="40"/>
        <w:tblW w:w="14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752"/>
        <w:gridCol w:w="1950"/>
        <w:gridCol w:w="1557"/>
        <w:gridCol w:w="1772"/>
        <w:gridCol w:w="1633"/>
        <w:gridCol w:w="1633"/>
        <w:gridCol w:w="1974"/>
        <w:gridCol w:w="1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tcBorders>
              <w:tl2br w:val="single" w:color="auto" w:sz="4" w:space="0"/>
            </w:tcBorders>
            <w:tcMar>
              <w:left w:w="28" w:type="dxa"/>
              <w:right w:w="28" w:type="dxa"/>
            </w:tcMar>
            <w:vAlign w:val="center"/>
          </w:tcPr>
          <w:p>
            <w:pPr>
              <w:pStyle w:val="144"/>
              <w:spacing w:beforeLines="0" w:afterLines="0" w:line="240" w:lineRule="auto"/>
              <w:jc w:val="right"/>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t>项目</w:t>
            </w:r>
          </w:p>
          <w:p>
            <w:pPr>
              <w:pStyle w:val="144"/>
              <w:spacing w:beforeLines="0" w:afterLines="0" w:line="240" w:lineRule="auto"/>
              <w:jc w:val="left"/>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t>分类</w:t>
            </w:r>
          </w:p>
        </w:tc>
        <w:tc>
          <w:tcPr>
            <w:tcW w:w="1752" w:type="dxa"/>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t>污染物名称</w:t>
            </w:r>
          </w:p>
        </w:tc>
        <w:tc>
          <w:tcPr>
            <w:tcW w:w="1950" w:type="dxa"/>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t>现有工程排放量（固体废物产生量）</w:t>
            </w:r>
            <w:r>
              <w:rPr>
                <w:rFonts w:hint="default" w:ascii="Times New Roman" w:hAnsi="Times New Roman" w:eastAsia="宋体" w:cs="Times New Roman"/>
                <w:b w:val="0"/>
                <w:bCs w:val="0"/>
                <w:i w:val="0"/>
                <w:iCs w:val="0"/>
                <w:snapToGrid w:val="0"/>
                <w:spacing w:val="-6"/>
                <w:kern w:val="21"/>
                <w:sz w:val="21"/>
                <w:szCs w:val="21"/>
              </w:rPr>
              <w:fldChar w:fldCharType="begin"/>
            </w:r>
            <w:r>
              <w:rPr>
                <w:rFonts w:hint="default" w:ascii="Times New Roman" w:hAnsi="Times New Roman" w:eastAsia="宋体" w:cs="Times New Roman"/>
                <w:b w:val="0"/>
                <w:bCs w:val="0"/>
                <w:i w:val="0"/>
                <w:iCs w:val="0"/>
                <w:snapToGrid w:val="0"/>
                <w:spacing w:val="-6"/>
                <w:kern w:val="21"/>
                <w:sz w:val="21"/>
                <w:szCs w:val="21"/>
              </w:rPr>
              <w:instrText xml:space="preserve"> = 1 \* GB3 \* MERGEFORMAT </w:instrText>
            </w:r>
            <w:r>
              <w:rPr>
                <w:rFonts w:hint="default" w:ascii="Times New Roman" w:hAnsi="Times New Roman" w:eastAsia="宋体" w:cs="Times New Roman"/>
                <w:b w:val="0"/>
                <w:bCs w:val="0"/>
                <w:i w:val="0"/>
                <w:iCs w:val="0"/>
                <w:snapToGrid w:val="0"/>
                <w:spacing w:val="-6"/>
                <w:kern w:val="21"/>
                <w:sz w:val="21"/>
                <w:szCs w:val="21"/>
              </w:rPr>
              <w:fldChar w:fldCharType="separate"/>
            </w:r>
            <w:r>
              <w:rPr>
                <w:rFonts w:hint="default" w:ascii="Times New Roman" w:hAnsi="Times New Roman" w:eastAsia="宋体" w:cs="Times New Roman"/>
                <w:b w:val="0"/>
                <w:bCs w:val="0"/>
                <w:i w:val="0"/>
                <w:iCs w:val="0"/>
                <w:kern w:val="2"/>
                <w:sz w:val="21"/>
                <w:szCs w:val="21"/>
              </w:rPr>
              <w:t>①</w:t>
            </w:r>
            <w:r>
              <w:rPr>
                <w:rFonts w:hint="default" w:ascii="Times New Roman" w:hAnsi="Times New Roman" w:eastAsia="宋体" w:cs="Times New Roman"/>
                <w:b w:val="0"/>
                <w:bCs w:val="0"/>
                <w:i w:val="0"/>
                <w:iCs w:val="0"/>
                <w:snapToGrid w:val="0"/>
                <w:spacing w:val="-6"/>
                <w:kern w:val="21"/>
                <w:sz w:val="21"/>
                <w:szCs w:val="21"/>
              </w:rPr>
              <w:fldChar w:fldCharType="end"/>
            </w:r>
          </w:p>
        </w:tc>
        <w:tc>
          <w:tcPr>
            <w:tcW w:w="1557" w:type="dxa"/>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t>现有工程</w:t>
            </w:r>
          </w:p>
          <w:p>
            <w:pPr>
              <w:pStyle w:val="144"/>
              <w:spacing w:beforeLines="0" w:afterLines="0" w:line="240" w:lineRule="auto"/>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t>许可排放量</w:t>
            </w:r>
            <w:r>
              <w:rPr>
                <w:rFonts w:hint="default" w:ascii="Times New Roman" w:hAnsi="Times New Roman" w:eastAsia="宋体" w:cs="Times New Roman"/>
                <w:b w:val="0"/>
                <w:bCs w:val="0"/>
                <w:i w:val="0"/>
                <w:iCs w:val="0"/>
                <w:snapToGrid w:val="0"/>
                <w:spacing w:val="-6"/>
                <w:kern w:val="21"/>
                <w:sz w:val="21"/>
                <w:szCs w:val="21"/>
              </w:rPr>
              <w:fldChar w:fldCharType="begin"/>
            </w:r>
            <w:r>
              <w:rPr>
                <w:rFonts w:hint="default" w:ascii="Times New Roman" w:hAnsi="Times New Roman" w:eastAsia="宋体" w:cs="Times New Roman"/>
                <w:b w:val="0"/>
                <w:bCs w:val="0"/>
                <w:i w:val="0"/>
                <w:iCs w:val="0"/>
                <w:snapToGrid w:val="0"/>
                <w:spacing w:val="-6"/>
                <w:kern w:val="21"/>
                <w:sz w:val="21"/>
                <w:szCs w:val="21"/>
              </w:rPr>
              <w:instrText xml:space="preserve"> = 2 \* GB3 \* MERGEFORMAT </w:instrText>
            </w:r>
            <w:r>
              <w:rPr>
                <w:rFonts w:hint="default" w:ascii="Times New Roman" w:hAnsi="Times New Roman" w:eastAsia="宋体" w:cs="Times New Roman"/>
                <w:b w:val="0"/>
                <w:bCs w:val="0"/>
                <w:i w:val="0"/>
                <w:iCs w:val="0"/>
                <w:snapToGrid w:val="0"/>
                <w:spacing w:val="-6"/>
                <w:kern w:val="21"/>
                <w:sz w:val="21"/>
                <w:szCs w:val="21"/>
              </w:rPr>
              <w:fldChar w:fldCharType="separate"/>
            </w:r>
            <w:r>
              <w:rPr>
                <w:rFonts w:hint="default" w:ascii="Times New Roman" w:hAnsi="Times New Roman" w:eastAsia="宋体" w:cs="Times New Roman"/>
                <w:b w:val="0"/>
                <w:bCs w:val="0"/>
                <w:i w:val="0"/>
                <w:iCs w:val="0"/>
                <w:snapToGrid w:val="0"/>
                <w:spacing w:val="-6"/>
                <w:kern w:val="21"/>
                <w:sz w:val="21"/>
                <w:szCs w:val="21"/>
              </w:rPr>
              <w:t>②</w:t>
            </w:r>
            <w:r>
              <w:rPr>
                <w:rFonts w:hint="default" w:ascii="Times New Roman" w:hAnsi="Times New Roman" w:eastAsia="宋体" w:cs="Times New Roman"/>
                <w:b w:val="0"/>
                <w:bCs w:val="0"/>
                <w:i w:val="0"/>
                <w:iCs w:val="0"/>
                <w:snapToGrid w:val="0"/>
                <w:spacing w:val="-6"/>
                <w:kern w:val="21"/>
                <w:sz w:val="21"/>
                <w:szCs w:val="21"/>
              </w:rPr>
              <w:fldChar w:fldCharType="end"/>
            </w:r>
          </w:p>
        </w:tc>
        <w:tc>
          <w:tcPr>
            <w:tcW w:w="1772" w:type="dxa"/>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t>在建工程排放量（固体废物产生量）</w:t>
            </w:r>
            <w:r>
              <w:rPr>
                <w:rFonts w:hint="default" w:ascii="Times New Roman" w:hAnsi="Times New Roman" w:eastAsia="宋体" w:cs="Times New Roman"/>
                <w:b w:val="0"/>
                <w:bCs w:val="0"/>
                <w:i w:val="0"/>
                <w:iCs w:val="0"/>
                <w:snapToGrid w:val="0"/>
                <w:spacing w:val="-6"/>
                <w:kern w:val="21"/>
                <w:sz w:val="21"/>
                <w:szCs w:val="21"/>
              </w:rPr>
              <w:fldChar w:fldCharType="begin"/>
            </w:r>
            <w:r>
              <w:rPr>
                <w:rFonts w:hint="default" w:ascii="Times New Roman" w:hAnsi="Times New Roman" w:eastAsia="宋体" w:cs="Times New Roman"/>
                <w:b w:val="0"/>
                <w:bCs w:val="0"/>
                <w:i w:val="0"/>
                <w:iCs w:val="0"/>
                <w:snapToGrid w:val="0"/>
                <w:spacing w:val="-6"/>
                <w:kern w:val="21"/>
                <w:sz w:val="21"/>
                <w:szCs w:val="21"/>
              </w:rPr>
              <w:instrText xml:space="preserve"> = 3 \* GB3 \* MERGEFORMAT </w:instrText>
            </w:r>
            <w:r>
              <w:rPr>
                <w:rFonts w:hint="default" w:ascii="Times New Roman" w:hAnsi="Times New Roman" w:eastAsia="宋体" w:cs="Times New Roman"/>
                <w:b w:val="0"/>
                <w:bCs w:val="0"/>
                <w:i w:val="0"/>
                <w:iCs w:val="0"/>
                <w:snapToGrid w:val="0"/>
                <w:spacing w:val="-6"/>
                <w:kern w:val="21"/>
                <w:sz w:val="21"/>
                <w:szCs w:val="21"/>
              </w:rPr>
              <w:fldChar w:fldCharType="separate"/>
            </w:r>
            <w:r>
              <w:rPr>
                <w:rFonts w:hint="default" w:ascii="Times New Roman" w:hAnsi="Times New Roman" w:eastAsia="宋体" w:cs="Times New Roman"/>
                <w:b w:val="0"/>
                <w:bCs w:val="0"/>
                <w:i w:val="0"/>
                <w:iCs w:val="0"/>
                <w:kern w:val="2"/>
                <w:sz w:val="21"/>
                <w:szCs w:val="21"/>
              </w:rPr>
              <w:t>③</w:t>
            </w:r>
            <w:r>
              <w:rPr>
                <w:rFonts w:hint="default" w:ascii="Times New Roman" w:hAnsi="Times New Roman" w:eastAsia="宋体" w:cs="Times New Roman"/>
                <w:b w:val="0"/>
                <w:bCs w:val="0"/>
                <w:i w:val="0"/>
                <w:iCs w:val="0"/>
                <w:snapToGrid w:val="0"/>
                <w:spacing w:val="-6"/>
                <w:kern w:val="21"/>
                <w:sz w:val="21"/>
                <w:szCs w:val="21"/>
              </w:rPr>
              <w:fldChar w:fldCharType="end"/>
            </w:r>
          </w:p>
        </w:tc>
        <w:tc>
          <w:tcPr>
            <w:tcW w:w="1633" w:type="dxa"/>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t>本项目排放量（固体废物产生量）</w:t>
            </w:r>
            <w:r>
              <w:rPr>
                <w:rFonts w:hint="default" w:ascii="Times New Roman" w:hAnsi="Times New Roman" w:eastAsia="宋体" w:cs="Times New Roman"/>
                <w:b w:val="0"/>
                <w:bCs w:val="0"/>
                <w:i w:val="0"/>
                <w:iCs w:val="0"/>
                <w:snapToGrid w:val="0"/>
                <w:spacing w:val="-6"/>
                <w:kern w:val="21"/>
                <w:sz w:val="21"/>
                <w:szCs w:val="21"/>
              </w:rPr>
              <w:fldChar w:fldCharType="begin"/>
            </w:r>
            <w:r>
              <w:rPr>
                <w:rFonts w:hint="default" w:ascii="Times New Roman" w:hAnsi="Times New Roman" w:eastAsia="宋体" w:cs="Times New Roman"/>
                <w:b w:val="0"/>
                <w:bCs w:val="0"/>
                <w:i w:val="0"/>
                <w:iCs w:val="0"/>
                <w:snapToGrid w:val="0"/>
                <w:spacing w:val="-6"/>
                <w:kern w:val="21"/>
                <w:sz w:val="21"/>
                <w:szCs w:val="21"/>
              </w:rPr>
              <w:instrText xml:space="preserve"> = 4 \* GB3 \* MERGEFORMAT </w:instrText>
            </w:r>
            <w:r>
              <w:rPr>
                <w:rFonts w:hint="default" w:ascii="Times New Roman" w:hAnsi="Times New Roman" w:eastAsia="宋体" w:cs="Times New Roman"/>
                <w:b w:val="0"/>
                <w:bCs w:val="0"/>
                <w:i w:val="0"/>
                <w:iCs w:val="0"/>
                <w:snapToGrid w:val="0"/>
                <w:spacing w:val="-6"/>
                <w:kern w:val="21"/>
                <w:sz w:val="21"/>
                <w:szCs w:val="21"/>
              </w:rPr>
              <w:fldChar w:fldCharType="separate"/>
            </w:r>
            <w:r>
              <w:rPr>
                <w:rFonts w:hint="default" w:ascii="Times New Roman" w:hAnsi="Times New Roman" w:eastAsia="宋体" w:cs="Times New Roman"/>
                <w:b w:val="0"/>
                <w:bCs w:val="0"/>
                <w:i w:val="0"/>
                <w:iCs w:val="0"/>
                <w:kern w:val="2"/>
                <w:sz w:val="21"/>
                <w:szCs w:val="21"/>
              </w:rPr>
              <w:t>④</w:t>
            </w:r>
            <w:r>
              <w:rPr>
                <w:rFonts w:hint="default" w:ascii="Times New Roman" w:hAnsi="Times New Roman" w:eastAsia="宋体" w:cs="Times New Roman"/>
                <w:b w:val="0"/>
                <w:bCs w:val="0"/>
                <w:i w:val="0"/>
                <w:iCs w:val="0"/>
                <w:snapToGrid w:val="0"/>
                <w:spacing w:val="-6"/>
                <w:kern w:val="21"/>
                <w:sz w:val="21"/>
                <w:szCs w:val="21"/>
              </w:rPr>
              <w:fldChar w:fldCharType="end"/>
            </w:r>
          </w:p>
        </w:tc>
        <w:tc>
          <w:tcPr>
            <w:tcW w:w="1633" w:type="dxa"/>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val="0"/>
                <w:i w:val="0"/>
                <w:iCs w:val="0"/>
                <w:snapToGrid w:val="0"/>
                <w:spacing w:val="-16"/>
                <w:kern w:val="21"/>
                <w:sz w:val="21"/>
                <w:szCs w:val="21"/>
              </w:rPr>
            </w:pPr>
            <w:r>
              <w:rPr>
                <w:rFonts w:hint="default" w:ascii="Times New Roman" w:hAnsi="Times New Roman" w:eastAsia="宋体" w:cs="Times New Roman"/>
                <w:b w:val="0"/>
                <w:bCs w:val="0"/>
                <w:i w:val="0"/>
                <w:iCs w:val="0"/>
                <w:snapToGrid w:val="0"/>
                <w:spacing w:val="-16"/>
                <w:kern w:val="21"/>
                <w:sz w:val="21"/>
                <w:szCs w:val="21"/>
              </w:rPr>
              <w:t>以新带老削减量</w:t>
            </w:r>
          </w:p>
          <w:p>
            <w:pPr>
              <w:pStyle w:val="144"/>
              <w:spacing w:beforeLines="0" w:afterLines="0" w:line="240" w:lineRule="auto"/>
              <w:rPr>
                <w:rFonts w:hint="default" w:ascii="Times New Roman" w:hAnsi="Times New Roman" w:eastAsia="宋体" w:cs="Times New Roman"/>
                <w:b w:val="0"/>
                <w:bCs w:val="0"/>
                <w:i w:val="0"/>
                <w:iCs w:val="0"/>
                <w:snapToGrid w:val="0"/>
                <w:spacing w:val="-16"/>
                <w:kern w:val="21"/>
                <w:sz w:val="21"/>
                <w:szCs w:val="21"/>
              </w:rPr>
            </w:pPr>
            <w:r>
              <w:rPr>
                <w:rFonts w:hint="default" w:ascii="Times New Roman" w:hAnsi="Times New Roman" w:eastAsia="宋体" w:cs="Times New Roman"/>
                <w:b w:val="0"/>
                <w:bCs w:val="0"/>
                <w:i w:val="0"/>
                <w:iCs w:val="0"/>
                <w:snapToGrid w:val="0"/>
                <w:spacing w:val="-16"/>
                <w:kern w:val="21"/>
                <w:sz w:val="21"/>
                <w:szCs w:val="21"/>
              </w:rPr>
              <w:t>（新建项目不填）</w:t>
            </w:r>
            <w:r>
              <w:rPr>
                <w:rFonts w:hint="default" w:ascii="Times New Roman" w:hAnsi="Times New Roman" w:eastAsia="宋体" w:cs="Times New Roman"/>
                <w:b w:val="0"/>
                <w:bCs w:val="0"/>
                <w:i w:val="0"/>
                <w:iCs w:val="0"/>
                <w:snapToGrid w:val="0"/>
                <w:spacing w:val="-16"/>
                <w:kern w:val="21"/>
                <w:sz w:val="21"/>
                <w:szCs w:val="21"/>
              </w:rPr>
              <w:fldChar w:fldCharType="begin"/>
            </w:r>
            <w:r>
              <w:rPr>
                <w:rFonts w:hint="default" w:ascii="Times New Roman" w:hAnsi="Times New Roman" w:eastAsia="宋体" w:cs="Times New Roman"/>
                <w:b w:val="0"/>
                <w:bCs w:val="0"/>
                <w:i w:val="0"/>
                <w:iCs w:val="0"/>
                <w:snapToGrid w:val="0"/>
                <w:spacing w:val="-16"/>
                <w:kern w:val="21"/>
                <w:sz w:val="21"/>
                <w:szCs w:val="21"/>
              </w:rPr>
              <w:instrText xml:space="preserve"> = 5 \* GB3 \* MERGEFORMAT </w:instrText>
            </w:r>
            <w:r>
              <w:rPr>
                <w:rFonts w:hint="default" w:ascii="Times New Roman" w:hAnsi="Times New Roman" w:eastAsia="宋体" w:cs="Times New Roman"/>
                <w:b w:val="0"/>
                <w:bCs w:val="0"/>
                <w:i w:val="0"/>
                <w:iCs w:val="0"/>
                <w:snapToGrid w:val="0"/>
                <w:spacing w:val="-16"/>
                <w:kern w:val="21"/>
                <w:sz w:val="21"/>
                <w:szCs w:val="21"/>
              </w:rPr>
              <w:fldChar w:fldCharType="separate"/>
            </w:r>
            <w:r>
              <w:rPr>
                <w:rFonts w:hint="default" w:ascii="Times New Roman" w:hAnsi="Times New Roman" w:eastAsia="宋体" w:cs="Times New Roman"/>
                <w:b w:val="0"/>
                <w:bCs w:val="0"/>
                <w:i w:val="0"/>
                <w:iCs w:val="0"/>
                <w:kern w:val="2"/>
                <w:sz w:val="21"/>
                <w:szCs w:val="21"/>
              </w:rPr>
              <w:t>⑤</w:t>
            </w:r>
            <w:r>
              <w:rPr>
                <w:rFonts w:hint="default" w:ascii="Times New Roman" w:hAnsi="Times New Roman" w:eastAsia="宋体" w:cs="Times New Roman"/>
                <w:b w:val="0"/>
                <w:bCs w:val="0"/>
                <w:i w:val="0"/>
                <w:iCs w:val="0"/>
                <w:snapToGrid w:val="0"/>
                <w:spacing w:val="-16"/>
                <w:kern w:val="21"/>
                <w:sz w:val="21"/>
                <w:szCs w:val="21"/>
              </w:rPr>
              <w:fldChar w:fldCharType="end"/>
            </w:r>
          </w:p>
        </w:tc>
        <w:tc>
          <w:tcPr>
            <w:tcW w:w="1974" w:type="dxa"/>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val="0"/>
                <w:i w:val="0"/>
                <w:iCs w:val="0"/>
                <w:snapToGrid w:val="0"/>
                <w:spacing w:val="-16"/>
                <w:kern w:val="21"/>
                <w:sz w:val="21"/>
                <w:szCs w:val="21"/>
              </w:rPr>
            </w:pPr>
            <w:r>
              <w:rPr>
                <w:rFonts w:hint="default" w:ascii="Times New Roman" w:hAnsi="Times New Roman" w:eastAsia="宋体" w:cs="Times New Roman"/>
                <w:b w:val="0"/>
                <w:bCs w:val="0"/>
                <w:i w:val="0"/>
                <w:iCs w:val="0"/>
                <w:snapToGrid w:val="0"/>
                <w:spacing w:val="-16"/>
                <w:kern w:val="21"/>
                <w:sz w:val="21"/>
                <w:szCs w:val="21"/>
              </w:rPr>
              <w:t>本项目建成后全厂排放量（固体废物产生量）</w:t>
            </w:r>
            <w:r>
              <w:rPr>
                <w:rFonts w:hint="default" w:ascii="Times New Roman" w:hAnsi="Times New Roman" w:eastAsia="宋体" w:cs="Times New Roman"/>
                <w:b w:val="0"/>
                <w:bCs w:val="0"/>
                <w:i w:val="0"/>
                <w:iCs w:val="0"/>
                <w:snapToGrid w:val="0"/>
                <w:spacing w:val="-16"/>
                <w:kern w:val="21"/>
                <w:sz w:val="21"/>
                <w:szCs w:val="21"/>
              </w:rPr>
              <w:fldChar w:fldCharType="begin"/>
            </w:r>
            <w:r>
              <w:rPr>
                <w:rFonts w:hint="default" w:ascii="Times New Roman" w:hAnsi="Times New Roman" w:eastAsia="宋体" w:cs="Times New Roman"/>
                <w:b w:val="0"/>
                <w:bCs w:val="0"/>
                <w:i w:val="0"/>
                <w:iCs w:val="0"/>
                <w:snapToGrid w:val="0"/>
                <w:spacing w:val="-16"/>
                <w:kern w:val="21"/>
                <w:sz w:val="21"/>
                <w:szCs w:val="21"/>
              </w:rPr>
              <w:instrText xml:space="preserve"> = 6 \* GB3 \* MERGEFORMAT </w:instrText>
            </w:r>
            <w:r>
              <w:rPr>
                <w:rFonts w:hint="default" w:ascii="Times New Roman" w:hAnsi="Times New Roman" w:eastAsia="宋体" w:cs="Times New Roman"/>
                <w:b w:val="0"/>
                <w:bCs w:val="0"/>
                <w:i w:val="0"/>
                <w:iCs w:val="0"/>
                <w:snapToGrid w:val="0"/>
                <w:spacing w:val="-16"/>
                <w:kern w:val="21"/>
                <w:sz w:val="21"/>
                <w:szCs w:val="21"/>
              </w:rPr>
              <w:fldChar w:fldCharType="separate"/>
            </w:r>
            <w:r>
              <w:rPr>
                <w:rFonts w:hint="default" w:ascii="Times New Roman" w:hAnsi="Times New Roman" w:eastAsia="宋体" w:cs="Times New Roman"/>
                <w:b w:val="0"/>
                <w:bCs w:val="0"/>
                <w:i w:val="0"/>
                <w:iCs w:val="0"/>
                <w:kern w:val="2"/>
                <w:sz w:val="21"/>
                <w:szCs w:val="21"/>
              </w:rPr>
              <w:t>⑥</w:t>
            </w:r>
            <w:r>
              <w:rPr>
                <w:rFonts w:hint="default" w:ascii="Times New Roman" w:hAnsi="Times New Roman" w:eastAsia="宋体" w:cs="Times New Roman"/>
                <w:b w:val="0"/>
                <w:bCs w:val="0"/>
                <w:i w:val="0"/>
                <w:iCs w:val="0"/>
                <w:snapToGrid w:val="0"/>
                <w:spacing w:val="-16"/>
                <w:kern w:val="21"/>
                <w:sz w:val="21"/>
                <w:szCs w:val="21"/>
              </w:rPr>
              <w:fldChar w:fldCharType="end"/>
            </w:r>
          </w:p>
        </w:tc>
        <w:tc>
          <w:tcPr>
            <w:tcW w:w="1159" w:type="dxa"/>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t>变化量</w:t>
            </w:r>
          </w:p>
          <w:p>
            <w:pPr>
              <w:pStyle w:val="144"/>
              <w:spacing w:beforeLines="0" w:afterLines="0" w:line="240" w:lineRule="auto"/>
              <w:rPr>
                <w:rFonts w:hint="default" w:ascii="Times New Roman" w:hAnsi="Times New Roman" w:eastAsia="宋体" w:cs="Times New Roman"/>
                <w:b w:val="0"/>
                <w:bCs w:val="0"/>
                <w:i w:val="0"/>
                <w:iCs w:val="0"/>
                <w:snapToGrid w:val="0"/>
                <w:spacing w:val="-6"/>
                <w:kern w:val="21"/>
                <w:sz w:val="21"/>
                <w:szCs w:val="21"/>
              </w:rPr>
            </w:pPr>
            <w:r>
              <w:rPr>
                <w:rFonts w:hint="default" w:ascii="Times New Roman" w:hAnsi="Times New Roman" w:eastAsia="宋体" w:cs="Times New Roman"/>
                <w:b w:val="0"/>
                <w:bCs w:val="0"/>
                <w:i w:val="0"/>
                <w:iCs w:val="0"/>
                <w:snapToGrid w:val="0"/>
                <w:spacing w:val="-6"/>
                <w:kern w:val="21"/>
                <w:sz w:val="21"/>
                <w:szCs w:val="21"/>
              </w:rPr>
              <w:fldChar w:fldCharType="begin"/>
            </w:r>
            <w:r>
              <w:rPr>
                <w:rFonts w:hint="default" w:ascii="Times New Roman" w:hAnsi="Times New Roman" w:eastAsia="宋体" w:cs="Times New Roman"/>
                <w:b w:val="0"/>
                <w:bCs w:val="0"/>
                <w:i w:val="0"/>
                <w:iCs w:val="0"/>
                <w:snapToGrid w:val="0"/>
                <w:spacing w:val="-6"/>
                <w:kern w:val="21"/>
                <w:sz w:val="21"/>
                <w:szCs w:val="21"/>
              </w:rPr>
              <w:instrText xml:space="preserve"> = 7 \* GB3 \* MERGEFORMAT </w:instrText>
            </w:r>
            <w:r>
              <w:rPr>
                <w:rFonts w:hint="default" w:ascii="Times New Roman" w:hAnsi="Times New Roman" w:eastAsia="宋体" w:cs="Times New Roman"/>
                <w:b w:val="0"/>
                <w:bCs w:val="0"/>
                <w:i w:val="0"/>
                <w:iCs w:val="0"/>
                <w:snapToGrid w:val="0"/>
                <w:spacing w:val="-6"/>
                <w:kern w:val="21"/>
                <w:sz w:val="21"/>
                <w:szCs w:val="21"/>
              </w:rPr>
              <w:fldChar w:fldCharType="separate"/>
            </w:r>
            <w:r>
              <w:rPr>
                <w:rFonts w:hint="default" w:ascii="Times New Roman" w:hAnsi="Times New Roman" w:eastAsia="宋体" w:cs="Times New Roman"/>
                <w:b w:val="0"/>
                <w:bCs w:val="0"/>
                <w:i w:val="0"/>
                <w:iCs w:val="0"/>
                <w:kern w:val="2"/>
                <w:sz w:val="21"/>
                <w:szCs w:val="21"/>
              </w:rPr>
              <w:t>⑦</w:t>
            </w:r>
            <w:r>
              <w:rPr>
                <w:rFonts w:hint="default" w:ascii="Times New Roman" w:hAnsi="Times New Roman" w:eastAsia="宋体" w:cs="Times New Roman"/>
                <w:b w:val="0"/>
                <w:bCs w:val="0"/>
                <w:i w:val="0"/>
                <w:iCs w:val="0"/>
                <w:snapToGrid w:val="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Align w:val="center"/>
          </w:tcPr>
          <w:p>
            <w:pPr>
              <w:pStyle w:val="144"/>
              <w:spacing w:beforeLines="0" w:afterLines="0" w:line="240" w:lineRule="auto"/>
              <w:rPr>
                <w:rFonts w:hAnsi="宋体" w:cs="宋体"/>
                <w:snapToGrid w:val="0"/>
                <w:kern w:val="21"/>
                <w:sz w:val="21"/>
                <w:szCs w:val="21"/>
              </w:rPr>
            </w:pPr>
            <w:r>
              <w:rPr>
                <w:rFonts w:hint="eastAsia" w:hAnsi="宋体" w:cs="宋体"/>
                <w:snapToGrid w:val="0"/>
                <w:kern w:val="21"/>
                <w:sz w:val="21"/>
                <w:szCs w:val="21"/>
              </w:rPr>
              <w:t>废气</w:t>
            </w:r>
          </w:p>
        </w:tc>
        <w:tc>
          <w:tcPr>
            <w:tcW w:w="1752" w:type="dxa"/>
            <w:vAlign w:val="center"/>
          </w:tcPr>
          <w:p>
            <w:pPr>
              <w:pStyle w:val="144"/>
              <w:spacing w:beforeLines="0" w:afterLines="0" w:line="240" w:lineRule="auto"/>
              <w:rPr>
                <w:rFonts w:hint="eastAsia" w:ascii="Times New Roman" w:hAnsi="Times New Roman" w:eastAsia="宋体" w:cs="Times New Roman"/>
                <w:snapToGrid w:val="0"/>
                <w:kern w:val="21"/>
                <w:sz w:val="21"/>
                <w:szCs w:val="21"/>
                <w:lang w:eastAsia="zh-CN"/>
              </w:rPr>
            </w:pPr>
            <w:r>
              <w:rPr>
                <w:rFonts w:hint="eastAsia" w:ascii="Times New Roman" w:hAnsi="Times New Roman" w:eastAsia="宋体" w:cs="Times New Roman"/>
                <w:snapToGrid w:val="0"/>
                <w:kern w:val="21"/>
                <w:sz w:val="21"/>
                <w:szCs w:val="21"/>
                <w:lang w:eastAsia="zh-CN"/>
              </w:rPr>
              <w:t>非甲烷总烃</w:t>
            </w:r>
          </w:p>
        </w:tc>
        <w:tc>
          <w:tcPr>
            <w:tcW w:w="1950" w:type="dxa"/>
            <w:vAlign w:val="center"/>
          </w:tcPr>
          <w:p>
            <w:pPr>
              <w:jc w:val="center"/>
              <w:rPr>
                <w:rFonts w:hint="default"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0.648</w:t>
            </w:r>
          </w:p>
        </w:tc>
        <w:tc>
          <w:tcPr>
            <w:tcW w:w="1557" w:type="dxa"/>
            <w:vAlign w:val="center"/>
          </w:tcPr>
          <w:p>
            <w:pPr>
              <w:pStyle w:val="144"/>
              <w:spacing w:beforeLines="0" w:afterLines="0" w:line="240" w:lineRule="auto"/>
              <w:rPr>
                <w:rFonts w:hint="eastAsia"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少量</w:t>
            </w:r>
          </w:p>
        </w:tc>
        <w:tc>
          <w:tcPr>
            <w:tcW w:w="1772" w:type="dxa"/>
            <w:vAlign w:val="center"/>
          </w:tcPr>
          <w:p>
            <w:pPr>
              <w:pStyle w:val="144"/>
              <w:spacing w:beforeLines="0" w:afterLines="0" w:line="240" w:lineRule="auto"/>
              <w:rPr>
                <w:rFonts w:hint="eastAsia"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w:t>
            </w:r>
          </w:p>
        </w:tc>
        <w:tc>
          <w:tcPr>
            <w:tcW w:w="1633" w:type="dxa"/>
            <w:vAlign w:val="center"/>
          </w:tcPr>
          <w:p>
            <w:pPr>
              <w:pStyle w:val="144"/>
              <w:spacing w:beforeLines="0" w:afterLines="0" w:line="240" w:lineRule="auto"/>
              <w:rPr>
                <w:rFonts w:hint="default" w:ascii="Times New Roman" w:hAnsi="Times New Roman" w:eastAsia="宋体" w:cs="Times New Roman"/>
                <w:snapToGrid w:val="0"/>
                <w:kern w:val="21"/>
                <w:sz w:val="21"/>
                <w:szCs w:val="21"/>
                <w:lang w:val="en-US" w:eastAsia="zh-CN"/>
              </w:rPr>
            </w:pPr>
            <w:r>
              <w:rPr>
                <w:rFonts w:hint="eastAsia" w:cs="Times New Roman"/>
                <w:snapToGrid w:val="0"/>
                <w:kern w:val="21"/>
                <w:sz w:val="21"/>
                <w:szCs w:val="21"/>
                <w:lang w:val="en-US" w:eastAsia="zh-CN"/>
              </w:rPr>
              <w:t>0.214</w:t>
            </w:r>
          </w:p>
        </w:tc>
        <w:tc>
          <w:tcPr>
            <w:tcW w:w="1633" w:type="dxa"/>
            <w:vAlign w:val="center"/>
          </w:tcPr>
          <w:p>
            <w:pPr>
              <w:pStyle w:val="144"/>
              <w:spacing w:beforeLines="0" w:afterLines="0" w:line="240" w:lineRule="auto"/>
              <w:rPr>
                <w:rFonts w:hint="default"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0.648</w:t>
            </w:r>
          </w:p>
        </w:tc>
        <w:tc>
          <w:tcPr>
            <w:tcW w:w="1974" w:type="dxa"/>
            <w:vAlign w:val="center"/>
          </w:tcPr>
          <w:p>
            <w:pPr>
              <w:pStyle w:val="144"/>
              <w:spacing w:beforeLines="0" w:afterLines="0" w:line="240" w:lineRule="auto"/>
              <w:rPr>
                <w:rFonts w:hint="default" w:ascii="Times New Roman" w:hAnsi="Times New Roman" w:eastAsia="宋体" w:cs="Times New Roman"/>
                <w:snapToGrid w:val="0"/>
                <w:kern w:val="21"/>
                <w:sz w:val="21"/>
                <w:szCs w:val="21"/>
                <w:lang w:val="en-US" w:eastAsia="zh-CN"/>
              </w:rPr>
            </w:pPr>
            <w:r>
              <w:rPr>
                <w:rFonts w:hint="eastAsia" w:cs="Times New Roman"/>
                <w:snapToGrid w:val="0"/>
                <w:kern w:val="21"/>
                <w:sz w:val="21"/>
                <w:szCs w:val="21"/>
                <w:lang w:val="en-US" w:eastAsia="zh-CN"/>
              </w:rPr>
              <w:t>0.214</w:t>
            </w:r>
          </w:p>
        </w:tc>
        <w:tc>
          <w:tcPr>
            <w:tcW w:w="1159" w:type="dxa"/>
            <w:vAlign w:val="center"/>
          </w:tcPr>
          <w:p>
            <w:pPr>
              <w:pStyle w:val="144"/>
              <w:spacing w:beforeLines="0" w:afterLines="0" w:line="240" w:lineRule="auto"/>
              <w:rPr>
                <w:rFonts w:hint="default" w:ascii="Times New Roman" w:hAnsi="Times New Roman" w:eastAsia="宋体" w:cs="Times New Roman"/>
                <w:snapToGrid w:val="0"/>
                <w:kern w:val="21"/>
                <w:sz w:val="21"/>
                <w:szCs w:val="21"/>
                <w:lang w:val="en-US" w:eastAsia="zh-CN"/>
              </w:rPr>
            </w:pPr>
            <w:r>
              <w:rPr>
                <w:rFonts w:hint="eastAsia" w:ascii="Times New Roman" w:hAnsi="Times New Roman" w:cs="Times New Roman"/>
                <w:snapToGrid w:val="0"/>
                <w:kern w:val="21"/>
                <w:sz w:val="21"/>
                <w:szCs w:val="21"/>
                <w:lang w:val="en-US" w:eastAsia="zh-CN"/>
              </w:rPr>
              <w:t>-0.</w:t>
            </w:r>
            <w:r>
              <w:rPr>
                <w:rFonts w:hint="eastAsia" w:cs="Times New Roman"/>
                <w:snapToGrid w:val="0"/>
                <w:kern w:val="21"/>
                <w:sz w:val="21"/>
                <w:szCs w:val="21"/>
                <w:lang w:val="en-US" w:eastAsia="zh-CN"/>
              </w:rPr>
              <w:t>434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restart"/>
            <w:vAlign w:val="center"/>
          </w:tcPr>
          <w:p>
            <w:pPr>
              <w:pStyle w:val="144"/>
              <w:spacing w:beforeLines="0" w:afterLines="0" w:line="240" w:lineRule="auto"/>
              <w:rPr>
                <w:rFonts w:hAnsi="宋体" w:cs="宋体"/>
                <w:snapToGrid w:val="0"/>
                <w:kern w:val="21"/>
                <w:sz w:val="21"/>
                <w:szCs w:val="21"/>
              </w:rPr>
            </w:pPr>
            <w:r>
              <w:rPr>
                <w:rFonts w:hint="eastAsia" w:hAnsi="宋体" w:cs="宋体"/>
                <w:snapToGrid w:val="0"/>
                <w:kern w:val="21"/>
                <w:sz w:val="21"/>
                <w:szCs w:val="21"/>
              </w:rPr>
              <w:t>废水</w:t>
            </w:r>
          </w:p>
        </w:tc>
        <w:tc>
          <w:tcPr>
            <w:tcW w:w="1752" w:type="dxa"/>
            <w:vAlign w:val="center"/>
          </w:tcPr>
          <w:p>
            <w:pPr>
              <w:pStyle w:val="144"/>
              <w:spacing w:beforeLines="0" w:afterLines="0" w:line="240" w:lineRule="auto"/>
              <w:rPr>
                <w:rFonts w:hint="eastAsia" w:ascii="Times New Roman" w:hAnsi="Times New Roman" w:eastAsia="宋体" w:cs="Times New Roman"/>
                <w:snapToGrid w:val="0"/>
                <w:kern w:val="21"/>
                <w:sz w:val="21"/>
                <w:szCs w:val="21"/>
                <w:lang w:eastAsia="zh-CN"/>
              </w:rPr>
            </w:pPr>
            <w:r>
              <w:rPr>
                <w:rFonts w:hint="eastAsia" w:ascii="Times New Roman" w:hAnsi="Times New Roman" w:eastAsia="宋体" w:cs="Times New Roman"/>
                <w:snapToGrid w:val="0"/>
                <w:kern w:val="21"/>
                <w:sz w:val="21"/>
                <w:szCs w:val="21"/>
                <w:lang w:eastAsia="zh-CN"/>
              </w:rPr>
              <w:t>废水量</w:t>
            </w:r>
          </w:p>
        </w:tc>
        <w:tc>
          <w:tcPr>
            <w:tcW w:w="1950" w:type="dxa"/>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bCs/>
                <w:szCs w:val="21"/>
                <w:lang w:val="en-US" w:eastAsia="zh-CN"/>
              </w:rPr>
              <w:t>1440</w:t>
            </w:r>
          </w:p>
        </w:tc>
        <w:tc>
          <w:tcPr>
            <w:tcW w:w="1557" w:type="dxa"/>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bCs/>
                <w:szCs w:val="21"/>
                <w:lang w:val="en-US" w:eastAsia="zh-CN"/>
              </w:rPr>
              <w:t>1440</w:t>
            </w:r>
          </w:p>
        </w:tc>
        <w:tc>
          <w:tcPr>
            <w:tcW w:w="1772" w:type="dxa"/>
            <w:vAlign w:val="center"/>
          </w:tcPr>
          <w:p>
            <w:pPr>
              <w:pStyle w:val="144"/>
              <w:spacing w:beforeLines="0" w:afterLines="0" w:line="240" w:lineRule="auto"/>
              <w:rPr>
                <w:rFonts w:hint="eastAsia" w:ascii="Times New Roman" w:hAnsi="Times New Roman" w:eastAsia="宋体" w:cs="Times New Roman"/>
                <w:snapToGrid w:val="0"/>
                <w:kern w:val="21"/>
                <w:sz w:val="21"/>
                <w:szCs w:val="21"/>
                <w:lang w:val="en-US" w:eastAsia="zh-CN"/>
              </w:rPr>
            </w:pPr>
            <w:r>
              <w:rPr>
                <w:rFonts w:hint="eastAsia" w:ascii="Times New Roman" w:hAnsi="Times New Roman" w:cs="Times New Roman"/>
                <w:snapToGrid w:val="0"/>
                <w:kern w:val="21"/>
                <w:sz w:val="21"/>
                <w:szCs w:val="21"/>
                <w:lang w:val="en-US" w:eastAsia="zh-CN"/>
              </w:rPr>
              <w:t>/</w:t>
            </w:r>
          </w:p>
        </w:tc>
        <w:tc>
          <w:tcPr>
            <w:tcW w:w="1633" w:type="dxa"/>
            <w:vAlign w:val="center"/>
          </w:tcPr>
          <w:p>
            <w:pPr>
              <w:pStyle w:val="144"/>
              <w:spacing w:beforeLines="0" w:afterLines="0" w:line="240" w:lineRule="auto"/>
              <w:rPr>
                <w:rFonts w:hint="default"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1200</w:t>
            </w:r>
          </w:p>
        </w:tc>
        <w:tc>
          <w:tcPr>
            <w:tcW w:w="1633" w:type="dxa"/>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bCs/>
                <w:szCs w:val="21"/>
                <w:lang w:val="en-US" w:eastAsia="zh-CN"/>
              </w:rPr>
              <w:t>1440</w:t>
            </w:r>
          </w:p>
        </w:tc>
        <w:tc>
          <w:tcPr>
            <w:tcW w:w="1974" w:type="dxa"/>
            <w:vAlign w:val="center"/>
          </w:tcPr>
          <w:p>
            <w:pPr>
              <w:pStyle w:val="144"/>
              <w:spacing w:beforeLines="0" w:afterLines="0" w:line="240" w:lineRule="auto"/>
              <w:rPr>
                <w:rFonts w:hint="eastAsia" w:ascii="Times New Roman" w:hAnsi="Times New Roman" w:eastAsia="宋体" w:cs="Times New Roman"/>
                <w:snapToGrid w:val="0"/>
                <w:kern w:val="21"/>
                <w:sz w:val="21"/>
                <w:szCs w:val="21"/>
                <w:lang w:val="en-US" w:eastAsia="zh-CN" w:bidi="ar-SA"/>
              </w:rPr>
            </w:pPr>
            <w:r>
              <w:rPr>
                <w:rFonts w:hint="eastAsia" w:ascii="Times New Roman" w:hAnsi="Times New Roman" w:eastAsia="宋体" w:cs="Times New Roman"/>
                <w:snapToGrid w:val="0"/>
                <w:kern w:val="21"/>
                <w:sz w:val="21"/>
                <w:szCs w:val="21"/>
                <w:lang w:val="en-US" w:eastAsia="zh-CN"/>
              </w:rPr>
              <w:t>1200</w:t>
            </w:r>
          </w:p>
        </w:tc>
        <w:tc>
          <w:tcPr>
            <w:tcW w:w="1159" w:type="dxa"/>
            <w:vAlign w:val="center"/>
          </w:tcPr>
          <w:p>
            <w:pPr>
              <w:pStyle w:val="144"/>
              <w:spacing w:beforeLines="0" w:afterLines="0" w:line="240" w:lineRule="auto"/>
              <w:rPr>
                <w:rFonts w:hint="default"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continue"/>
            <w:vAlign w:val="center"/>
          </w:tcPr>
          <w:p>
            <w:pPr>
              <w:pStyle w:val="144"/>
              <w:spacing w:beforeLines="0" w:afterLines="0" w:line="240" w:lineRule="auto"/>
              <w:rPr>
                <w:rFonts w:hAnsi="宋体" w:cs="宋体"/>
                <w:snapToGrid w:val="0"/>
                <w:kern w:val="21"/>
                <w:sz w:val="21"/>
                <w:szCs w:val="21"/>
              </w:rPr>
            </w:pPr>
          </w:p>
        </w:tc>
        <w:tc>
          <w:tcPr>
            <w:tcW w:w="1752"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COD</w:t>
            </w:r>
            <w:r>
              <w:rPr>
                <w:rFonts w:ascii="Times New Roman" w:hAnsi="Times New Roman" w:eastAsia="宋体" w:cs="Times New Roman"/>
                <w:sz w:val="21"/>
                <w:szCs w:val="21"/>
                <w:vertAlign w:val="subscript"/>
              </w:rPr>
              <w:t>Cr</w:t>
            </w:r>
          </w:p>
        </w:tc>
        <w:tc>
          <w:tcPr>
            <w:tcW w:w="1950" w:type="dxa"/>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0.072</w:t>
            </w:r>
          </w:p>
        </w:tc>
        <w:tc>
          <w:tcPr>
            <w:tcW w:w="1557" w:type="dxa"/>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0.072</w:t>
            </w:r>
          </w:p>
        </w:tc>
        <w:tc>
          <w:tcPr>
            <w:tcW w:w="1772" w:type="dxa"/>
            <w:vAlign w:val="center"/>
          </w:tcPr>
          <w:p>
            <w:pPr>
              <w:pStyle w:val="144"/>
              <w:spacing w:beforeLines="0" w:afterLines="0" w:line="240" w:lineRule="auto"/>
              <w:rPr>
                <w:rFonts w:hint="eastAsia" w:ascii="Times New Roman" w:hAnsi="Times New Roman" w:eastAsia="宋体" w:cs="Times New Roman"/>
                <w:snapToGrid w:val="0"/>
                <w:kern w:val="21"/>
                <w:sz w:val="21"/>
                <w:szCs w:val="21"/>
                <w:lang w:val="en-US" w:eastAsia="zh-CN"/>
              </w:rPr>
            </w:pPr>
            <w:r>
              <w:rPr>
                <w:rFonts w:hint="eastAsia" w:ascii="Times New Roman" w:hAnsi="Times New Roman" w:cs="Times New Roman"/>
                <w:snapToGrid w:val="0"/>
                <w:kern w:val="21"/>
                <w:sz w:val="21"/>
                <w:szCs w:val="21"/>
                <w:lang w:val="en-US" w:eastAsia="zh-CN"/>
              </w:rPr>
              <w:t>/</w:t>
            </w:r>
          </w:p>
        </w:tc>
        <w:tc>
          <w:tcPr>
            <w:tcW w:w="163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0.12</w:t>
            </w:r>
          </w:p>
        </w:tc>
        <w:tc>
          <w:tcPr>
            <w:tcW w:w="1633" w:type="dxa"/>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0.072</w:t>
            </w:r>
          </w:p>
        </w:tc>
        <w:tc>
          <w:tcPr>
            <w:tcW w:w="197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0.12</w:t>
            </w:r>
          </w:p>
        </w:tc>
        <w:tc>
          <w:tcPr>
            <w:tcW w:w="1159"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continue"/>
            <w:vAlign w:val="center"/>
          </w:tcPr>
          <w:p>
            <w:pPr>
              <w:pStyle w:val="144"/>
              <w:spacing w:beforeLines="0" w:afterLines="0" w:line="240" w:lineRule="auto"/>
              <w:rPr>
                <w:rFonts w:hAnsi="宋体" w:cs="宋体"/>
                <w:snapToGrid w:val="0"/>
                <w:kern w:val="21"/>
                <w:sz w:val="21"/>
                <w:szCs w:val="21"/>
              </w:rPr>
            </w:pPr>
          </w:p>
        </w:tc>
        <w:tc>
          <w:tcPr>
            <w:tcW w:w="1752"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NH</w:t>
            </w:r>
            <w:r>
              <w:rPr>
                <w:rFonts w:ascii="Times New Roman" w:hAnsi="Times New Roman" w:eastAsia="宋体" w:cs="Times New Roman"/>
                <w:kern w:val="0"/>
                <w:sz w:val="21"/>
                <w:szCs w:val="21"/>
                <w:vertAlign w:val="subscript"/>
              </w:rPr>
              <w:t>3</w:t>
            </w:r>
            <w:r>
              <w:rPr>
                <w:rFonts w:ascii="Times New Roman" w:hAnsi="Times New Roman" w:eastAsia="宋体" w:cs="Times New Roman"/>
                <w:kern w:val="0"/>
                <w:sz w:val="21"/>
                <w:szCs w:val="21"/>
              </w:rPr>
              <w:t>-N</w:t>
            </w:r>
          </w:p>
        </w:tc>
        <w:tc>
          <w:tcPr>
            <w:tcW w:w="1950" w:type="dxa"/>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0.007</w:t>
            </w:r>
          </w:p>
        </w:tc>
        <w:tc>
          <w:tcPr>
            <w:tcW w:w="1557" w:type="dxa"/>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0.007</w:t>
            </w:r>
          </w:p>
        </w:tc>
        <w:tc>
          <w:tcPr>
            <w:tcW w:w="1772" w:type="dxa"/>
            <w:vAlign w:val="center"/>
          </w:tcPr>
          <w:p>
            <w:pPr>
              <w:pStyle w:val="144"/>
              <w:spacing w:beforeLines="0" w:afterLines="0" w:line="240" w:lineRule="auto"/>
              <w:rPr>
                <w:rFonts w:hint="eastAsia" w:ascii="Times New Roman" w:hAnsi="Times New Roman" w:eastAsia="宋体" w:cs="Times New Roman"/>
                <w:snapToGrid w:val="0"/>
                <w:kern w:val="21"/>
                <w:sz w:val="21"/>
                <w:szCs w:val="21"/>
                <w:lang w:val="en-US" w:eastAsia="zh-CN"/>
              </w:rPr>
            </w:pPr>
            <w:r>
              <w:rPr>
                <w:rFonts w:hint="eastAsia" w:ascii="Times New Roman" w:hAnsi="Times New Roman" w:cs="Times New Roman"/>
                <w:snapToGrid w:val="0"/>
                <w:kern w:val="21"/>
                <w:sz w:val="21"/>
                <w:szCs w:val="21"/>
                <w:lang w:val="en-US" w:eastAsia="zh-CN"/>
              </w:rPr>
              <w:t>/</w:t>
            </w:r>
          </w:p>
        </w:tc>
        <w:tc>
          <w:tcPr>
            <w:tcW w:w="163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0.025</w:t>
            </w:r>
          </w:p>
        </w:tc>
        <w:tc>
          <w:tcPr>
            <w:tcW w:w="1633" w:type="dxa"/>
            <w:vAlign w:val="center"/>
          </w:tcPr>
          <w:p>
            <w:pPr>
              <w:adjustRightInd w:val="0"/>
              <w:snapToGrid w:val="0"/>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0.007</w:t>
            </w:r>
          </w:p>
        </w:tc>
        <w:tc>
          <w:tcPr>
            <w:tcW w:w="197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0.025</w:t>
            </w:r>
          </w:p>
        </w:tc>
        <w:tc>
          <w:tcPr>
            <w:tcW w:w="1159"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restart"/>
            <w:vAlign w:val="center"/>
          </w:tcPr>
          <w:p>
            <w:pPr>
              <w:pStyle w:val="144"/>
              <w:spacing w:beforeLines="0" w:afterLines="0" w:line="240" w:lineRule="auto"/>
              <w:rPr>
                <w:rFonts w:hAnsi="宋体" w:cs="宋体"/>
                <w:snapToGrid w:val="0"/>
                <w:kern w:val="21"/>
                <w:sz w:val="21"/>
                <w:szCs w:val="21"/>
              </w:rPr>
            </w:pPr>
            <w:r>
              <w:rPr>
                <w:rFonts w:hint="eastAsia" w:hAnsi="宋体" w:cs="宋体"/>
                <w:snapToGrid w:val="0"/>
                <w:kern w:val="21"/>
                <w:sz w:val="21"/>
                <w:szCs w:val="21"/>
              </w:rPr>
              <w:t>一般工业</w:t>
            </w:r>
          </w:p>
          <w:p>
            <w:pPr>
              <w:pStyle w:val="144"/>
              <w:spacing w:beforeLines="0" w:afterLines="0" w:line="240" w:lineRule="auto"/>
              <w:rPr>
                <w:rFonts w:hAnsi="宋体" w:cs="宋体"/>
                <w:snapToGrid w:val="0"/>
                <w:kern w:val="21"/>
                <w:sz w:val="21"/>
                <w:szCs w:val="21"/>
              </w:rPr>
            </w:pPr>
            <w:r>
              <w:rPr>
                <w:rFonts w:hint="eastAsia" w:hAnsi="宋体" w:cs="宋体"/>
                <w:snapToGrid w:val="0"/>
                <w:kern w:val="21"/>
                <w:sz w:val="21"/>
                <w:szCs w:val="21"/>
              </w:rPr>
              <w:t>固体废物</w:t>
            </w:r>
          </w:p>
        </w:tc>
        <w:tc>
          <w:tcPr>
            <w:tcW w:w="1752" w:type="dxa"/>
            <w:vAlign w:val="center"/>
          </w:tcPr>
          <w:p>
            <w:pPr>
              <w:snapToGrid w:val="0"/>
              <w:jc w:val="center"/>
              <w:rPr>
                <w:rFonts w:ascii="Times New Roman" w:hAnsi="Times New Roman" w:eastAsia="宋体" w:cs="Times New Roman"/>
                <w:bCs/>
                <w:kern w:val="2"/>
                <w:sz w:val="21"/>
                <w:szCs w:val="21"/>
                <w:lang w:val="en-US" w:eastAsia="zh-CN" w:bidi="ar-SA"/>
              </w:rPr>
            </w:pPr>
            <w:r>
              <w:rPr>
                <w:rFonts w:ascii="Times New Roman" w:hAnsi="Times New Roman" w:eastAsia="宋体" w:cs="Times New Roman"/>
                <w:sz w:val="21"/>
                <w:szCs w:val="21"/>
              </w:rPr>
              <w:t>废丝、废布</w:t>
            </w:r>
          </w:p>
        </w:tc>
        <w:tc>
          <w:tcPr>
            <w:tcW w:w="1950" w:type="dxa"/>
            <w:vAlign w:val="center"/>
          </w:tcPr>
          <w:p>
            <w:pPr>
              <w:jc w:val="center"/>
              <w:rPr>
                <w:rFonts w:hint="eastAsia" w:ascii="Times New Roman" w:hAnsi="Times New Roman" w:eastAsia="宋体" w:cs="Times New Roman"/>
                <w:snapToGrid w:val="0"/>
                <w:kern w:val="21"/>
                <w:sz w:val="21"/>
                <w:szCs w:val="21"/>
                <w:lang w:val="en-US" w:eastAsia="zh-CN"/>
              </w:rPr>
            </w:pPr>
            <w:r>
              <w:rPr>
                <w:rFonts w:hint="eastAsia" w:ascii="Times New Roman" w:hAnsi="Times New Roman" w:cs="Times New Roman"/>
                <w:snapToGrid w:val="0"/>
                <w:kern w:val="21"/>
                <w:sz w:val="21"/>
                <w:szCs w:val="21"/>
                <w:lang w:val="en-US" w:eastAsia="zh-CN"/>
              </w:rPr>
              <w:t>6</w:t>
            </w:r>
          </w:p>
        </w:tc>
        <w:tc>
          <w:tcPr>
            <w:tcW w:w="1557" w:type="dxa"/>
            <w:vAlign w:val="center"/>
          </w:tcPr>
          <w:p>
            <w:pPr>
              <w:jc w:val="center"/>
              <w:rPr>
                <w:rFonts w:hint="eastAsia" w:ascii="Times New Roman" w:hAnsi="Times New Roman" w:eastAsia="宋体" w:cs="Times New Roman"/>
                <w:snapToGrid w:val="0"/>
                <w:kern w:val="21"/>
                <w:sz w:val="21"/>
                <w:szCs w:val="21"/>
                <w:lang w:val="en-US" w:eastAsia="zh-CN" w:bidi="ar-SA"/>
              </w:rPr>
            </w:pPr>
            <w:r>
              <w:rPr>
                <w:rFonts w:hint="eastAsia" w:ascii="Times New Roman" w:hAnsi="Times New Roman" w:cs="Times New Roman"/>
                <w:snapToGrid w:val="0"/>
                <w:kern w:val="21"/>
                <w:sz w:val="21"/>
                <w:szCs w:val="21"/>
                <w:lang w:val="en-US" w:eastAsia="zh-CN"/>
              </w:rPr>
              <w:t>6</w:t>
            </w:r>
          </w:p>
        </w:tc>
        <w:tc>
          <w:tcPr>
            <w:tcW w:w="1772" w:type="dxa"/>
            <w:vAlign w:val="center"/>
          </w:tcPr>
          <w:p>
            <w:pPr>
              <w:pStyle w:val="144"/>
              <w:spacing w:beforeLines="0" w:afterLines="0" w:line="240" w:lineRule="auto"/>
              <w:rPr>
                <w:rFonts w:hint="eastAsia" w:ascii="Times New Roman" w:hAnsi="Times New Roman" w:eastAsia="宋体" w:cs="Times New Roman"/>
                <w:snapToGrid w:val="0"/>
                <w:kern w:val="21"/>
                <w:sz w:val="21"/>
                <w:szCs w:val="21"/>
                <w:lang w:val="en-US" w:eastAsia="zh-CN"/>
              </w:rPr>
            </w:pPr>
            <w:r>
              <w:rPr>
                <w:rFonts w:hint="eastAsia" w:ascii="Times New Roman" w:hAnsi="Times New Roman" w:cs="Times New Roman"/>
                <w:snapToGrid w:val="0"/>
                <w:kern w:val="21"/>
                <w:sz w:val="21"/>
                <w:szCs w:val="21"/>
                <w:lang w:val="en-US" w:eastAsia="zh-CN"/>
              </w:rPr>
              <w:t>/</w:t>
            </w:r>
          </w:p>
        </w:tc>
        <w:tc>
          <w:tcPr>
            <w:tcW w:w="1633" w:type="dxa"/>
            <w:vAlign w:val="center"/>
          </w:tcPr>
          <w:p>
            <w:pPr>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 w:val="21"/>
                <w:szCs w:val="21"/>
                <w:lang w:val="en-US" w:eastAsia="zh-CN"/>
              </w:rPr>
              <w:t>38</w:t>
            </w:r>
          </w:p>
        </w:tc>
        <w:tc>
          <w:tcPr>
            <w:tcW w:w="1633" w:type="dxa"/>
            <w:vAlign w:val="center"/>
          </w:tcPr>
          <w:p>
            <w:pPr>
              <w:jc w:val="center"/>
              <w:rPr>
                <w:rFonts w:hint="eastAsia" w:ascii="Times New Roman" w:hAnsi="Times New Roman" w:eastAsia="宋体" w:cs="Times New Roman"/>
                <w:snapToGrid w:val="0"/>
                <w:kern w:val="21"/>
                <w:sz w:val="21"/>
                <w:szCs w:val="21"/>
                <w:lang w:val="en-US" w:eastAsia="zh-CN"/>
              </w:rPr>
            </w:pPr>
            <w:r>
              <w:rPr>
                <w:rFonts w:hint="eastAsia" w:ascii="Times New Roman" w:hAnsi="Times New Roman" w:cs="Times New Roman"/>
                <w:snapToGrid w:val="0"/>
                <w:kern w:val="21"/>
                <w:sz w:val="21"/>
                <w:szCs w:val="21"/>
                <w:lang w:val="en-US" w:eastAsia="zh-CN"/>
              </w:rPr>
              <w:t>/</w:t>
            </w:r>
          </w:p>
        </w:tc>
        <w:tc>
          <w:tcPr>
            <w:tcW w:w="1974" w:type="dxa"/>
            <w:vAlign w:val="center"/>
          </w:tcPr>
          <w:p>
            <w:pPr>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 w:val="21"/>
                <w:szCs w:val="21"/>
                <w:lang w:val="en-US" w:eastAsia="zh-CN"/>
              </w:rPr>
              <w:t>38</w:t>
            </w:r>
          </w:p>
        </w:tc>
        <w:tc>
          <w:tcPr>
            <w:tcW w:w="1159" w:type="dxa"/>
            <w:vAlign w:val="center"/>
          </w:tcPr>
          <w:p>
            <w:pPr>
              <w:jc w:val="center"/>
              <w:rPr>
                <w:rFonts w:hint="default"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continue"/>
            <w:vAlign w:val="center"/>
          </w:tcPr>
          <w:p>
            <w:pPr>
              <w:pStyle w:val="144"/>
              <w:spacing w:beforeLines="0" w:afterLines="0" w:line="240" w:lineRule="auto"/>
              <w:rPr>
                <w:rFonts w:hAnsi="宋体" w:cs="宋体"/>
                <w:snapToGrid w:val="0"/>
                <w:kern w:val="21"/>
                <w:sz w:val="21"/>
                <w:szCs w:val="21"/>
              </w:rPr>
            </w:pPr>
          </w:p>
        </w:tc>
        <w:tc>
          <w:tcPr>
            <w:tcW w:w="1752" w:type="dxa"/>
            <w:vAlign w:val="center"/>
          </w:tcPr>
          <w:p>
            <w:pPr>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废包装材料</w:t>
            </w:r>
          </w:p>
        </w:tc>
        <w:tc>
          <w:tcPr>
            <w:tcW w:w="1950"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5</w:t>
            </w:r>
          </w:p>
        </w:tc>
        <w:tc>
          <w:tcPr>
            <w:tcW w:w="1557"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5</w:t>
            </w:r>
          </w:p>
        </w:tc>
        <w:tc>
          <w:tcPr>
            <w:tcW w:w="1772" w:type="dxa"/>
            <w:vAlign w:val="center"/>
          </w:tcPr>
          <w:p>
            <w:pPr>
              <w:pStyle w:val="144"/>
              <w:spacing w:beforeLines="0" w:afterLines="0" w:line="240" w:lineRule="auto"/>
              <w:rPr>
                <w:rFonts w:ascii="Times New Roman" w:hAnsi="Times New Roman" w:cs="Times New Roman"/>
                <w:snapToGrid w:val="0"/>
                <w:kern w:val="21"/>
                <w:sz w:val="21"/>
                <w:szCs w:val="21"/>
              </w:rPr>
            </w:pPr>
            <w:r>
              <w:rPr>
                <w:rFonts w:hint="eastAsia" w:ascii="Times New Roman" w:hAnsi="Times New Roman" w:cs="Times New Roman"/>
                <w:snapToGrid w:val="0"/>
                <w:kern w:val="21"/>
                <w:sz w:val="21"/>
                <w:szCs w:val="21"/>
                <w:lang w:val="en-US" w:eastAsia="zh-CN"/>
              </w:rPr>
              <w:t>/</w:t>
            </w:r>
          </w:p>
        </w:tc>
        <w:tc>
          <w:tcPr>
            <w:tcW w:w="1633" w:type="dxa"/>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35.88</w:t>
            </w:r>
          </w:p>
        </w:tc>
        <w:tc>
          <w:tcPr>
            <w:tcW w:w="1633"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974" w:type="dxa"/>
            <w:vAlign w:val="center"/>
          </w:tcPr>
          <w:p>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35.88</w:t>
            </w:r>
          </w:p>
        </w:tc>
        <w:tc>
          <w:tcPr>
            <w:tcW w:w="1159"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+30.88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continue"/>
            <w:vAlign w:val="center"/>
          </w:tcPr>
          <w:p>
            <w:pPr>
              <w:pStyle w:val="144"/>
              <w:spacing w:beforeLines="0" w:afterLines="0" w:line="240" w:lineRule="auto"/>
              <w:rPr>
                <w:rFonts w:hAnsi="宋体" w:cs="宋体"/>
                <w:snapToGrid w:val="0"/>
                <w:kern w:val="21"/>
                <w:sz w:val="21"/>
                <w:szCs w:val="21"/>
              </w:rPr>
            </w:pPr>
          </w:p>
        </w:tc>
        <w:tc>
          <w:tcPr>
            <w:tcW w:w="1752" w:type="dxa"/>
            <w:vAlign w:val="center"/>
          </w:tcPr>
          <w:p>
            <w:pPr>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废棕丝</w:t>
            </w:r>
          </w:p>
        </w:tc>
        <w:tc>
          <w:tcPr>
            <w:tcW w:w="1950" w:type="dxa"/>
            <w:vAlign w:val="center"/>
          </w:tcPr>
          <w:p>
            <w:pPr>
              <w:jc w:val="center"/>
              <w:rPr>
                <w:rFonts w:hint="eastAsia" w:ascii="Times New Roman" w:hAnsi="Times New Roman" w:eastAsia="宋体" w:cs="Times New Roman"/>
                <w:snapToGrid w:val="0"/>
                <w:kern w:val="21"/>
                <w:sz w:val="21"/>
                <w:szCs w:val="21"/>
                <w:lang w:val="en-US" w:eastAsia="zh-CN"/>
              </w:rPr>
            </w:pPr>
            <w:r>
              <w:rPr>
                <w:rFonts w:hint="eastAsia" w:ascii="Times New Roman" w:hAnsi="Times New Roman" w:cs="Times New Roman"/>
                <w:snapToGrid w:val="0"/>
                <w:kern w:val="21"/>
                <w:sz w:val="21"/>
                <w:szCs w:val="21"/>
                <w:lang w:val="en-US" w:eastAsia="zh-CN"/>
              </w:rPr>
              <w:t>/</w:t>
            </w:r>
          </w:p>
        </w:tc>
        <w:tc>
          <w:tcPr>
            <w:tcW w:w="1557" w:type="dxa"/>
            <w:vAlign w:val="center"/>
          </w:tcPr>
          <w:p>
            <w:pPr>
              <w:jc w:val="center"/>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772" w:type="dxa"/>
            <w:vAlign w:val="center"/>
          </w:tcPr>
          <w:p>
            <w:pPr>
              <w:pStyle w:val="144"/>
              <w:spacing w:beforeLines="0" w:afterLines="0" w:line="240" w:lineRule="auto"/>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633"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0.345</w:t>
            </w:r>
          </w:p>
        </w:tc>
        <w:tc>
          <w:tcPr>
            <w:tcW w:w="1633"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97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0.345</w:t>
            </w:r>
          </w:p>
        </w:tc>
        <w:tc>
          <w:tcPr>
            <w:tcW w:w="1159"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0.345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continue"/>
            <w:vAlign w:val="center"/>
          </w:tcPr>
          <w:p>
            <w:pPr>
              <w:pStyle w:val="144"/>
              <w:spacing w:beforeLines="0" w:afterLines="0" w:line="240" w:lineRule="auto"/>
              <w:rPr>
                <w:rFonts w:hAnsi="宋体" w:cs="宋体"/>
                <w:snapToGrid w:val="0"/>
                <w:kern w:val="21"/>
                <w:sz w:val="21"/>
                <w:szCs w:val="21"/>
              </w:rPr>
            </w:pPr>
          </w:p>
        </w:tc>
        <w:tc>
          <w:tcPr>
            <w:tcW w:w="1752" w:type="dxa"/>
            <w:vAlign w:val="center"/>
          </w:tcPr>
          <w:p>
            <w:pPr>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废滤网</w:t>
            </w:r>
          </w:p>
        </w:tc>
        <w:tc>
          <w:tcPr>
            <w:tcW w:w="1950" w:type="dxa"/>
            <w:vAlign w:val="center"/>
          </w:tcPr>
          <w:p>
            <w:pPr>
              <w:jc w:val="center"/>
              <w:rPr>
                <w:rFonts w:hint="eastAsia" w:ascii="Times New Roman" w:hAnsi="Times New Roman" w:eastAsia="宋体" w:cs="Times New Roman"/>
                <w:snapToGrid w:val="0"/>
                <w:kern w:val="21"/>
                <w:sz w:val="21"/>
                <w:szCs w:val="21"/>
                <w:lang w:val="en-US" w:eastAsia="zh-CN"/>
              </w:rPr>
            </w:pPr>
            <w:r>
              <w:rPr>
                <w:rFonts w:hint="eastAsia" w:ascii="Times New Roman" w:hAnsi="Times New Roman" w:cs="Times New Roman"/>
                <w:snapToGrid w:val="0"/>
                <w:kern w:val="21"/>
                <w:sz w:val="21"/>
                <w:szCs w:val="21"/>
                <w:lang w:val="en-US" w:eastAsia="zh-CN"/>
              </w:rPr>
              <w:t>/</w:t>
            </w:r>
          </w:p>
        </w:tc>
        <w:tc>
          <w:tcPr>
            <w:tcW w:w="1557" w:type="dxa"/>
            <w:vAlign w:val="center"/>
          </w:tcPr>
          <w:p>
            <w:pPr>
              <w:jc w:val="center"/>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772" w:type="dxa"/>
            <w:vAlign w:val="center"/>
          </w:tcPr>
          <w:p>
            <w:pPr>
              <w:pStyle w:val="144"/>
              <w:spacing w:beforeLines="0" w:afterLines="0" w:line="240" w:lineRule="auto"/>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633"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0.173</w:t>
            </w:r>
          </w:p>
        </w:tc>
        <w:tc>
          <w:tcPr>
            <w:tcW w:w="1633" w:type="dxa"/>
            <w:vAlign w:val="center"/>
          </w:tcPr>
          <w:p>
            <w:pPr>
              <w:jc w:val="center"/>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97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0.173</w:t>
            </w:r>
          </w:p>
        </w:tc>
        <w:tc>
          <w:tcPr>
            <w:tcW w:w="1159"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0.173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restart"/>
            <w:vAlign w:val="center"/>
          </w:tcPr>
          <w:p>
            <w:pPr>
              <w:pStyle w:val="144"/>
              <w:spacing w:beforeLines="0" w:afterLines="0" w:line="240" w:lineRule="auto"/>
              <w:rPr>
                <w:rFonts w:hint="eastAsia" w:hAnsi="宋体" w:eastAsia="宋体" w:cs="宋体"/>
                <w:snapToGrid w:val="0"/>
                <w:kern w:val="21"/>
                <w:sz w:val="21"/>
                <w:szCs w:val="21"/>
                <w:lang w:eastAsia="zh-CN"/>
              </w:rPr>
            </w:pPr>
            <w:r>
              <w:rPr>
                <w:rFonts w:hint="eastAsia" w:hAnsi="宋体" w:cs="宋体"/>
                <w:snapToGrid w:val="0"/>
                <w:kern w:val="21"/>
                <w:sz w:val="21"/>
                <w:szCs w:val="21"/>
                <w:lang w:eastAsia="zh-CN"/>
              </w:rPr>
              <w:t>危险废物</w:t>
            </w:r>
          </w:p>
        </w:tc>
        <w:tc>
          <w:tcPr>
            <w:tcW w:w="1752" w:type="dxa"/>
            <w:vAlign w:val="center"/>
          </w:tcPr>
          <w:p>
            <w:pPr>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废机油</w:t>
            </w:r>
          </w:p>
        </w:tc>
        <w:tc>
          <w:tcPr>
            <w:tcW w:w="1950"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557" w:type="dxa"/>
            <w:vAlign w:val="center"/>
          </w:tcPr>
          <w:p>
            <w:pPr>
              <w:jc w:val="center"/>
              <w:rPr>
                <w:rFonts w:ascii="Times New Roman" w:hAnsi="Times New Roman"/>
                <w:sz w:val="21"/>
                <w:szCs w:val="21"/>
              </w:rPr>
            </w:pPr>
            <w:r>
              <w:rPr>
                <w:rFonts w:hint="eastAsia" w:ascii="Times New Roman" w:hAnsi="Times New Roman"/>
                <w:sz w:val="21"/>
                <w:szCs w:val="21"/>
                <w:lang w:val="en-US" w:eastAsia="zh-CN"/>
              </w:rPr>
              <w:t>/</w:t>
            </w:r>
          </w:p>
        </w:tc>
        <w:tc>
          <w:tcPr>
            <w:tcW w:w="1772" w:type="dxa"/>
            <w:vAlign w:val="center"/>
          </w:tcPr>
          <w:p>
            <w:pPr>
              <w:pStyle w:val="144"/>
              <w:spacing w:beforeLines="0" w:afterLines="0" w:line="240" w:lineRule="auto"/>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633"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1.6</w:t>
            </w:r>
          </w:p>
        </w:tc>
        <w:tc>
          <w:tcPr>
            <w:tcW w:w="1633" w:type="dxa"/>
            <w:vAlign w:val="center"/>
          </w:tcPr>
          <w:p>
            <w:pPr>
              <w:jc w:val="center"/>
              <w:rPr>
                <w:rFonts w:ascii="Times New Roman" w:hAnsi="Times New Roman"/>
                <w:sz w:val="21"/>
                <w:szCs w:val="21"/>
              </w:rPr>
            </w:pPr>
            <w:r>
              <w:rPr>
                <w:rFonts w:hint="eastAsia" w:ascii="Times New Roman" w:hAnsi="Times New Roman"/>
                <w:sz w:val="21"/>
                <w:szCs w:val="21"/>
                <w:lang w:val="en-US" w:eastAsia="zh-CN"/>
              </w:rPr>
              <w:t>/</w:t>
            </w:r>
          </w:p>
        </w:tc>
        <w:tc>
          <w:tcPr>
            <w:tcW w:w="197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1.6</w:t>
            </w:r>
          </w:p>
        </w:tc>
        <w:tc>
          <w:tcPr>
            <w:tcW w:w="1159" w:type="dxa"/>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continue"/>
            <w:vAlign w:val="center"/>
          </w:tcPr>
          <w:p>
            <w:pPr>
              <w:pStyle w:val="144"/>
              <w:spacing w:beforeLines="0" w:afterLines="0" w:line="240" w:lineRule="auto"/>
              <w:rPr>
                <w:rFonts w:hAnsi="宋体" w:cs="宋体"/>
                <w:snapToGrid w:val="0"/>
                <w:kern w:val="21"/>
                <w:sz w:val="21"/>
                <w:szCs w:val="21"/>
              </w:rPr>
            </w:pPr>
          </w:p>
        </w:tc>
        <w:tc>
          <w:tcPr>
            <w:tcW w:w="1752" w:type="dxa"/>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废包装桶</w:t>
            </w:r>
          </w:p>
        </w:tc>
        <w:tc>
          <w:tcPr>
            <w:tcW w:w="1950" w:type="dxa"/>
            <w:vAlign w:val="center"/>
          </w:tcPr>
          <w:p>
            <w:pPr>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557" w:type="dxa"/>
            <w:vAlign w:val="center"/>
          </w:tcPr>
          <w:p>
            <w:pPr>
              <w:jc w:val="center"/>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772" w:type="dxa"/>
            <w:vAlign w:val="center"/>
          </w:tcPr>
          <w:p>
            <w:pPr>
              <w:pStyle w:val="144"/>
              <w:spacing w:beforeLines="0" w:afterLines="0" w:line="240" w:lineRule="auto"/>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633"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0.1</w:t>
            </w:r>
          </w:p>
        </w:tc>
        <w:tc>
          <w:tcPr>
            <w:tcW w:w="1633" w:type="dxa"/>
            <w:vAlign w:val="center"/>
          </w:tcPr>
          <w:p>
            <w:pPr>
              <w:jc w:val="center"/>
              <w:rPr>
                <w:rFonts w:ascii="Times New Roman" w:hAnsi="Times New Roman"/>
                <w:sz w:val="21"/>
                <w:szCs w:val="21"/>
              </w:rPr>
            </w:pPr>
            <w:r>
              <w:rPr>
                <w:rFonts w:hint="eastAsia" w:ascii="Times New Roman" w:hAnsi="Times New Roman"/>
                <w:sz w:val="21"/>
                <w:szCs w:val="21"/>
                <w:lang w:val="en-US" w:eastAsia="zh-CN"/>
              </w:rPr>
              <w:t>/</w:t>
            </w:r>
          </w:p>
        </w:tc>
        <w:tc>
          <w:tcPr>
            <w:tcW w:w="1974"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0.1</w:t>
            </w:r>
          </w:p>
        </w:tc>
        <w:tc>
          <w:tcPr>
            <w:tcW w:w="1159"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continue"/>
          </w:tcPr>
          <w:p>
            <w:pPr>
              <w:pStyle w:val="144"/>
              <w:spacing w:beforeLines="0" w:afterLines="0" w:line="240" w:lineRule="auto"/>
              <w:rPr>
                <w:rFonts w:hAnsi="宋体" w:cs="宋体"/>
                <w:snapToGrid w:val="0"/>
                <w:kern w:val="21"/>
                <w:sz w:val="21"/>
                <w:szCs w:val="21"/>
              </w:rPr>
            </w:pPr>
          </w:p>
        </w:tc>
        <w:tc>
          <w:tcPr>
            <w:tcW w:w="0" w:type="auto"/>
            <w:vAlign w:val="center"/>
          </w:tcPr>
          <w:p>
            <w:pPr>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废弃的含油抹布、劳保用品</w:t>
            </w:r>
          </w:p>
        </w:tc>
        <w:tc>
          <w:tcPr>
            <w:tcW w:w="0" w:type="auto"/>
            <w:vAlign w:val="center"/>
          </w:tcPr>
          <w:p>
            <w:pPr>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557" w:type="dxa"/>
            <w:vAlign w:val="center"/>
          </w:tcPr>
          <w:p>
            <w:pPr>
              <w:jc w:val="center"/>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772" w:type="dxa"/>
            <w:vAlign w:val="center"/>
          </w:tcPr>
          <w:p>
            <w:pPr>
              <w:pStyle w:val="144"/>
              <w:spacing w:beforeLines="0" w:afterLines="0" w:line="240" w:lineRule="auto"/>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0.03</w:t>
            </w:r>
          </w:p>
        </w:tc>
        <w:tc>
          <w:tcPr>
            <w:tcW w:w="1633" w:type="dxa"/>
            <w:vAlign w:val="center"/>
          </w:tcPr>
          <w:p>
            <w:pPr>
              <w:jc w:val="center"/>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0.03</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vMerge w:val="continue"/>
          </w:tcPr>
          <w:p>
            <w:pPr>
              <w:pStyle w:val="144"/>
              <w:spacing w:beforeLines="0" w:afterLines="0" w:line="240" w:lineRule="auto"/>
              <w:rPr>
                <w:rFonts w:hAnsi="宋体" w:cs="宋体"/>
                <w:snapToGrid w:val="0"/>
                <w:kern w:val="21"/>
                <w:sz w:val="21"/>
                <w:szCs w:val="21"/>
              </w:rPr>
            </w:pPr>
          </w:p>
        </w:tc>
        <w:tc>
          <w:tcPr>
            <w:tcW w:w="0" w:type="auto"/>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cs="Times New Roman"/>
                <w:color w:val="auto"/>
                <w:sz w:val="21"/>
                <w:szCs w:val="21"/>
                <w:highlight w:val="none"/>
                <w:lang w:eastAsia="zh-CN"/>
              </w:rPr>
              <w:t>喷淋废液</w:t>
            </w:r>
          </w:p>
        </w:tc>
        <w:tc>
          <w:tcPr>
            <w:tcW w:w="0" w:type="auto"/>
            <w:vAlign w:val="center"/>
          </w:tcPr>
          <w:p>
            <w:pPr>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557" w:type="dxa"/>
            <w:vAlign w:val="center"/>
          </w:tcPr>
          <w:p>
            <w:pPr>
              <w:jc w:val="center"/>
              <w:rPr>
                <w:rFonts w:ascii="Times New Roman" w:hAnsi="Times New Roman"/>
                <w:sz w:val="21"/>
                <w:szCs w:val="21"/>
              </w:rPr>
            </w:pPr>
            <w:r>
              <w:rPr>
                <w:rFonts w:hint="eastAsia" w:ascii="Times New Roman" w:hAnsi="Times New Roman"/>
                <w:sz w:val="21"/>
                <w:szCs w:val="21"/>
                <w:lang w:val="en-US" w:eastAsia="zh-CN"/>
              </w:rPr>
              <w:t>/</w:t>
            </w:r>
          </w:p>
        </w:tc>
        <w:tc>
          <w:tcPr>
            <w:tcW w:w="1772" w:type="dxa"/>
            <w:vAlign w:val="center"/>
          </w:tcPr>
          <w:p>
            <w:pPr>
              <w:pStyle w:val="144"/>
              <w:spacing w:beforeLines="0" w:afterLines="0" w:line="240" w:lineRule="auto"/>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w:t>
            </w:r>
          </w:p>
        </w:tc>
        <w:tc>
          <w:tcPr>
            <w:tcW w:w="1633" w:type="dxa"/>
            <w:vAlign w:val="center"/>
          </w:tcPr>
          <w:p>
            <w:pPr>
              <w:jc w:val="center"/>
              <w:rPr>
                <w:rFonts w:ascii="Times New Roman" w:hAnsi="Times New Roman"/>
                <w:sz w:val="21"/>
                <w:szCs w:val="21"/>
              </w:rPr>
            </w:pPr>
            <w:r>
              <w:rPr>
                <w:rFonts w:hint="eastAsia" w:ascii="Times New Roman" w:hAnsi="Times New Roman"/>
                <w:sz w:val="21"/>
                <w:szCs w:val="21"/>
                <w:lang w:val="en-US" w:eastAsia="zh-CN"/>
              </w:rPr>
              <w:t>/</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dxa"/>
          </w:tcPr>
          <w:p>
            <w:pPr>
              <w:pStyle w:val="144"/>
              <w:spacing w:beforeLines="0" w:afterLines="0" w:line="240" w:lineRule="auto"/>
              <w:rPr>
                <w:rFonts w:hint="eastAsia" w:hAnsi="宋体" w:eastAsia="宋体" w:cs="宋体"/>
                <w:snapToGrid w:val="0"/>
                <w:kern w:val="21"/>
                <w:sz w:val="21"/>
                <w:szCs w:val="21"/>
                <w:lang w:val="en-US" w:eastAsia="zh-CN"/>
              </w:rPr>
            </w:pPr>
            <w:r>
              <w:rPr>
                <w:rFonts w:hint="eastAsia" w:hAnsi="宋体" w:cs="宋体"/>
                <w:snapToGrid w:val="0"/>
                <w:kern w:val="21"/>
                <w:sz w:val="21"/>
                <w:szCs w:val="21"/>
                <w:lang w:val="en-US" w:eastAsia="zh-CN"/>
              </w:rPr>
              <w:t>/</w:t>
            </w:r>
          </w:p>
        </w:tc>
        <w:tc>
          <w:tcPr>
            <w:tcW w:w="0" w:type="auto"/>
            <w:vAlign w:val="center"/>
          </w:tcPr>
          <w:p>
            <w:pPr>
              <w:snapToGrid w:val="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吨桶</w:t>
            </w:r>
          </w:p>
        </w:tc>
        <w:tc>
          <w:tcPr>
            <w:tcW w:w="0" w:type="auto"/>
            <w:vAlign w:val="center"/>
          </w:tcPr>
          <w:p>
            <w:pPr>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557" w:type="dxa"/>
            <w:vAlign w:val="center"/>
          </w:tcPr>
          <w:p>
            <w:pPr>
              <w:jc w:val="center"/>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1772" w:type="dxa"/>
            <w:vAlign w:val="center"/>
          </w:tcPr>
          <w:p>
            <w:pPr>
              <w:pStyle w:val="144"/>
              <w:spacing w:beforeLines="0" w:afterLines="0" w:line="240" w:lineRule="auto"/>
              <w:rPr>
                <w:rFonts w:ascii="Times New Roman" w:hAnsi="Times New Roman"/>
                <w:sz w:val="21"/>
                <w:szCs w:val="21"/>
              </w:rPr>
            </w:pPr>
            <w:r>
              <w:rPr>
                <w:rFonts w:hint="eastAsia" w:ascii="Times New Roman" w:hAnsi="Times New Roman" w:cs="Times New Roman"/>
                <w:snapToGrid w:val="0"/>
                <w:kern w:val="21"/>
                <w:sz w:val="21"/>
                <w:szCs w:val="21"/>
                <w:lang w:val="en-US" w:eastAsia="zh-CN"/>
              </w:rPr>
              <w:t>/</w:t>
            </w:r>
          </w:p>
        </w:tc>
        <w:tc>
          <w:tcPr>
            <w:tcW w:w="0" w:type="auto"/>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82个/a</w:t>
            </w:r>
          </w:p>
        </w:tc>
        <w:tc>
          <w:tcPr>
            <w:tcW w:w="1633" w:type="dxa"/>
            <w:vAlign w:val="center"/>
          </w:tcPr>
          <w:p>
            <w:pPr>
              <w:jc w:val="center"/>
              <w:rPr>
                <w:rFonts w:ascii="Times New Roman" w:hAnsi="Times New Roman"/>
                <w:sz w:val="21"/>
                <w:szCs w:val="21"/>
              </w:rPr>
            </w:pPr>
            <w:r>
              <w:rPr>
                <w:rFonts w:hint="eastAsia" w:ascii="Times New Roman" w:hAnsi="Times New Roman"/>
                <w:sz w:val="21"/>
                <w:szCs w:val="21"/>
                <w:lang w:val="en-US" w:eastAsia="zh-CN"/>
              </w:rPr>
              <w:t>/</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82个/a</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+82个/a</w:t>
            </w:r>
          </w:p>
        </w:tc>
      </w:tr>
    </w:tbl>
    <w:p>
      <w:pPr>
        <w:pStyle w:val="144"/>
        <w:spacing w:line="460" w:lineRule="exact"/>
        <w:jc w:val="left"/>
        <w:rPr>
          <w:snapToGrid w:val="0"/>
          <w:spacing w:val="-6"/>
          <w:kern w:val="21"/>
          <w:szCs w:val="21"/>
        </w:rPr>
      </w:pPr>
      <w:r>
        <w:rPr>
          <w:rFonts w:hAnsi="宋体"/>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Ansi="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Ansi="宋体"/>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Ansi="宋体"/>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Ansi="宋体"/>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Ansi="宋体"/>
          <w:szCs w:val="21"/>
        </w:rPr>
        <w:t>⑤</w:t>
      </w:r>
      <w:r>
        <w:rPr>
          <w:snapToGrid w:val="0"/>
          <w:spacing w:val="-16"/>
          <w:kern w:val="21"/>
          <w:szCs w:val="21"/>
        </w:rPr>
        <w:fldChar w:fldCharType="end"/>
      </w:r>
      <w:r>
        <w:rPr>
          <w:rFonts w:hAnsi="宋体"/>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Ansi="宋体"/>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Ansi="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Ansi="宋体"/>
          <w:szCs w:val="21"/>
        </w:rPr>
        <w:t>①</w:t>
      </w:r>
      <w:r>
        <w:rPr>
          <w:snapToGrid w:val="0"/>
          <w:spacing w:val="-6"/>
          <w:kern w:val="21"/>
          <w:szCs w:val="21"/>
        </w:rPr>
        <w:fldChar w:fldCharType="end"/>
      </w:r>
    </w:p>
    <w:p>
      <w:pPr>
        <w:pStyle w:val="144"/>
        <w:spacing w:line="460" w:lineRule="exact"/>
        <w:jc w:val="left"/>
        <w:rPr>
          <w:snapToGrid w:val="0"/>
          <w:spacing w:val="-6"/>
          <w:kern w:val="21"/>
          <w:szCs w:val="21"/>
        </w:rPr>
      </w:pPr>
    </w:p>
    <w:p>
      <w:pPr>
        <w:pStyle w:val="144"/>
        <w:spacing w:line="460" w:lineRule="exact"/>
        <w:jc w:val="left"/>
        <w:rPr>
          <w:snapToGrid w:val="0"/>
          <w:spacing w:val="-6"/>
          <w:kern w:val="21"/>
          <w:szCs w:val="21"/>
        </w:rPr>
      </w:pPr>
    </w:p>
    <w:p>
      <w:pPr>
        <w:pStyle w:val="144"/>
        <w:spacing w:line="460" w:lineRule="exact"/>
        <w:jc w:val="left"/>
        <w:rPr>
          <w:rFonts w:hint="eastAsia" w:eastAsia="宋体"/>
          <w:lang w:eastAsia="zh-CN"/>
        </w:rPr>
      </w:pPr>
    </w:p>
    <w:sectPr>
      <w:headerReference r:id="rId22" w:type="default"/>
      <w:pgSz w:w="16838" w:h="11906" w:orient="landscape"/>
      <w:pgMar w:top="1134" w:right="1134" w:bottom="1134" w:left="1134" w:header="851" w:footer="992"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Script">
    <w:altName w:val="Segoe Script"/>
    <w:panose1 w:val="00000000000000000000"/>
    <w:charset w:val="00"/>
    <w:family w:val="script"/>
    <w:pitch w:val="default"/>
    <w:sig w:usb0="00000000" w:usb1="00000000" w:usb2="00000000" w:usb3="00000000" w:csb0="00000000" w:csb1="00000000"/>
  </w:font>
  <w:font w:name="Segoe Script">
    <w:panose1 w:val="020B0504020000000003"/>
    <w:charset w:val="00"/>
    <w:family w:val="auto"/>
    <w:pitch w:val="default"/>
    <w:sig w:usb0="0000028F" w:usb1="00000000" w:usb2="00000000" w:usb3="00000000" w:csb0="0000009F" w:csb1="00000000"/>
  </w:font>
  <w:font w:name="Arial Unicode MS">
    <w:panose1 w:val="020B0604020202020204"/>
    <w:charset w:val="86"/>
    <w:family w:val="swiss"/>
    <w:pitch w:val="default"/>
    <w:sig w:usb0="FFFFFFFF" w:usb1="E9FFFFFF" w:usb2="0000003F" w:usb3="00000000" w:csb0="603F01FF" w:csb1="FFFF0000"/>
  </w:font>
  <w:font w:name="Brush Script MT">
    <w:panose1 w:val="03060802040406070304"/>
    <w:charset w:val="00"/>
    <w:family w:val="script"/>
    <w:pitch w:val="default"/>
    <w:sig w:usb0="00000003" w:usb1="00000000" w:usb2="00000000" w:usb3="00000000" w:csb0="20000001" w:csb1="00000000"/>
  </w:font>
  <w:font w:name="TimesNewRomanPSMT">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等线">
    <w:altName w:val="Arial Unicode MS"/>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8"/>
                            <w:rPr>
                              <w:rStyle w:val="44"/>
                            </w:rPr>
                          </w:pPr>
                          <w:r>
                            <w:fldChar w:fldCharType="begin"/>
                          </w:r>
                          <w:r>
                            <w:rPr>
                              <w:rStyle w:val="44"/>
                            </w:rPr>
                            <w:instrText xml:space="preserve">PAGE  </w:instrText>
                          </w:r>
                          <w:r>
                            <w:fldChar w:fldCharType="separate"/>
                          </w:r>
                          <w:r>
                            <w:rPr>
                              <w:rStyle w:val="44"/>
                            </w:rPr>
                            <w:t>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yieVGs0BAACnAwAADgAAAAAAAAABACAAAAAeAQAAZHJzL2Uy&#10;b0RvYy54bWxQSwUGAAAAAAYABgBZAQAAXQUAAAAA&#10;">
              <v:fill on="f" focussize="0,0"/>
              <v:stroke on="f"/>
              <v:imagedata o:title=""/>
              <o:lock v:ext="edit" aspectratio="f"/>
              <v:textbox inset="0mm,0mm,0mm,0mm" style="mso-fit-shape-to-text:t;">
                <w:txbxContent>
                  <w:p>
                    <w:pPr>
                      <w:pStyle w:val="28"/>
                      <w:rPr>
                        <w:rStyle w:val="44"/>
                      </w:rPr>
                    </w:pPr>
                    <w:r>
                      <w:fldChar w:fldCharType="begin"/>
                    </w:r>
                    <w:r>
                      <w:rPr>
                        <w:rStyle w:val="44"/>
                      </w:rPr>
                      <w:instrText xml:space="preserve">PAGE  </w:instrText>
                    </w:r>
                    <w:r>
                      <w:fldChar w:fldCharType="separate"/>
                    </w:r>
                    <w:r>
                      <w:rPr>
                        <w:rStyle w:val="44"/>
                      </w:rP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8"/>
                          </w:pPr>
                          <w:r>
                            <w:fldChar w:fldCharType="begin"/>
                          </w:r>
                          <w:r>
                            <w:instrText xml:space="preserve"> PAGE  \* MERGEFORMAT </w:instrText>
                          </w:r>
                          <w:r>
                            <w:fldChar w:fldCharType="separate"/>
                          </w:r>
                          <w:r>
                            <w:t>39</w:t>
                          </w:r>
                          <w:r>
                            <w:fldChar w:fldCharType="end"/>
                          </w:r>
                        </w:p>
                      </w:txbxContent>
                    </wps:txbx>
                    <wps:bodyPr wrap="none" lIns="0" tIns="0" rIns="0" bIns="0" upright="1">
                      <a:spAutoFit/>
                    </wps:bodyPr>
                  </wps:wsp>
                </a:graphicData>
              </a:graphic>
            </wp:anchor>
          </w:drawing>
        </mc:Choice>
        <mc:Fallback>
          <w:pict>
            <v:shape id="文本框 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gG2cPOAQAAqQMAAA4AAAAAAAAAAQAgAAAAHgEAAGRycy9l&#10;Mm9Eb2MueG1sUEsFBgAAAAAGAAYAWQEAAF4FA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7456" behindDoc="0" locked="0" layoutInCell="1" allowOverlap="1">
              <wp:simplePos x="0" y="0"/>
              <wp:positionH relativeFrom="margin">
                <wp:posOffset>13335</wp:posOffset>
              </wp:positionH>
              <wp:positionV relativeFrom="paragraph">
                <wp:posOffset>-12065</wp:posOffset>
              </wp:positionV>
              <wp:extent cx="1828800" cy="1828800"/>
              <wp:effectExtent l="0" t="0" r="0" b="0"/>
              <wp:wrapNone/>
              <wp:docPr id="1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8"/>
                          </w:pPr>
                          <w:r>
                            <w:fldChar w:fldCharType="begin"/>
                          </w:r>
                          <w:r>
                            <w:instrText xml:space="preserve"> PAGE  \* MERGEFORMAT </w:instrText>
                          </w:r>
                          <w:r>
                            <w:fldChar w:fldCharType="separate"/>
                          </w:r>
                          <w:r>
                            <w:t>38</w:t>
                          </w:r>
                          <w:r>
                            <w:fldChar w:fldCharType="end"/>
                          </w:r>
                        </w:p>
                      </w:txbxContent>
                    </wps:txbx>
                    <wps:bodyPr wrap="none" lIns="0" tIns="0" rIns="0" bIns="0" upright="1">
                      <a:spAutoFit/>
                    </wps:bodyPr>
                  </wps:wsp>
                </a:graphicData>
              </a:graphic>
            </wp:anchor>
          </w:drawing>
        </mc:Choice>
        <mc:Fallback>
          <w:pict>
            <v:shape id="文本框 27" o:spid="_x0000_s1026" o:spt="202" type="#_x0000_t202" style="position:absolute;left:0pt;margin-left:1.05pt;margin-top:-0.95pt;height:144pt;width:144pt;mso-position-horizontal-relative:margin;mso-wrap-style:none;z-index:251667456;mso-width-relative:page;mso-height-relative:page;" filled="f" stroked="f" coordsize="21600,21600" o:gfxdata="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Ce0dr1AAAAAgBAAAPAAAAAAAAAAEAIAAAACIAAABkcnMv&#10;ZG93bnJldi54bWxQSwECFAAUAAAACACHTuJAj6F4C84BAACpAwAADgAAAAAAAAABACAAAAAjAQAA&#10;ZHJzL2Uyb0RvYy54bWxQSwUGAAAAAAYABgBZAQAAYwU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8"/>
                          </w:pPr>
                          <w:r>
                            <w:fldChar w:fldCharType="begin"/>
                          </w:r>
                          <w:r>
                            <w:instrText xml:space="preserve"> PAGE  \* MERGEFORMAT </w:instrText>
                          </w:r>
                          <w:r>
                            <w:fldChar w:fldCharType="separate"/>
                          </w:r>
                          <w:r>
                            <w:t>75</w:t>
                          </w:r>
                          <w:r>
                            <w:fldChar w:fldCharType="end"/>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09SWDOAQAAqQMAAA4AAAAAAAAAAQAgAAAAHgEAAGRycy9l&#10;Mm9Eb2MueG1sUEsFBgAAAAAGAAYAWQEAAF4FA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75</w:t>
                    </w:r>
                    <w:r>
                      <w:fldChar w:fldCharType="end"/>
                    </w:r>
                  </w:p>
                </w:txbxContent>
              </v:textbox>
            </v:shape>
          </w:pict>
        </mc:Fallback>
      </mc:AlternateContent>
    </w:r>
  </w:p>
  <w:p>
    <w:pPr>
      <w:pStyle w:val="2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8"/>
                            <w:rPr>
                              <w:rStyle w:val="44"/>
                            </w:rPr>
                          </w:pPr>
                          <w:r>
                            <w:fldChar w:fldCharType="begin"/>
                          </w:r>
                          <w:r>
                            <w:rPr>
                              <w:rStyle w:val="44"/>
                            </w:rPr>
                            <w:instrText xml:space="preserve">PAGE  </w:instrText>
                          </w:r>
                          <w:r>
                            <w:fldChar w:fldCharType="separate"/>
                          </w:r>
                          <w:r>
                            <w:rPr>
                              <w:rStyle w:val="44"/>
                            </w:rPr>
                            <w:t>II</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LDwzZM0BAACnAwAADgAAAAAAAAABACAAAAAeAQAAZHJzL2Uy&#10;b0RvYy54bWxQSwUGAAAAAAYABgBZAQAAXQUAAAAA&#10;">
              <v:fill on="f" focussize="0,0"/>
              <v:stroke on="f"/>
              <v:imagedata o:title=""/>
              <o:lock v:ext="edit" aspectratio="f"/>
              <v:textbox inset="0mm,0mm,0mm,0mm" style="mso-fit-shape-to-text:t;">
                <w:txbxContent>
                  <w:p>
                    <w:pPr>
                      <w:pStyle w:val="28"/>
                      <w:rPr>
                        <w:rStyle w:val="44"/>
                      </w:rPr>
                    </w:pPr>
                    <w:r>
                      <w:fldChar w:fldCharType="begin"/>
                    </w:r>
                    <w:r>
                      <w:rPr>
                        <w:rStyle w:val="44"/>
                      </w:rPr>
                      <w:instrText xml:space="preserve">PAGE  </w:instrText>
                    </w:r>
                    <w:r>
                      <w:fldChar w:fldCharType="separate"/>
                    </w:r>
                    <w:r>
                      <w:rPr>
                        <w:rStyle w:val="44"/>
                      </w:rPr>
                      <w:t>II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22"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aVvVfOAQAAqQMAAA4AAAAAAAAAAQAgAAAAHgEAAGRycy9l&#10;Mm9Eb2MueG1sUEsFBgAAAAAGAAYAWQEAAF4FA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8"/>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23"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TIcn84BAACpAwAADgAAAGRycy9lMm9Eb2MueG1srVPNjtMwEL4j8Q6W&#10;7zRpk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YY2YcmZE5Ze/PL92+XHr8vPr2z1&#10;OgnUB6yo7iFQZRzu/EDFcxwpmHgPLdj0JUaM8iTv+SqvGiKT6dJ6tV6XlJKUmx3CLx6vB8D4VnnL&#10;klFzoPfLsorTe4xj6VySujl/r43Jb2jcXwHCHCMqL8F0OzEZJ05WHPbDRG/vmzOx62kRau5o7zkz&#10;7xzpnHZmNmA29rNxDKAPHQ26zFNiuD1GGilPmjqMsMQwOfSCmeu0bWlF/vRz1eMft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EyHJ/OAQAAqQMAAA4AAAAAAAAAAQAgAAAAHgEAAGRycy9l&#10;Mm9Eb2MueG1sUEsFBgAAAAAGAAYAWQEAAF4FA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8"/>
                          </w:pPr>
                          <w:r>
                            <w:fldChar w:fldCharType="begin"/>
                          </w:r>
                          <w:r>
                            <w:instrText xml:space="preserve"> PAGE  \* MERGEFORMAT </w:instrText>
                          </w:r>
                          <w:r>
                            <w:fldChar w:fldCharType="separate"/>
                          </w:r>
                          <w:r>
                            <w:t>11</w:t>
                          </w:r>
                          <w:r>
                            <w:fldChar w:fldCharType="end"/>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RRc4BAACpAwAADgAAAGRycy9lMm9Eb2MueG1srVNLbtswEN0XyB0I&#10;7mPJQlE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XiJlSUWGbwxc/fv51//Dr//Eqq&#10;t0mg3kONdU8eK+Nw5wYsnuOAwcR7kMGkLzIimEd5Txd5xRAJT5dW1WpVYopjbnYQv3i+7gPE98IZ&#10;koyGBny/LCs7PkIcS+eS1M26e6V1fkNt/wog5hgReQmm24nJOHGy4rAbJno7156QXY+L0FCLe0+J&#10;frCoc9qZ2QizsZuNgw9q3+Ggyzwl+NtDxJHypKnDCIsMk4MvmLlO25ZW5E8/Vz3/Y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I/yEUXOAQAAqQMAAA4AAAAAAAAAAQAgAAAAHgEAAGRycy9l&#10;Mm9Eb2MueG1sUEsFBgAAAAAGAAYAWQEAAF4FA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8"/>
                          </w:pPr>
                          <w:r>
                            <w:fldChar w:fldCharType="begin"/>
                          </w:r>
                          <w:r>
                            <w:instrText xml:space="preserve"> PAGE  \* MERGEFORMAT </w:instrText>
                          </w:r>
                          <w:r>
                            <w:fldChar w:fldCharType="separate"/>
                          </w:r>
                          <w:r>
                            <w:t>22</w:t>
                          </w:r>
                          <w:r>
                            <w:fldChar w:fldCharType="end"/>
                          </w:r>
                        </w:p>
                      </w:txbxContent>
                    </wps:txbx>
                    <wps:bodyPr wrap="none" lIns="0" tIns="0" rIns="0" bIns="0" upright="1">
                      <a:spAutoFit/>
                    </wps:bodyPr>
                  </wps:wsp>
                </a:graphicData>
              </a:graphic>
            </wp:anchor>
          </w:drawing>
        </mc:Choice>
        <mc:Fallback>
          <w:pict>
            <v:shape id="文本框 25"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FWwjc4BAACpAwAADgAAAGRycy9lMm9Eb2MueG1srVPNjtMwEL4j8Q6W&#10;7zRpE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EOb8JIzJyy9+OX7t8uPX5efX9nq&#10;VRKo91hR3Z2nyji8hYGK5zhSMPEe2mDTlxgxypO856u8aohMpkvr1XpdUkpSbnYIv3i47gPGdwos&#10;S0bNA71fllWcPmAcS+eS1M3BrTYmv6FxfwUIc4yovATT7cRknDhZcdgPE709NGdi19Mi1NzR3nNm&#10;3jvSOe3MbITZ2M/G0Qd96GjQZZ4S/ZtjpJHypKnDCEsMk0MvmLlO25ZW5E8/Vz38Y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hVsI3OAQAAqQMAAA4AAAAAAAAAAQAgAAAAHgEAAGRycy9l&#10;Mm9Eb2MueG1sUEsFBgAAAAAGAAYAWQEAAF4FA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0"/>
      </w:pBdr>
    </w:pPr>
    <w:r>
      <w:rPr>
        <w:rFonts w:hint="eastAsia" w:hAnsi="宋体"/>
        <w:lang w:eastAsia="zh-CN"/>
      </w:rPr>
      <w:t>长兴钱宇纺织有限公司年产高档纺织面料3800万米、家纺四件套10万套建设项目</w:t>
    </w:r>
    <w:r>
      <w:rPr>
        <w:rFonts w:hint="eastAsia" w:hAnsi="宋体"/>
      </w:rPr>
      <w:t>环境</w:t>
    </w:r>
    <w:r>
      <w:rPr>
        <w:rFonts w:hint="eastAsia" w:hAnsi="宋体"/>
        <w:color w:val="000000" w:themeColor="text1"/>
        <w14:textFill>
          <w14:solidFill>
            <w14:schemeClr w14:val="tx1"/>
          </w14:solidFill>
        </w14:textFill>
      </w:rPr>
      <w:t>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4" w:space="0"/>
      </w:pBdr>
    </w:pPr>
    <w:r>
      <w:rPr>
        <w:rFonts w:hint="eastAsia" w:hAnsi="宋体"/>
        <w:lang w:eastAsia="zh-CN"/>
      </w:rPr>
      <w:t>长兴钱宇纺织有限公司年产高档纺织面料3800万米、家纺四件套10万套建设项目</w:t>
    </w:r>
    <w:r>
      <w:rPr>
        <w:rFonts w:hint="eastAsia" w:hAnsi="宋体"/>
      </w:rPr>
      <w:t>环境</w:t>
    </w:r>
    <w:r>
      <w:rPr>
        <w:rFonts w:hint="eastAsia" w:hAnsi="宋体"/>
        <w:color w:val="000000" w:themeColor="text1"/>
        <w14:textFill>
          <w14:solidFill>
            <w14:schemeClr w14:val="tx1"/>
          </w14:solidFill>
        </w14:textFill>
      </w:rPr>
      <w:t>影响报告表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0"/>
      </w:pBdr>
      <w:rPr>
        <w:rFonts w:hAnsi="宋体"/>
        <w:color w:val="000000" w:themeColor="text1"/>
        <w14:textFill>
          <w14:solidFill>
            <w14:schemeClr w14:val="tx1"/>
          </w14:solidFill>
        </w14:textFill>
      </w:rPr>
    </w:pPr>
    <w:r>
      <w:rPr>
        <w:rFonts w:hint="eastAsia" w:hAnsi="宋体"/>
        <w:lang w:eastAsia="zh-CN"/>
      </w:rPr>
      <w:t>长兴钱宇纺织有限公司年产高档纺织面料3800万米、家纺四件套10万套建设项目</w:t>
    </w:r>
    <w:r>
      <w:rPr>
        <w:rFonts w:hint="eastAsia" w:hAnsi="宋体"/>
      </w:rPr>
      <w:t>环境</w:t>
    </w:r>
    <w:r>
      <w:rPr>
        <w:rFonts w:hint="eastAsia" w:hAnsi="宋体"/>
        <w:color w:val="000000" w:themeColor="text1"/>
        <w14:textFill>
          <w14:solidFill>
            <w14:schemeClr w14:val="tx1"/>
          </w14:solidFill>
        </w14:textFill>
      </w:rPr>
      <w:t>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0"/>
      </w:pBdr>
      <w:rPr>
        <w:rFonts w:hAnsi="宋体"/>
        <w:color w:val="000000" w:themeColor="text1"/>
        <w14:textFill>
          <w14:solidFill>
            <w14:schemeClr w14:val="tx1"/>
          </w14:solidFill>
        </w14:textFill>
      </w:rPr>
    </w:pPr>
    <w:r>
      <w:rPr>
        <w:rFonts w:hint="eastAsia" w:hAnsi="宋体"/>
        <w:lang w:eastAsia="zh-CN"/>
      </w:rPr>
      <w:t>长兴钱宇纺织有限公司年产高档纺织面料3800万米、家纺四件套10万套建设项目</w:t>
    </w:r>
    <w:r>
      <w:rPr>
        <w:rFonts w:hint="eastAsia" w:hAnsi="宋体"/>
      </w:rPr>
      <w:t>环境</w:t>
    </w:r>
    <w:r>
      <w:rPr>
        <w:rFonts w:hint="eastAsia" w:hAnsi="宋体"/>
        <w:color w:val="000000" w:themeColor="text1"/>
        <w14:textFill>
          <w14:solidFill>
            <w14:schemeClr w14:val="tx1"/>
          </w14:solidFill>
        </w14:textFill>
      </w:rPr>
      <w:t>影响报告表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0"/>
      </w:pBdr>
    </w:pPr>
    <w:r>
      <w:rPr>
        <w:rFonts w:hint="eastAsia" w:hAnsi="宋体"/>
        <w:lang w:eastAsia="zh-CN"/>
      </w:rPr>
      <w:t>长兴钱宇纺织有限公司年产高档纺织面料3800万米、家纺四件套10万套建设项目</w:t>
    </w:r>
    <w:r>
      <w:rPr>
        <w:rFonts w:hint="eastAsia" w:hAnsi="宋体"/>
      </w:rPr>
      <w:t>环境</w:t>
    </w:r>
    <w:r>
      <w:rPr>
        <w:rFonts w:hint="eastAsia" w:hAnsi="宋体"/>
        <w:color w:val="000000" w:themeColor="text1"/>
        <w14:textFill>
          <w14:solidFill>
            <w14:schemeClr w14:val="tx1"/>
          </w14:solidFill>
        </w14:textFill>
      </w:rPr>
      <w:t>影响报告表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hAnsi="宋体"/>
        <w:lang w:eastAsia="zh-CN"/>
      </w:rPr>
      <w:t>长兴钱宇纺织有限公司年产高档纺织面料3800万米、家纺四件套10万套建设项目</w:t>
    </w:r>
    <w:r>
      <w:rPr>
        <w:rFonts w:hint="eastAsia" w:hAnsi="宋体"/>
      </w:rPr>
      <w:t>环境</w:t>
    </w:r>
    <w:r>
      <w:rPr>
        <w:rFonts w:hint="eastAsia" w:hAnsi="宋体"/>
        <w:color w:val="000000" w:themeColor="text1"/>
        <w14:textFill>
          <w14:solidFill>
            <w14:schemeClr w14:val="tx1"/>
          </w14:solidFill>
        </w14:textFill>
      </w:rPr>
      <w:t>影响报告表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0"/>
      </w:pBdr>
      <w:rPr>
        <w:rFonts w:hAnsi="宋体"/>
        <w:color w:val="000000" w:themeColor="text1"/>
        <w14:textFill>
          <w14:solidFill>
            <w14:schemeClr w14:val="tx1"/>
          </w14:solidFill>
        </w14:textFill>
      </w:rPr>
    </w:pPr>
    <w:r>
      <w:rPr>
        <w:rFonts w:hint="eastAsia" w:hAnsi="宋体"/>
      </w:rPr>
      <w:t>浙江腾涌科技股份有限公司年产200台套矿山设备、风电设备、水电设备零部件、舰船用声呐控制系统、绞车、机柜项目环境</w:t>
    </w:r>
    <w:r>
      <w:rPr>
        <w:rFonts w:hint="eastAsia" w:hAnsi="宋体"/>
        <w:color w:val="000000" w:themeColor="text1"/>
        <w14:textFill>
          <w14:solidFill>
            <w14:schemeClr w14:val="tx1"/>
          </w14:solidFill>
        </w14:textFill>
      </w:rPr>
      <w:t>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50342"/>
    <w:multiLevelType w:val="singleLevel"/>
    <w:tmpl w:val="89F50342"/>
    <w:lvl w:ilvl="0" w:tentative="0">
      <w:start w:val="1"/>
      <w:numFmt w:val="bullet"/>
      <w:lvlText w:val=""/>
      <w:lvlJc w:val="left"/>
      <w:pPr>
        <w:ind w:left="420" w:hanging="420"/>
      </w:pPr>
      <w:rPr>
        <w:rFonts w:hint="default" w:ascii="Wingdings" w:hAnsi="Wingdings"/>
      </w:rPr>
    </w:lvl>
  </w:abstractNum>
  <w:abstractNum w:abstractNumId="1">
    <w:nsid w:val="A47C048B"/>
    <w:multiLevelType w:val="singleLevel"/>
    <w:tmpl w:val="A47C048B"/>
    <w:lvl w:ilvl="0" w:tentative="0">
      <w:start w:val="4"/>
      <w:numFmt w:val="decimal"/>
      <w:suff w:val="nothing"/>
      <w:lvlText w:val="（%1）"/>
      <w:lvlJc w:val="left"/>
    </w:lvl>
  </w:abstractNum>
  <w:abstractNum w:abstractNumId="2">
    <w:nsid w:val="F6591866"/>
    <w:multiLevelType w:val="singleLevel"/>
    <w:tmpl w:val="F6591866"/>
    <w:lvl w:ilvl="0" w:tentative="0">
      <w:start w:val="1"/>
      <w:numFmt w:val="bullet"/>
      <w:lvlText w:val=""/>
      <w:lvlJc w:val="left"/>
      <w:pPr>
        <w:ind w:left="420" w:hanging="420"/>
      </w:pPr>
      <w:rPr>
        <w:rFonts w:hint="default" w:ascii="Wingdings" w:hAnsi="Wingdings"/>
      </w:rPr>
    </w:lvl>
  </w:abstractNum>
  <w:abstractNum w:abstractNumId="3">
    <w:nsid w:val="FFFFFF88"/>
    <w:multiLevelType w:val="singleLevel"/>
    <w:tmpl w:val="FFFFFF88"/>
    <w:lvl w:ilvl="0" w:tentative="0">
      <w:start w:val="1"/>
      <w:numFmt w:val="decimal"/>
      <w:pStyle w:val="325"/>
      <w:lvlText w:val="%1."/>
      <w:lvlJc w:val="left"/>
      <w:pPr>
        <w:tabs>
          <w:tab w:val="left" w:pos="360"/>
        </w:tabs>
        <w:ind w:left="360" w:hanging="360" w:hangingChars="200"/>
      </w:pPr>
    </w:lvl>
  </w:abstractNum>
  <w:abstractNum w:abstractNumId="4">
    <w:nsid w:val="2301E81E"/>
    <w:multiLevelType w:val="singleLevel"/>
    <w:tmpl w:val="2301E81E"/>
    <w:lvl w:ilvl="0" w:tentative="0">
      <w:start w:val="1"/>
      <w:numFmt w:val="chineseCounting"/>
      <w:suff w:val="nothing"/>
      <w:lvlText w:val="（%1）"/>
      <w:lvlJc w:val="left"/>
      <w:rPr>
        <w:rFonts w:hint="eastAsia"/>
      </w:rPr>
    </w:lvl>
  </w:abstractNum>
  <w:abstractNum w:abstractNumId="5">
    <w:nsid w:val="65ECA6AF"/>
    <w:multiLevelType w:val="singleLevel"/>
    <w:tmpl w:val="65ECA6AF"/>
    <w:lvl w:ilvl="0" w:tentative="0">
      <w:start w:val="1"/>
      <w:numFmt w:val="chineseCounting"/>
      <w:suff w:val="nothing"/>
      <w:lvlText w:val="%1、"/>
      <w:lvlJc w:val="left"/>
      <w:rPr>
        <w:rFonts w:hint="eastAsia"/>
      </w:rPr>
    </w:lvl>
  </w:abstractNum>
  <w:abstractNum w:abstractNumId="6">
    <w:nsid w:val="7BF97A8F"/>
    <w:multiLevelType w:val="singleLevel"/>
    <w:tmpl w:val="7BF97A8F"/>
    <w:lvl w:ilvl="0" w:tentative="0">
      <w:start w:val="2"/>
      <w:numFmt w:val="decimal"/>
      <w:suff w:val="nothing"/>
      <w:lvlText w:val="（%1）"/>
      <w:lvlJc w:val="left"/>
    </w:lvl>
  </w:abstractNum>
  <w:num w:numId="1">
    <w:abstractNumId w:val="3"/>
  </w:num>
  <w:num w:numId="2">
    <w:abstractNumId w:val="5"/>
  </w:num>
  <w:num w:numId="3">
    <w:abstractNumId w:val="4"/>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hideGrammaticalErrors/>
  <w:documentProtection w:enforcement="0"/>
  <w:defaultTabStop w:val="420"/>
  <w:evenAndOddHeaders w:val="1"/>
  <w:drawingGridHorizontalSpacing w:val="2"/>
  <w:drawingGridVerticalSpacing w:val="2"/>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yYTYzMTQwNjlhOWNkODdiN2JjMWIzNmNjMjMwNmEifQ=="/>
  </w:docVars>
  <w:rsids>
    <w:rsidRoot w:val="00172A27"/>
    <w:rsid w:val="00000358"/>
    <w:rsid w:val="00000C34"/>
    <w:rsid w:val="00000EA8"/>
    <w:rsid w:val="00000EEC"/>
    <w:rsid w:val="00000F98"/>
    <w:rsid w:val="00001B0C"/>
    <w:rsid w:val="00001D71"/>
    <w:rsid w:val="00001F20"/>
    <w:rsid w:val="00002654"/>
    <w:rsid w:val="00002825"/>
    <w:rsid w:val="00002AA4"/>
    <w:rsid w:val="00002E75"/>
    <w:rsid w:val="000030DA"/>
    <w:rsid w:val="00003E46"/>
    <w:rsid w:val="000041CC"/>
    <w:rsid w:val="000047A0"/>
    <w:rsid w:val="0000501D"/>
    <w:rsid w:val="0000524D"/>
    <w:rsid w:val="000053D1"/>
    <w:rsid w:val="00005A41"/>
    <w:rsid w:val="00005AFE"/>
    <w:rsid w:val="00005F3E"/>
    <w:rsid w:val="00006BC5"/>
    <w:rsid w:val="00006E5C"/>
    <w:rsid w:val="00006E5E"/>
    <w:rsid w:val="00007148"/>
    <w:rsid w:val="000073C8"/>
    <w:rsid w:val="00007660"/>
    <w:rsid w:val="00007791"/>
    <w:rsid w:val="000078FC"/>
    <w:rsid w:val="00007F19"/>
    <w:rsid w:val="000112C2"/>
    <w:rsid w:val="000115BA"/>
    <w:rsid w:val="0001166E"/>
    <w:rsid w:val="00011AE4"/>
    <w:rsid w:val="00011BDF"/>
    <w:rsid w:val="00011D7C"/>
    <w:rsid w:val="00012520"/>
    <w:rsid w:val="00012A3B"/>
    <w:rsid w:val="000131C5"/>
    <w:rsid w:val="00013588"/>
    <w:rsid w:val="000137B3"/>
    <w:rsid w:val="00013859"/>
    <w:rsid w:val="0001397E"/>
    <w:rsid w:val="00013A76"/>
    <w:rsid w:val="000141F8"/>
    <w:rsid w:val="00014B31"/>
    <w:rsid w:val="0001504C"/>
    <w:rsid w:val="00015179"/>
    <w:rsid w:val="00015805"/>
    <w:rsid w:val="00015D01"/>
    <w:rsid w:val="00015DAA"/>
    <w:rsid w:val="0001610B"/>
    <w:rsid w:val="00016550"/>
    <w:rsid w:val="00017760"/>
    <w:rsid w:val="00017B58"/>
    <w:rsid w:val="00017CE4"/>
    <w:rsid w:val="00017F32"/>
    <w:rsid w:val="00017F3F"/>
    <w:rsid w:val="00017FAA"/>
    <w:rsid w:val="0002007C"/>
    <w:rsid w:val="000202F1"/>
    <w:rsid w:val="00020B1E"/>
    <w:rsid w:val="00021D0F"/>
    <w:rsid w:val="00022035"/>
    <w:rsid w:val="00022122"/>
    <w:rsid w:val="000221C1"/>
    <w:rsid w:val="00022673"/>
    <w:rsid w:val="0002277E"/>
    <w:rsid w:val="00022A1E"/>
    <w:rsid w:val="00022A6B"/>
    <w:rsid w:val="00022EA4"/>
    <w:rsid w:val="00022F31"/>
    <w:rsid w:val="00023023"/>
    <w:rsid w:val="00023D65"/>
    <w:rsid w:val="00023FA9"/>
    <w:rsid w:val="00024326"/>
    <w:rsid w:val="00024AA5"/>
    <w:rsid w:val="00024F85"/>
    <w:rsid w:val="000252F4"/>
    <w:rsid w:val="0002589B"/>
    <w:rsid w:val="00025AA3"/>
    <w:rsid w:val="00025DDF"/>
    <w:rsid w:val="000261BB"/>
    <w:rsid w:val="000262EE"/>
    <w:rsid w:val="000263E1"/>
    <w:rsid w:val="000264CD"/>
    <w:rsid w:val="00026949"/>
    <w:rsid w:val="00026AD4"/>
    <w:rsid w:val="000277D9"/>
    <w:rsid w:val="00027ADA"/>
    <w:rsid w:val="00027C4E"/>
    <w:rsid w:val="00027E52"/>
    <w:rsid w:val="0003070E"/>
    <w:rsid w:val="0003076F"/>
    <w:rsid w:val="00030B19"/>
    <w:rsid w:val="00030D21"/>
    <w:rsid w:val="00030F22"/>
    <w:rsid w:val="000311D6"/>
    <w:rsid w:val="00031208"/>
    <w:rsid w:val="0003158F"/>
    <w:rsid w:val="00031E68"/>
    <w:rsid w:val="00031E82"/>
    <w:rsid w:val="00031EB2"/>
    <w:rsid w:val="00031F63"/>
    <w:rsid w:val="000320CA"/>
    <w:rsid w:val="00032894"/>
    <w:rsid w:val="000330B8"/>
    <w:rsid w:val="000339F0"/>
    <w:rsid w:val="00033D84"/>
    <w:rsid w:val="00034553"/>
    <w:rsid w:val="00035674"/>
    <w:rsid w:val="00035CF2"/>
    <w:rsid w:val="00035D7F"/>
    <w:rsid w:val="000364AB"/>
    <w:rsid w:val="00036AE6"/>
    <w:rsid w:val="00036FBF"/>
    <w:rsid w:val="000370E2"/>
    <w:rsid w:val="00037BE7"/>
    <w:rsid w:val="000407A3"/>
    <w:rsid w:val="00041251"/>
    <w:rsid w:val="00041807"/>
    <w:rsid w:val="00041C21"/>
    <w:rsid w:val="00041FA2"/>
    <w:rsid w:val="00042373"/>
    <w:rsid w:val="0004249F"/>
    <w:rsid w:val="000428B1"/>
    <w:rsid w:val="00042ABD"/>
    <w:rsid w:val="00042E98"/>
    <w:rsid w:val="0004388C"/>
    <w:rsid w:val="00044A08"/>
    <w:rsid w:val="000450A2"/>
    <w:rsid w:val="00045484"/>
    <w:rsid w:val="00045B29"/>
    <w:rsid w:val="00045B9E"/>
    <w:rsid w:val="00046042"/>
    <w:rsid w:val="00046494"/>
    <w:rsid w:val="00046613"/>
    <w:rsid w:val="00046B4A"/>
    <w:rsid w:val="00046E09"/>
    <w:rsid w:val="0004728D"/>
    <w:rsid w:val="00047417"/>
    <w:rsid w:val="000474D6"/>
    <w:rsid w:val="0004768F"/>
    <w:rsid w:val="00047E82"/>
    <w:rsid w:val="00047FE7"/>
    <w:rsid w:val="0005054A"/>
    <w:rsid w:val="00050921"/>
    <w:rsid w:val="000519B1"/>
    <w:rsid w:val="00051A3B"/>
    <w:rsid w:val="00052059"/>
    <w:rsid w:val="0005225E"/>
    <w:rsid w:val="000524EF"/>
    <w:rsid w:val="00053793"/>
    <w:rsid w:val="00053A1D"/>
    <w:rsid w:val="00053ED2"/>
    <w:rsid w:val="0005414F"/>
    <w:rsid w:val="000547DB"/>
    <w:rsid w:val="00054B85"/>
    <w:rsid w:val="000550F0"/>
    <w:rsid w:val="0005524C"/>
    <w:rsid w:val="00055420"/>
    <w:rsid w:val="000554C3"/>
    <w:rsid w:val="000556B4"/>
    <w:rsid w:val="0005576E"/>
    <w:rsid w:val="00055CFE"/>
    <w:rsid w:val="00055E6F"/>
    <w:rsid w:val="00056611"/>
    <w:rsid w:val="00056815"/>
    <w:rsid w:val="00057189"/>
    <w:rsid w:val="00057393"/>
    <w:rsid w:val="00057A03"/>
    <w:rsid w:val="00060178"/>
    <w:rsid w:val="00060678"/>
    <w:rsid w:val="000611EC"/>
    <w:rsid w:val="0006161B"/>
    <w:rsid w:val="000616FC"/>
    <w:rsid w:val="00061B1C"/>
    <w:rsid w:val="00062231"/>
    <w:rsid w:val="0006236B"/>
    <w:rsid w:val="0006252F"/>
    <w:rsid w:val="00062A35"/>
    <w:rsid w:val="00062BD5"/>
    <w:rsid w:val="00062D5C"/>
    <w:rsid w:val="000634AF"/>
    <w:rsid w:val="00063731"/>
    <w:rsid w:val="00063CEF"/>
    <w:rsid w:val="00063EF1"/>
    <w:rsid w:val="00064432"/>
    <w:rsid w:val="00064AE1"/>
    <w:rsid w:val="00064CF9"/>
    <w:rsid w:val="00064F39"/>
    <w:rsid w:val="00065427"/>
    <w:rsid w:val="000658ED"/>
    <w:rsid w:val="00065E9A"/>
    <w:rsid w:val="00066360"/>
    <w:rsid w:val="00066383"/>
    <w:rsid w:val="00066679"/>
    <w:rsid w:val="000668B0"/>
    <w:rsid w:val="00066E8B"/>
    <w:rsid w:val="0006717E"/>
    <w:rsid w:val="00067789"/>
    <w:rsid w:val="00067924"/>
    <w:rsid w:val="000701F6"/>
    <w:rsid w:val="00070531"/>
    <w:rsid w:val="000707F6"/>
    <w:rsid w:val="0007091B"/>
    <w:rsid w:val="00070DCB"/>
    <w:rsid w:val="00071117"/>
    <w:rsid w:val="000711DF"/>
    <w:rsid w:val="000714CF"/>
    <w:rsid w:val="00071CE7"/>
    <w:rsid w:val="00071EC4"/>
    <w:rsid w:val="000720A8"/>
    <w:rsid w:val="00072204"/>
    <w:rsid w:val="0007286C"/>
    <w:rsid w:val="0007302D"/>
    <w:rsid w:val="00073107"/>
    <w:rsid w:val="000731A8"/>
    <w:rsid w:val="000733CB"/>
    <w:rsid w:val="000734E3"/>
    <w:rsid w:val="000740C9"/>
    <w:rsid w:val="000746AC"/>
    <w:rsid w:val="00074744"/>
    <w:rsid w:val="0007520D"/>
    <w:rsid w:val="00075291"/>
    <w:rsid w:val="00075684"/>
    <w:rsid w:val="00075692"/>
    <w:rsid w:val="0007635C"/>
    <w:rsid w:val="00076D62"/>
    <w:rsid w:val="000771CC"/>
    <w:rsid w:val="000772D1"/>
    <w:rsid w:val="0007789D"/>
    <w:rsid w:val="000779C0"/>
    <w:rsid w:val="00077C06"/>
    <w:rsid w:val="00077E2D"/>
    <w:rsid w:val="000803F7"/>
    <w:rsid w:val="00080405"/>
    <w:rsid w:val="00080445"/>
    <w:rsid w:val="00080AA4"/>
    <w:rsid w:val="00080AD0"/>
    <w:rsid w:val="0008154D"/>
    <w:rsid w:val="0008179B"/>
    <w:rsid w:val="00081BFE"/>
    <w:rsid w:val="000826DD"/>
    <w:rsid w:val="00082B4F"/>
    <w:rsid w:val="00082D06"/>
    <w:rsid w:val="00083A6B"/>
    <w:rsid w:val="00083DEB"/>
    <w:rsid w:val="00084987"/>
    <w:rsid w:val="00084A68"/>
    <w:rsid w:val="00085BAF"/>
    <w:rsid w:val="00085C3C"/>
    <w:rsid w:val="00085C7B"/>
    <w:rsid w:val="000862B4"/>
    <w:rsid w:val="00086338"/>
    <w:rsid w:val="00087662"/>
    <w:rsid w:val="00090C29"/>
    <w:rsid w:val="00090C69"/>
    <w:rsid w:val="0009106E"/>
    <w:rsid w:val="000915A1"/>
    <w:rsid w:val="00091AD2"/>
    <w:rsid w:val="000923DC"/>
    <w:rsid w:val="000924C5"/>
    <w:rsid w:val="0009262E"/>
    <w:rsid w:val="00092F76"/>
    <w:rsid w:val="000931B8"/>
    <w:rsid w:val="000934C6"/>
    <w:rsid w:val="0009354C"/>
    <w:rsid w:val="00094224"/>
    <w:rsid w:val="00094353"/>
    <w:rsid w:val="000944C6"/>
    <w:rsid w:val="00095555"/>
    <w:rsid w:val="00095851"/>
    <w:rsid w:val="00095F2F"/>
    <w:rsid w:val="0009626E"/>
    <w:rsid w:val="00096F59"/>
    <w:rsid w:val="00096FAC"/>
    <w:rsid w:val="00097135"/>
    <w:rsid w:val="00097AAB"/>
    <w:rsid w:val="00097B25"/>
    <w:rsid w:val="00097C77"/>
    <w:rsid w:val="000A0077"/>
    <w:rsid w:val="000A03E9"/>
    <w:rsid w:val="000A05E9"/>
    <w:rsid w:val="000A0802"/>
    <w:rsid w:val="000A0AFF"/>
    <w:rsid w:val="000A1165"/>
    <w:rsid w:val="000A1BAC"/>
    <w:rsid w:val="000A1D6C"/>
    <w:rsid w:val="000A1F25"/>
    <w:rsid w:val="000A2251"/>
    <w:rsid w:val="000A2848"/>
    <w:rsid w:val="000A28D2"/>
    <w:rsid w:val="000A2AE6"/>
    <w:rsid w:val="000A2C7C"/>
    <w:rsid w:val="000A2D3F"/>
    <w:rsid w:val="000A2D7B"/>
    <w:rsid w:val="000A2FB8"/>
    <w:rsid w:val="000A36EA"/>
    <w:rsid w:val="000A39C6"/>
    <w:rsid w:val="000A3EC4"/>
    <w:rsid w:val="000A4133"/>
    <w:rsid w:val="000A441B"/>
    <w:rsid w:val="000A4C2E"/>
    <w:rsid w:val="000A4D92"/>
    <w:rsid w:val="000A4E20"/>
    <w:rsid w:val="000A4E8E"/>
    <w:rsid w:val="000A4F6B"/>
    <w:rsid w:val="000A5016"/>
    <w:rsid w:val="000A534F"/>
    <w:rsid w:val="000A5427"/>
    <w:rsid w:val="000A5496"/>
    <w:rsid w:val="000A54D6"/>
    <w:rsid w:val="000A5C2C"/>
    <w:rsid w:val="000A6E8D"/>
    <w:rsid w:val="000A6ED7"/>
    <w:rsid w:val="000A71DF"/>
    <w:rsid w:val="000A793D"/>
    <w:rsid w:val="000A7E20"/>
    <w:rsid w:val="000A7EDE"/>
    <w:rsid w:val="000B0129"/>
    <w:rsid w:val="000B034E"/>
    <w:rsid w:val="000B04C1"/>
    <w:rsid w:val="000B0D7B"/>
    <w:rsid w:val="000B0F6B"/>
    <w:rsid w:val="000B1A35"/>
    <w:rsid w:val="000B1AFE"/>
    <w:rsid w:val="000B2454"/>
    <w:rsid w:val="000B2E26"/>
    <w:rsid w:val="000B2FAF"/>
    <w:rsid w:val="000B302C"/>
    <w:rsid w:val="000B320A"/>
    <w:rsid w:val="000B3669"/>
    <w:rsid w:val="000B3AD4"/>
    <w:rsid w:val="000B411E"/>
    <w:rsid w:val="000B5277"/>
    <w:rsid w:val="000B549B"/>
    <w:rsid w:val="000B5565"/>
    <w:rsid w:val="000B5AB3"/>
    <w:rsid w:val="000B5B15"/>
    <w:rsid w:val="000B5B92"/>
    <w:rsid w:val="000B5D6E"/>
    <w:rsid w:val="000B62DB"/>
    <w:rsid w:val="000B6DFC"/>
    <w:rsid w:val="000B7088"/>
    <w:rsid w:val="000B70CD"/>
    <w:rsid w:val="000B76EF"/>
    <w:rsid w:val="000B7910"/>
    <w:rsid w:val="000B7CC0"/>
    <w:rsid w:val="000C035A"/>
    <w:rsid w:val="000C05F7"/>
    <w:rsid w:val="000C07FA"/>
    <w:rsid w:val="000C0A54"/>
    <w:rsid w:val="000C0F59"/>
    <w:rsid w:val="000C0FB8"/>
    <w:rsid w:val="000C1A0A"/>
    <w:rsid w:val="000C1AAA"/>
    <w:rsid w:val="000C26E8"/>
    <w:rsid w:val="000C2B06"/>
    <w:rsid w:val="000C3012"/>
    <w:rsid w:val="000C37C3"/>
    <w:rsid w:val="000C3A51"/>
    <w:rsid w:val="000C3C00"/>
    <w:rsid w:val="000C3C63"/>
    <w:rsid w:val="000C4458"/>
    <w:rsid w:val="000C4C61"/>
    <w:rsid w:val="000C4CE3"/>
    <w:rsid w:val="000C5223"/>
    <w:rsid w:val="000C5AD4"/>
    <w:rsid w:val="000C5BE3"/>
    <w:rsid w:val="000C5CA9"/>
    <w:rsid w:val="000C67DD"/>
    <w:rsid w:val="000C6F9F"/>
    <w:rsid w:val="000C7538"/>
    <w:rsid w:val="000C7CFB"/>
    <w:rsid w:val="000D04A4"/>
    <w:rsid w:val="000D08DF"/>
    <w:rsid w:val="000D08E4"/>
    <w:rsid w:val="000D0BD0"/>
    <w:rsid w:val="000D2BBF"/>
    <w:rsid w:val="000D2F4A"/>
    <w:rsid w:val="000D30E8"/>
    <w:rsid w:val="000D34E6"/>
    <w:rsid w:val="000D364F"/>
    <w:rsid w:val="000D4137"/>
    <w:rsid w:val="000D4458"/>
    <w:rsid w:val="000D4BAF"/>
    <w:rsid w:val="000D50C3"/>
    <w:rsid w:val="000D5740"/>
    <w:rsid w:val="000D602F"/>
    <w:rsid w:val="000D61D3"/>
    <w:rsid w:val="000D7528"/>
    <w:rsid w:val="000D759A"/>
    <w:rsid w:val="000D7871"/>
    <w:rsid w:val="000D79C1"/>
    <w:rsid w:val="000D7A11"/>
    <w:rsid w:val="000D7B90"/>
    <w:rsid w:val="000D7DFE"/>
    <w:rsid w:val="000E04A2"/>
    <w:rsid w:val="000E0E9E"/>
    <w:rsid w:val="000E0F2A"/>
    <w:rsid w:val="000E10A2"/>
    <w:rsid w:val="000E1348"/>
    <w:rsid w:val="000E142B"/>
    <w:rsid w:val="000E14AB"/>
    <w:rsid w:val="000E1556"/>
    <w:rsid w:val="000E167B"/>
    <w:rsid w:val="000E1741"/>
    <w:rsid w:val="000E209F"/>
    <w:rsid w:val="000E26C6"/>
    <w:rsid w:val="000E2928"/>
    <w:rsid w:val="000E292B"/>
    <w:rsid w:val="000E3037"/>
    <w:rsid w:val="000E37AC"/>
    <w:rsid w:val="000E38CD"/>
    <w:rsid w:val="000E3E0D"/>
    <w:rsid w:val="000E4077"/>
    <w:rsid w:val="000E4394"/>
    <w:rsid w:val="000E447B"/>
    <w:rsid w:val="000E4D55"/>
    <w:rsid w:val="000E530D"/>
    <w:rsid w:val="000E5938"/>
    <w:rsid w:val="000E5F21"/>
    <w:rsid w:val="000E6188"/>
    <w:rsid w:val="000E6904"/>
    <w:rsid w:val="000E6A0D"/>
    <w:rsid w:val="000E6BCC"/>
    <w:rsid w:val="000E6C4D"/>
    <w:rsid w:val="000E72DB"/>
    <w:rsid w:val="000E72E4"/>
    <w:rsid w:val="000E74B2"/>
    <w:rsid w:val="000E74C2"/>
    <w:rsid w:val="000E74D7"/>
    <w:rsid w:val="000E77B1"/>
    <w:rsid w:val="000E7BAC"/>
    <w:rsid w:val="000F0137"/>
    <w:rsid w:val="000F0193"/>
    <w:rsid w:val="000F02D2"/>
    <w:rsid w:val="000F042A"/>
    <w:rsid w:val="000F0B72"/>
    <w:rsid w:val="000F0D86"/>
    <w:rsid w:val="000F1404"/>
    <w:rsid w:val="000F173A"/>
    <w:rsid w:val="000F2185"/>
    <w:rsid w:val="000F291B"/>
    <w:rsid w:val="000F2B8F"/>
    <w:rsid w:val="000F39B3"/>
    <w:rsid w:val="000F4895"/>
    <w:rsid w:val="000F48C2"/>
    <w:rsid w:val="000F49F6"/>
    <w:rsid w:val="000F4D50"/>
    <w:rsid w:val="000F4D97"/>
    <w:rsid w:val="000F4E43"/>
    <w:rsid w:val="000F514F"/>
    <w:rsid w:val="000F583D"/>
    <w:rsid w:val="000F584A"/>
    <w:rsid w:val="000F5898"/>
    <w:rsid w:val="000F58FD"/>
    <w:rsid w:val="000F593F"/>
    <w:rsid w:val="000F5A72"/>
    <w:rsid w:val="000F5AD3"/>
    <w:rsid w:val="000F6186"/>
    <w:rsid w:val="000F6552"/>
    <w:rsid w:val="000F6AAF"/>
    <w:rsid w:val="000F70AB"/>
    <w:rsid w:val="000F70FF"/>
    <w:rsid w:val="000F7810"/>
    <w:rsid w:val="000F78A2"/>
    <w:rsid w:val="000F7E20"/>
    <w:rsid w:val="000F7FC5"/>
    <w:rsid w:val="001004B6"/>
    <w:rsid w:val="00100B2F"/>
    <w:rsid w:val="00100E0F"/>
    <w:rsid w:val="001012C9"/>
    <w:rsid w:val="001013A8"/>
    <w:rsid w:val="001013F0"/>
    <w:rsid w:val="001014B9"/>
    <w:rsid w:val="001015AD"/>
    <w:rsid w:val="00101D87"/>
    <w:rsid w:val="0010248B"/>
    <w:rsid w:val="001024B9"/>
    <w:rsid w:val="001028CA"/>
    <w:rsid w:val="00102901"/>
    <w:rsid w:val="00102C10"/>
    <w:rsid w:val="00103079"/>
    <w:rsid w:val="00103716"/>
    <w:rsid w:val="00103A9C"/>
    <w:rsid w:val="001046FD"/>
    <w:rsid w:val="0010485E"/>
    <w:rsid w:val="00104864"/>
    <w:rsid w:val="00104A03"/>
    <w:rsid w:val="00104BA9"/>
    <w:rsid w:val="00104CD7"/>
    <w:rsid w:val="00105346"/>
    <w:rsid w:val="00105741"/>
    <w:rsid w:val="00105F69"/>
    <w:rsid w:val="00106021"/>
    <w:rsid w:val="0010605C"/>
    <w:rsid w:val="001064BC"/>
    <w:rsid w:val="0010665C"/>
    <w:rsid w:val="001066C8"/>
    <w:rsid w:val="0010676D"/>
    <w:rsid w:val="0010726A"/>
    <w:rsid w:val="001074ED"/>
    <w:rsid w:val="001075F4"/>
    <w:rsid w:val="001077BA"/>
    <w:rsid w:val="001078E3"/>
    <w:rsid w:val="00107B7D"/>
    <w:rsid w:val="00107D23"/>
    <w:rsid w:val="00107D31"/>
    <w:rsid w:val="00110356"/>
    <w:rsid w:val="00110555"/>
    <w:rsid w:val="00110607"/>
    <w:rsid w:val="001106FB"/>
    <w:rsid w:val="001108D9"/>
    <w:rsid w:val="0011096E"/>
    <w:rsid w:val="001109D1"/>
    <w:rsid w:val="00110C77"/>
    <w:rsid w:val="00110CBB"/>
    <w:rsid w:val="00110EE5"/>
    <w:rsid w:val="00111148"/>
    <w:rsid w:val="0011114B"/>
    <w:rsid w:val="001113D6"/>
    <w:rsid w:val="00111550"/>
    <w:rsid w:val="001121E0"/>
    <w:rsid w:val="0011252E"/>
    <w:rsid w:val="0011269A"/>
    <w:rsid w:val="0011269F"/>
    <w:rsid w:val="00112898"/>
    <w:rsid w:val="00112BE9"/>
    <w:rsid w:val="0011358B"/>
    <w:rsid w:val="00113799"/>
    <w:rsid w:val="00113BDA"/>
    <w:rsid w:val="00113F20"/>
    <w:rsid w:val="00114192"/>
    <w:rsid w:val="001142B4"/>
    <w:rsid w:val="00114DB4"/>
    <w:rsid w:val="00115041"/>
    <w:rsid w:val="001151A0"/>
    <w:rsid w:val="00115241"/>
    <w:rsid w:val="00115A19"/>
    <w:rsid w:val="00115BAC"/>
    <w:rsid w:val="00115CD3"/>
    <w:rsid w:val="00116C20"/>
    <w:rsid w:val="0011759E"/>
    <w:rsid w:val="0011767C"/>
    <w:rsid w:val="00117C2D"/>
    <w:rsid w:val="00117E9F"/>
    <w:rsid w:val="00120193"/>
    <w:rsid w:val="0012043A"/>
    <w:rsid w:val="00120529"/>
    <w:rsid w:val="00120B27"/>
    <w:rsid w:val="00120FD0"/>
    <w:rsid w:val="0012196F"/>
    <w:rsid w:val="00121AFB"/>
    <w:rsid w:val="00122317"/>
    <w:rsid w:val="00122563"/>
    <w:rsid w:val="00123699"/>
    <w:rsid w:val="001242B4"/>
    <w:rsid w:val="00124697"/>
    <w:rsid w:val="00124764"/>
    <w:rsid w:val="001247D5"/>
    <w:rsid w:val="00124DAB"/>
    <w:rsid w:val="0012579A"/>
    <w:rsid w:val="00126473"/>
    <w:rsid w:val="00126CE6"/>
    <w:rsid w:val="00126F23"/>
    <w:rsid w:val="0012719F"/>
    <w:rsid w:val="00127533"/>
    <w:rsid w:val="001275D2"/>
    <w:rsid w:val="001275EC"/>
    <w:rsid w:val="00127915"/>
    <w:rsid w:val="00127A36"/>
    <w:rsid w:val="00127C73"/>
    <w:rsid w:val="00127CA9"/>
    <w:rsid w:val="0013038B"/>
    <w:rsid w:val="00130AB6"/>
    <w:rsid w:val="00130D40"/>
    <w:rsid w:val="001316D4"/>
    <w:rsid w:val="00131DB2"/>
    <w:rsid w:val="00131E3A"/>
    <w:rsid w:val="00132378"/>
    <w:rsid w:val="00132AEF"/>
    <w:rsid w:val="00132EC7"/>
    <w:rsid w:val="0013306E"/>
    <w:rsid w:val="001335CE"/>
    <w:rsid w:val="00133B02"/>
    <w:rsid w:val="00133DDE"/>
    <w:rsid w:val="00134180"/>
    <w:rsid w:val="0013426D"/>
    <w:rsid w:val="001347EE"/>
    <w:rsid w:val="00134CBE"/>
    <w:rsid w:val="001352D6"/>
    <w:rsid w:val="001354F5"/>
    <w:rsid w:val="0013555C"/>
    <w:rsid w:val="0013597E"/>
    <w:rsid w:val="00135E15"/>
    <w:rsid w:val="001361E8"/>
    <w:rsid w:val="00136B3B"/>
    <w:rsid w:val="00136BA1"/>
    <w:rsid w:val="00136CA1"/>
    <w:rsid w:val="00137267"/>
    <w:rsid w:val="00137516"/>
    <w:rsid w:val="001375AC"/>
    <w:rsid w:val="00137868"/>
    <w:rsid w:val="001403E2"/>
    <w:rsid w:val="00140788"/>
    <w:rsid w:val="00140A71"/>
    <w:rsid w:val="00140FC4"/>
    <w:rsid w:val="0014102B"/>
    <w:rsid w:val="001415D1"/>
    <w:rsid w:val="00141F6B"/>
    <w:rsid w:val="0014264F"/>
    <w:rsid w:val="00142B3D"/>
    <w:rsid w:val="00142DCC"/>
    <w:rsid w:val="0014308B"/>
    <w:rsid w:val="001433FC"/>
    <w:rsid w:val="00143907"/>
    <w:rsid w:val="00143BA2"/>
    <w:rsid w:val="00143FE2"/>
    <w:rsid w:val="00145163"/>
    <w:rsid w:val="00145734"/>
    <w:rsid w:val="00145744"/>
    <w:rsid w:val="001457D1"/>
    <w:rsid w:val="0014594F"/>
    <w:rsid w:val="001459C1"/>
    <w:rsid w:val="00145AF2"/>
    <w:rsid w:val="00145D22"/>
    <w:rsid w:val="00145DE2"/>
    <w:rsid w:val="0014678E"/>
    <w:rsid w:val="00146C6E"/>
    <w:rsid w:val="001474EE"/>
    <w:rsid w:val="00147607"/>
    <w:rsid w:val="001479F3"/>
    <w:rsid w:val="00147FED"/>
    <w:rsid w:val="001508B2"/>
    <w:rsid w:val="00150B2F"/>
    <w:rsid w:val="001512FF"/>
    <w:rsid w:val="00151509"/>
    <w:rsid w:val="00151786"/>
    <w:rsid w:val="001519FD"/>
    <w:rsid w:val="00152538"/>
    <w:rsid w:val="0015294B"/>
    <w:rsid w:val="00152E2A"/>
    <w:rsid w:val="00153269"/>
    <w:rsid w:val="00153616"/>
    <w:rsid w:val="00153AA1"/>
    <w:rsid w:val="00154880"/>
    <w:rsid w:val="00154CE6"/>
    <w:rsid w:val="00154F43"/>
    <w:rsid w:val="00154FB2"/>
    <w:rsid w:val="001557BB"/>
    <w:rsid w:val="00155BA4"/>
    <w:rsid w:val="00155BA5"/>
    <w:rsid w:val="00155BF0"/>
    <w:rsid w:val="00155C0D"/>
    <w:rsid w:val="00155F14"/>
    <w:rsid w:val="001568F0"/>
    <w:rsid w:val="00156A26"/>
    <w:rsid w:val="00156B50"/>
    <w:rsid w:val="00156EF7"/>
    <w:rsid w:val="0015706F"/>
    <w:rsid w:val="00157518"/>
    <w:rsid w:val="001576A5"/>
    <w:rsid w:val="0015770A"/>
    <w:rsid w:val="0015794B"/>
    <w:rsid w:val="0016047B"/>
    <w:rsid w:val="001607B9"/>
    <w:rsid w:val="001607DA"/>
    <w:rsid w:val="00160B85"/>
    <w:rsid w:val="0016136B"/>
    <w:rsid w:val="001615DF"/>
    <w:rsid w:val="0016187F"/>
    <w:rsid w:val="001619F0"/>
    <w:rsid w:val="00161FC2"/>
    <w:rsid w:val="001621A6"/>
    <w:rsid w:val="00162386"/>
    <w:rsid w:val="00162516"/>
    <w:rsid w:val="001626D0"/>
    <w:rsid w:val="00162817"/>
    <w:rsid w:val="00162A95"/>
    <w:rsid w:val="00162BA7"/>
    <w:rsid w:val="00163FEE"/>
    <w:rsid w:val="001642A3"/>
    <w:rsid w:val="00164633"/>
    <w:rsid w:val="0016473E"/>
    <w:rsid w:val="00164B6A"/>
    <w:rsid w:val="00165418"/>
    <w:rsid w:val="00165481"/>
    <w:rsid w:val="00165CA4"/>
    <w:rsid w:val="00166440"/>
    <w:rsid w:val="00166501"/>
    <w:rsid w:val="0016709C"/>
    <w:rsid w:val="00167648"/>
    <w:rsid w:val="001677A7"/>
    <w:rsid w:val="001700AC"/>
    <w:rsid w:val="001704CF"/>
    <w:rsid w:val="0017055D"/>
    <w:rsid w:val="001706A0"/>
    <w:rsid w:val="00170A48"/>
    <w:rsid w:val="00170BC5"/>
    <w:rsid w:val="00170CDC"/>
    <w:rsid w:val="001716D7"/>
    <w:rsid w:val="0017184F"/>
    <w:rsid w:val="00171E85"/>
    <w:rsid w:val="00172220"/>
    <w:rsid w:val="001729A4"/>
    <w:rsid w:val="00172A27"/>
    <w:rsid w:val="00172A5A"/>
    <w:rsid w:val="00172AB8"/>
    <w:rsid w:val="00172BBD"/>
    <w:rsid w:val="00172D01"/>
    <w:rsid w:val="00173049"/>
    <w:rsid w:val="001730C1"/>
    <w:rsid w:val="0017310A"/>
    <w:rsid w:val="001740E4"/>
    <w:rsid w:val="00174742"/>
    <w:rsid w:val="00174963"/>
    <w:rsid w:val="00174C17"/>
    <w:rsid w:val="001752B1"/>
    <w:rsid w:val="001752DA"/>
    <w:rsid w:val="00175C65"/>
    <w:rsid w:val="00175D10"/>
    <w:rsid w:val="00177042"/>
    <w:rsid w:val="00177371"/>
    <w:rsid w:val="00177F61"/>
    <w:rsid w:val="00180722"/>
    <w:rsid w:val="0018089A"/>
    <w:rsid w:val="001815DC"/>
    <w:rsid w:val="00181788"/>
    <w:rsid w:val="00181934"/>
    <w:rsid w:val="001826E8"/>
    <w:rsid w:val="00182D28"/>
    <w:rsid w:val="00184281"/>
    <w:rsid w:val="001842B9"/>
    <w:rsid w:val="0018442B"/>
    <w:rsid w:val="00184CD0"/>
    <w:rsid w:val="0018561F"/>
    <w:rsid w:val="0018567E"/>
    <w:rsid w:val="0018578C"/>
    <w:rsid w:val="00185A6F"/>
    <w:rsid w:val="00185BED"/>
    <w:rsid w:val="00185E0E"/>
    <w:rsid w:val="00186168"/>
    <w:rsid w:val="00190A0C"/>
    <w:rsid w:val="00190FFB"/>
    <w:rsid w:val="001910C1"/>
    <w:rsid w:val="00191BF2"/>
    <w:rsid w:val="00191DFE"/>
    <w:rsid w:val="00191FB3"/>
    <w:rsid w:val="001923E8"/>
    <w:rsid w:val="0019246A"/>
    <w:rsid w:val="00193485"/>
    <w:rsid w:val="00194179"/>
    <w:rsid w:val="0019431A"/>
    <w:rsid w:val="00194441"/>
    <w:rsid w:val="00194591"/>
    <w:rsid w:val="001947E6"/>
    <w:rsid w:val="00194811"/>
    <w:rsid w:val="0019507D"/>
    <w:rsid w:val="0019535B"/>
    <w:rsid w:val="0019584E"/>
    <w:rsid w:val="00195DBD"/>
    <w:rsid w:val="00196648"/>
    <w:rsid w:val="001966DB"/>
    <w:rsid w:val="001967E8"/>
    <w:rsid w:val="001969B1"/>
    <w:rsid w:val="00196B81"/>
    <w:rsid w:val="00196EC0"/>
    <w:rsid w:val="00196F2F"/>
    <w:rsid w:val="001973BA"/>
    <w:rsid w:val="00197BAF"/>
    <w:rsid w:val="001A0416"/>
    <w:rsid w:val="001A0A48"/>
    <w:rsid w:val="001A0CBD"/>
    <w:rsid w:val="001A19A9"/>
    <w:rsid w:val="001A1EA1"/>
    <w:rsid w:val="001A2535"/>
    <w:rsid w:val="001A2805"/>
    <w:rsid w:val="001A294E"/>
    <w:rsid w:val="001A2B1E"/>
    <w:rsid w:val="001A2C77"/>
    <w:rsid w:val="001A343F"/>
    <w:rsid w:val="001A3605"/>
    <w:rsid w:val="001A3794"/>
    <w:rsid w:val="001A3CEC"/>
    <w:rsid w:val="001A451C"/>
    <w:rsid w:val="001A45AF"/>
    <w:rsid w:val="001A4D46"/>
    <w:rsid w:val="001A4F1C"/>
    <w:rsid w:val="001A5438"/>
    <w:rsid w:val="001A5557"/>
    <w:rsid w:val="001A5C64"/>
    <w:rsid w:val="001A6A13"/>
    <w:rsid w:val="001A72A0"/>
    <w:rsid w:val="001A76C4"/>
    <w:rsid w:val="001A7C3A"/>
    <w:rsid w:val="001A7DB6"/>
    <w:rsid w:val="001B006C"/>
    <w:rsid w:val="001B0545"/>
    <w:rsid w:val="001B05D7"/>
    <w:rsid w:val="001B0F82"/>
    <w:rsid w:val="001B146E"/>
    <w:rsid w:val="001B149C"/>
    <w:rsid w:val="001B1DBF"/>
    <w:rsid w:val="001B2889"/>
    <w:rsid w:val="001B31EF"/>
    <w:rsid w:val="001B3326"/>
    <w:rsid w:val="001B3639"/>
    <w:rsid w:val="001B3B9C"/>
    <w:rsid w:val="001B4458"/>
    <w:rsid w:val="001B4994"/>
    <w:rsid w:val="001B4DB8"/>
    <w:rsid w:val="001B4F7F"/>
    <w:rsid w:val="001B510D"/>
    <w:rsid w:val="001B5352"/>
    <w:rsid w:val="001B59E3"/>
    <w:rsid w:val="001B5B65"/>
    <w:rsid w:val="001B5D2F"/>
    <w:rsid w:val="001B6164"/>
    <w:rsid w:val="001B62A7"/>
    <w:rsid w:val="001B68A4"/>
    <w:rsid w:val="001B6D92"/>
    <w:rsid w:val="001B6E27"/>
    <w:rsid w:val="001B6FF6"/>
    <w:rsid w:val="001B76A2"/>
    <w:rsid w:val="001C04D9"/>
    <w:rsid w:val="001C08E4"/>
    <w:rsid w:val="001C1AB2"/>
    <w:rsid w:val="001C1FAD"/>
    <w:rsid w:val="001C2462"/>
    <w:rsid w:val="001C25A0"/>
    <w:rsid w:val="001C27BE"/>
    <w:rsid w:val="001C30DF"/>
    <w:rsid w:val="001C391F"/>
    <w:rsid w:val="001C4067"/>
    <w:rsid w:val="001C41F0"/>
    <w:rsid w:val="001C480F"/>
    <w:rsid w:val="001C49E2"/>
    <w:rsid w:val="001C49F9"/>
    <w:rsid w:val="001C4BAC"/>
    <w:rsid w:val="001C4E34"/>
    <w:rsid w:val="001C4E3B"/>
    <w:rsid w:val="001C55D4"/>
    <w:rsid w:val="001C59F5"/>
    <w:rsid w:val="001C5D9A"/>
    <w:rsid w:val="001C629C"/>
    <w:rsid w:val="001C62B7"/>
    <w:rsid w:val="001C6490"/>
    <w:rsid w:val="001C6676"/>
    <w:rsid w:val="001C66E7"/>
    <w:rsid w:val="001C6E72"/>
    <w:rsid w:val="001C6EA2"/>
    <w:rsid w:val="001C6F18"/>
    <w:rsid w:val="001C7159"/>
    <w:rsid w:val="001C73C7"/>
    <w:rsid w:val="001C74DE"/>
    <w:rsid w:val="001C7C9B"/>
    <w:rsid w:val="001D02BD"/>
    <w:rsid w:val="001D0458"/>
    <w:rsid w:val="001D0BE5"/>
    <w:rsid w:val="001D0EDC"/>
    <w:rsid w:val="001D0F4D"/>
    <w:rsid w:val="001D14AB"/>
    <w:rsid w:val="001D1B46"/>
    <w:rsid w:val="001D1BB1"/>
    <w:rsid w:val="001D2090"/>
    <w:rsid w:val="001D2118"/>
    <w:rsid w:val="001D284E"/>
    <w:rsid w:val="001D2C6E"/>
    <w:rsid w:val="001D2F6D"/>
    <w:rsid w:val="001D3036"/>
    <w:rsid w:val="001D34FB"/>
    <w:rsid w:val="001D35D3"/>
    <w:rsid w:val="001D39FA"/>
    <w:rsid w:val="001D48A4"/>
    <w:rsid w:val="001D4D6E"/>
    <w:rsid w:val="001D5092"/>
    <w:rsid w:val="001D5249"/>
    <w:rsid w:val="001D59A2"/>
    <w:rsid w:val="001D5FC3"/>
    <w:rsid w:val="001D6470"/>
    <w:rsid w:val="001D715B"/>
    <w:rsid w:val="001D74BB"/>
    <w:rsid w:val="001D774E"/>
    <w:rsid w:val="001D7947"/>
    <w:rsid w:val="001D7A5A"/>
    <w:rsid w:val="001D7A6A"/>
    <w:rsid w:val="001D7AA5"/>
    <w:rsid w:val="001D7AAE"/>
    <w:rsid w:val="001D7B9C"/>
    <w:rsid w:val="001D7C58"/>
    <w:rsid w:val="001E00A4"/>
    <w:rsid w:val="001E040B"/>
    <w:rsid w:val="001E10E6"/>
    <w:rsid w:val="001E1448"/>
    <w:rsid w:val="001E1CA2"/>
    <w:rsid w:val="001E1D08"/>
    <w:rsid w:val="001E1D9E"/>
    <w:rsid w:val="001E23B6"/>
    <w:rsid w:val="001E251E"/>
    <w:rsid w:val="001E28DD"/>
    <w:rsid w:val="001E33B3"/>
    <w:rsid w:val="001E37FD"/>
    <w:rsid w:val="001E384C"/>
    <w:rsid w:val="001E39E1"/>
    <w:rsid w:val="001E3A12"/>
    <w:rsid w:val="001E3BE3"/>
    <w:rsid w:val="001E3D27"/>
    <w:rsid w:val="001E3DBA"/>
    <w:rsid w:val="001E3E91"/>
    <w:rsid w:val="001E41C7"/>
    <w:rsid w:val="001E4234"/>
    <w:rsid w:val="001E4465"/>
    <w:rsid w:val="001E4C94"/>
    <w:rsid w:val="001E5455"/>
    <w:rsid w:val="001E55A5"/>
    <w:rsid w:val="001E55CB"/>
    <w:rsid w:val="001E577A"/>
    <w:rsid w:val="001E5B4C"/>
    <w:rsid w:val="001E607B"/>
    <w:rsid w:val="001E6319"/>
    <w:rsid w:val="001E6370"/>
    <w:rsid w:val="001E65FE"/>
    <w:rsid w:val="001E6763"/>
    <w:rsid w:val="001E680C"/>
    <w:rsid w:val="001E6BC9"/>
    <w:rsid w:val="001E6CFC"/>
    <w:rsid w:val="001E6D4E"/>
    <w:rsid w:val="001E6DB1"/>
    <w:rsid w:val="001E6F27"/>
    <w:rsid w:val="001E71CD"/>
    <w:rsid w:val="001E74DE"/>
    <w:rsid w:val="001E784F"/>
    <w:rsid w:val="001E7A6E"/>
    <w:rsid w:val="001E7B36"/>
    <w:rsid w:val="001E7D31"/>
    <w:rsid w:val="001E7DAB"/>
    <w:rsid w:val="001E7F93"/>
    <w:rsid w:val="001F025E"/>
    <w:rsid w:val="001F02B1"/>
    <w:rsid w:val="001F096E"/>
    <w:rsid w:val="001F0CF2"/>
    <w:rsid w:val="001F10A1"/>
    <w:rsid w:val="001F15ED"/>
    <w:rsid w:val="001F1649"/>
    <w:rsid w:val="001F1908"/>
    <w:rsid w:val="001F1D09"/>
    <w:rsid w:val="001F2502"/>
    <w:rsid w:val="001F27DD"/>
    <w:rsid w:val="001F2B7F"/>
    <w:rsid w:val="001F3793"/>
    <w:rsid w:val="001F3AA7"/>
    <w:rsid w:val="001F3BC5"/>
    <w:rsid w:val="001F3C00"/>
    <w:rsid w:val="001F4367"/>
    <w:rsid w:val="001F452C"/>
    <w:rsid w:val="001F4DCE"/>
    <w:rsid w:val="001F566F"/>
    <w:rsid w:val="001F56C9"/>
    <w:rsid w:val="001F611D"/>
    <w:rsid w:val="001F627D"/>
    <w:rsid w:val="001F67EA"/>
    <w:rsid w:val="001F79E9"/>
    <w:rsid w:val="001F7CA1"/>
    <w:rsid w:val="001F7DEC"/>
    <w:rsid w:val="001F7F93"/>
    <w:rsid w:val="0020000F"/>
    <w:rsid w:val="002005F2"/>
    <w:rsid w:val="00200828"/>
    <w:rsid w:val="00200EBA"/>
    <w:rsid w:val="00200F61"/>
    <w:rsid w:val="002011A1"/>
    <w:rsid w:val="002014A6"/>
    <w:rsid w:val="00201CA6"/>
    <w:rsid w:val="00201DCD"/>
    <w:rsid w:val="00201F52"/>
    <w:rsid w:val="00202067"/>
    <w:rsid w:val="00202316"/>
    <w:rsid w:val="002025A4"/>
    <w:rsid w:val="00202E96"/>
    <w:rsid w:val="0020301C"/>
    <w:rsid w:val="002032BA"/>
    <w:rsid w:val="00203533"/>
    <w:rsid w:val="00203A59"/>
    <w:rsid w:val="00203AA7"/>
    <w:rsid w:val="00203F3A"/>
    <w:rsid w:val="002044BF"/>
    <w:rsid w:val="002046FC"/>
    <w:rsid w:val="00204746"/>
    <w:rsid w:val="0020478F"/>
    <w:rsid w:val="00204ADE"/>
    <w:rsid w:val="00204C93"/>
    <w:rsid w:val="00204F75"/>
    <w:rsid w:val="002056E2"/>
    <w:rsid w:val="00205D98"/>
    <w:rsid w:val="002060F5"/>
    <w:rsid w:val="002062F7"/>
    <w:rsid w:val="0020655B"/>
    <w:rsid w:val="0020689D"/>
    <w:rsid w:val="00206905"/>
    <w:rsid w:val="00206BF1"/>
    <w:rsid w:val="00206C3C"/>
    <w:rsid w:val="00206C4A"/>
    <w:rsid w:val="00206D62"/>
    <w:rsid w:val="00206DBF"/>
    <w:rsid w:val="002074BC"/>
    <w:rsid w:val="0021076D"/>
    <w:rsid w:val="002108A5"/>
    <w:rsid w:val="00210CA6"/>
    <w:rsid w:val="00210CCA"/>
    <w:rsid w:val="00210EEC"/>
    <w:rsid w:val="00210F02"/>
    <w:rsid w:val="00210FFE"/>
    <w:rsid w:val="0021126B"/>
    <w:rsid w:val="00211465"/>
    <w:rsid w:val="00211554"/>
    <w:rsid w:val="002116AE"/>
    <w:rsid w:val="002117F9"/>
    <w:rsid w:val="00211F8F"/>
    <w:rsid w:val="00211F98"/>
    <w:rsid w:val="0021204F"/>
    <w:rsid w:val="00212926"/>
    <w:rsid w:val="00212C4F"/>
    <w:rsid w:val="0021303F"/>
    <w:rsid w:val="00213D87"/>
    <w:rsid w:val="00214A4F"/>
    <w:rsid w:val="00216567"/>
    <w:rsid w:val="0021682A"/>
    <w:rsid w:val="0021684D"/>
    <w:rsid w:val="00217745"/>
    <w:rsid w:val="00217ECC"/>
    <w:rsid w:val="00217EE3"/>
    <w:rsid w:val="00220168"/>
    <w:rsid w:val="002203B7"/>
    <w:rsid w:val="002208B7"/>
    <w:rsid w:val="00220B97"/>
    <w:rsid w:val="00220FF4"/>
    <w:rsid w:val="00221536"/>
    <w:rsid w:val="002215AB"/>
    <w:rsid w:val="0022177E"/>
    <w:rsid w:val="00221AD6"/>
    <w:rsid w:val="00221E47"/>
    <w:rsid w:val="0022200E"/>
    <w:rsid w:val="00222075"/>
    <w:rsid w:val="0022212C"/>
    <w:rsid w:val="002223E8"/>
    <w:rsid w:val="002227A1"/>
    <w:rsid w:val="00222A5D"/>
    <w:rsid w:val="00222ABF"/>
    <w:rsid w:val="002230E3"/>
    <w:rsid w:val="00223D65"/>
    <w:rsid w:val="0022420D"/>
    <w:rsid w:val="0022483E"/>
    <w:rsid w:val="00224F05"/>
    <w:rsid w:val="00225A60"/>
    <w:rsid w:val="00225BE8"/>
    <w:rsid w:val="00225C2F"/>
    <w:rsid w:val="00225C54"/>
    <w:rsid w:val="00226AFF"/>
    <w:rsid w:val="00226DC9"/>
    <w:rsid w:val="00226F58"/>
    <w:rsid w:val="002301F4"/>
    <w:rsid w:val="00230669"/>
    <w:rsid w:val="00230755"/>
    <w:rsid w:val="00230A7C"/>
    <w:rsid w:val="00232321"/>
    <w:rsid w:val="002323E1"/>
    <w:rsid w:val="0023256D"/>
    <w:rsid w:val="002325C7"/>
    <w:rsid w:val="00232843"/>
    <w:rsid w:val="00232C5F"/>
    <w:rsid w:val="0023363A"/>
    <w:rsid w:val="002338CA"/>
    <w:rsid w:val="00233989"/>
    <w:rsid w:val="00233D96"/>
    <w:rsid w:val="00233E9A"/>
    <w:rsid w:val="002343E3"/>
    <w:rsid w:val="0023495D"/>
    <w:rsid w:val="00234DD3"/>
    <w:rsid w:val="002354CD"/>
    <w:rsid w:val="002355CB"/>
    <w:rsid w:val="00235A78"/>
    <w:rsid w:val="002364A1"/>
    <w:rsid w:val="00236B3D"/>
    <w:rsid w:val="00236B86"/>
    <w:rsid w:val="00236F45"/>
    <w:rsid w:val="00236FA6"/>
    <w:rsid w:val="0023769E"/>
    <w:rsid w:val="00237856"/>
    <w:rsid w:val="00240449"/>
    <w:rsid w:val="002404AE"/>
    <w:rsid w:val="0024065B"/>
    <w:rsid w:val="002409D7"/>
    <w:rsid w:val="00240B0C"/>
    <w:rsid w:val="002411D1"/>
    <w:rsid w:val="00241762"/>
    <w:rsid w:val="00241E4D"/>
    <w:rsid w:val="002421F5"/>
    <w:rsid w:val="002424E8"/>
    <w:rsid w:val="00242893"/>
    <w:rsid w:val="002429F2"/>
    <w:rsid w:val="0024378E"/>
    <w:rsid w:val="00243C6B"/>
    <w:rsid w:val="00243EDC"/>
    <w:rsid w:val="002448FC"/>
    <w:rsid w:val="00244F86"/>
    <w:rsid w:val="00245584"/>
    <w:rsid w:val="002458C9"/>
    <w:rsid w:val="00246D91"/>
    <w:rsid w:val="00246F6A"/>
    <w:rsid w:val="002474C6"/>
    <w:rsid w:val="00247AD6"/>
    <w:rsid w:val="00247F80"/>
    <w:rsid w:val="0025031A"/>
    <w:rsid w:val="002506D7"/>
    <w:rsid w:val="002509FB"/>
    <w:rsid w:val="00250EAB"/>
    <w:rsid w:val="002511DB"/>
    <w:rsid w:val="00251594"/>
    <w:rsid w:val="002515B4"/>
    <w:rsid w:val="00251613"/>
    <w:rsid w:val="00251988"/>
    <w:rsid w:val="00251C6A"/>
    <w:rsid w:val="0025227F"/>
    <w:rsid w:val="002524B0"/>
    <w:rsid w:val="00252665"/>
    <w:rsid w:val="00252B73"/>
    <w:rsid w:val="00252D7F"/>
    <w:rsid w:val="002534A3"/>
    <w:rsid w:val="00253C62"/>
    <w:rsid w:val="00253DAC"/>
    <w:rsid w:val="002543D7"/>
    <w:rsid w:val="00254429"/>
    <w:rsid w:val="0025442F"/>
    <w:rsid w:val="00254C73"/>
    <w:rsid w:val="00254FCE"/>
    <w:rsid w:val="002554FF"/>
    <w:rsid w:val="002561FE"/>
    <w:rsid w:val="00256272"/>
    <w:rsid w:val="002563F2"/>
    <w:rsid w:val="00256445"/>
    <w:rsid w:val="0025682E"/>
    <w:rsid w:val="00256C01"/>
    <w:rsid w:val="00256FC5"/>
    <w:rsid w:val="002570B0"/>
    <w:rsid w:val="0025753C"/>
    <w:rsid w:val="002578C9"/>
    <w:rsid w:val="00257A3A"/>
    <w:rsid w:val="00257B15"/>
    <w:rsid w:val="00257B81"/>
    <w:rsid w:val="00260115"/>
    <w:rsid w:val="00260371"/>
    <w:rsid w:val="00260961"/>
    <w:rsid w:val="00260A9A"/>
    <w:rsid w:val="00260C53"/>
    <w:rsid w:val="0026152B"/>
    <w:rsid w:val="00261819"/>
    <w:rsid w:val="002618ED"/>
    <w:rsid w:val="00261F17"/>
    <w:rsid w:val="00262029"/>
    <w:rsid w:val="00262631"/>
    <w:rsid w:val="00262AC9"/>
    <w:rsid w:val="00262EBD"/>
    <w:rsid w:val="002640DC"/>
    <w:rsid w:val="002643AF"/>
    <w:rsid w:val="002649B4"/>
    <w:rsid w:val="00264DDC"/>
    <w:rsid w:val="00264F6D"/>
    <w:rsid w:val="00265807"/>
    <w:rsid w:val="00265843"/>
    <w:rsid w:val="00265AB1"/>
    <w:rsid w:val="00265B3D"/>
    <w:rsid w:val="00265E70"/>
    <w:rsid w:val="002663E0"/>
    <w:rsid w:val="00266AB0"/>
    <w:rsid w:val="0026746C"/>
    <w:rsid w:val="00267C43"/>
    <w:rsid w:val="002700EB"/>
    <w:rsid w:val="002708A0"/>
    <w:rsid w:val="00270B92"/>
    <w:rsid w:val="00270C64"/>
    <w:rsid w:val="00270D29"/>
    <w:rsid w:val="00270F61"/>
    <w:rsid w:val="002714B5"/>
    <w:rsid w:val="002714D3"/>
    <w:rsid w:val="00271F22"/>
    <w:rsid w:val="002720D4"/>
    <w:rsid w:val="00272965"/>
    <w:rsid w:val="00272A5A"/>
    <w:rsid w:val="0027360C"/>
    <w:rsid w:val="00273781"/>
    <w:rsid w:val="00273822"/>
    <w:rsid w:val="00273B4B"/>
    <w:rsid w:val="00273CE4"/>
    <w:rsid w:val="00273EF1"/>
    <w:rsid w:val="00273F24"/>
    <w:rsid w:val="00274409"/>
    <w:rsid w:val="002747F2"/>
    <w:rsid w:val="002758D2"/>
    <w:rsid w:val="00275AF3"/>
    <w:rsid w:val="00275C36"/>
    <w:rsid w:val="00275E45"/>
    <w:rsid w:val="00276037"/>
    <w:rsid w:val="00276246"/>
    <w:rsid w:val="002763E7"/>
    <w:rsid w:val="002764B7"/>
    <w:rsid w:val="00276539"/>
    <w:rsid w:val="002769B0"/>
    <w:rsid w:val="00276D23"/>
    <w:rsid w:val="00276F9E"/>
    <w:rsid w:val="0027756F"/>
    <w:rsid w:val="002776D3"/>
    <w:rsid w:val="00277D4A"/>
    <w:rsid w:val="00277F77"/>
    <w:rsid w:val="00280D70"/>
    <w:rsid w:val="00280E26"/>
    <w:rsid w:val="0028148E"/>
    <w:rsid w:val="0028212B"/>
    <w:rsid w:val="002822BC"/>
    <w:rsid w:val="00282825"/>
    <w:rsid w:val="00282B56"/>
    <w:rsid w:val="00283891"/>
    <w:rsid w:val="00283925"/>
    <w:rsid w:val="002841B4"/>
    <w:rsid w:val="0028433C"/>
    <w:rsid w:val="00284566"/>
    <w:rsid w:val="002850B2"/>
    <w:rsid w:val="00285A14"/>
    <w:rsid w:val="00285CE4"/>
    <w:rsid w:val="00285F4C"/>
    <w:rsid w:val="002866DA"/>
    <w:rsid w:val="002867C4"/>
    <w:rsid w:val="00286833"/>
    <w:rsid w:val="00286DC2"/>
    <w:rsid w:val="00286ED6"/>
    <w:rsid w:val="002870D4"/>
    <w:rsid w:val="002871B6"/>
    <w:rsid w:val="00287257"/>
    <w:rsid w:val="002874A7"/>
    <w:rsid w:val="002877B3"/>
    <w:rsid w:val="00287D46"/>
    <w:rsid w:val="002900ED"/>
    <w:rsid w:val="0029147D"/>
    <w:rsid w:val="0029236C"/>
    <w:rsid w:val="002925B8"/>
    <w:rsid w:val="002925CC"/>
    <w:rsid w:val="00292A76"/>
    <w:rsid w:val="00293154"/>
    <w:rsid w:val="002931EB"/>
    <w:rsid w:val="0029322B"/>
    <w:rsid w:val="002936C0"/>
    <w:rsid w:val="00293FAA"/>
    <w:rsid w:val="00294244"/>
    <w:rsid w:val="00294BBF"/>
    <w:rsid w:val="002953AE"/>
    <w:rsid w:val="00295869"/>
    <w:rsid w:val="00295A90"/>
    <w:rsid w:val="00295D4F"/>
    <w:rsid w:val="0029642A"/>
    <w:rsid w:val="002967C4"/>
    <w:rsid w:val="002968AA"/>
    <w:rsid w:val="00296AC9"/>
    <w:rsid w:val="00296E82"/>
    <w:rsid w:val="00297EB0"/>
    <w:rsid w:val="002A0386"/>
    <w:rsid w:val="002A1AE9"/>
    <w:rsid w:val="002A1B94"/>
    <w:rsid w:val="002A1BE5"/>
    <w:rsid w:val="002A1CEC"/>
    <w:rsid w:val="002A1D5F"/>
    <w:rsid w:val="002A240F"/>
    <w:rsid w:val="002A2CCC"/>
    <w:rsid w:val="002A2D89"/>
    <w:rsid w:val="002A3929"/>
    <w:rsid w:val="002A3DFA"/>
    <w:rsid w:val="002A3EE1"/>
    <w:rsid w:val="002A42AB"/>
    <w:rsid w:val="002A4349"/>
    <w:rsid w:val="002A47C3"/>
    <w:rsid w:val="002A47E7"/>
    <w:rsid w:val="002A4A9F"/>
    <w:rsid w:val="002A4CB1"/>
    <w:rsid w:val="002A4F70"/>
    <w:rsid w:val="002A5211"/>
    <w:rsid w:val="002A535D"/>
    <w:rsid w:val="002A53A1"/>
    <w:rsid w:val="002A5599"/>
    <w:rsid w:val="002A55B6"/>
    <w:rsid w:val="002A563C"/>
    <w:rsid w:val="002A5CD5"/>
    <w:rsid w:val="002A604A"/>
    <w:rsid w:val="002A64F4"/>
    <w:rsid w:val="002A6565"/>
    <w:rsid w:val="002A6662"/>
    <w:rsid w:val="002A6FC8"/>
    <w:rsid w:val="002A7680"/>
    <w:rsid w:val="002A76EC"/>
    <w:rsid w:val="002A7BCE"/>
    <w:rsid w:val="002A7D56"/>
    <w:rsid w:val="002B00BD"/>
    <w:rsid w:val="002B0442"/>
    <w:rsid w:val="002B05E0"/>
    <w:rsid w:val="002B0626"/>
    <w:rsid w:val="002B0760"/>
    <w:rsid w:val="002B0820"/>
    <w:rsid w:val="002B0A07"/>
    <w:rsid w:val="002B0A1C"/>
    <w:rsid w:val="002B0B4A"/>
    <w:rsid w:val="002B0BA8"/>
    <w:rsid w:val="002B0DD2"/>
    <w:rsid w:val="002B158B"/>
    <w:rsid w:val="002B2824"/>
    <w:rsid w:val="002B2AE0"/>
    <w:rsid w:val="002B378A"/>
    <w:rsid w:val="002B378F"/>
    <w:rsid w:val="002B3DA9"/>
    <w:rsid w:val="002B45B7"/>
    <w:rsid w:val="002B4824"/>
    <w:rsid w:val="002B4E9B"/>
    <w:rsid w:val="002B4FB7"/>
    <w:rsid w:val="002B56C4"/>
    <w:rsid w:val="002B57C8"/>
    <w:rsid w:val="002B5992"/>
    <w:rsid w:val="002B5CE2"/>
    <w:rsid w:val="002B61E5"/>
    <w:rsid w:val="002B67D3"/>
    <w:rsid w:val="002B6DD8"/>
    <w:rsid w:val="002B6F86"/>
    <w:rsid w:val="002B7179"/>
    <w:rsid w:val="002B76E1"/>
    <w:rsid w:val="002C003D"/>
    <w:rsid w:val="002C0148"/>
    <w:rsid w:val="002C03B0"/>
    <w:rsid w:val="002C08F9"/>
    <w:rsid w:val="002C0988"/>
    <w:rsid w:val="002C0A37"/>
    <w:rsid w:val="002C0D84"/>
    <w:rsid w:val="002C0E49"/>
    <w:rsid w:val="002C119A"/>
    <w:rsid w:val="002C121F"/>
    <w:rsid w:val="002C13C1"/>
    <w:rsid w:val="002C175C"/>
    <w:rsid w:val="002C180D"/>
    <w:rsid w:val="002C23DE"/>
    <w:rsid w:val="002C2876"/>
    <w:rsid w:val="002C2993"/>
    <w:rsid w:val="002C2BC0"/>
    <w:rsid w:val="002C2F8E"/>
    <w:rsid w:val="002C3505"/>
    <w:rsid w:val="002C37AD"/>
    <w:rsid w:val="002C3D31"/>
    <w:rsid w:val="002C43BE"/>
    <w:rsid w:val="002C4C01"/>
    <w:rsid w:val="002C4E29"/>
    <w:rsid w:val="002C4FDC"/>
    <w:rsid w:val="002C4FE0"/>
    <w:rsid w:val="002C519B"/>
    <w:rsid w:val="002C5CB0"/>
    <w:rsid w:val="002C5D66"/>
    <w:rsid w:val="002C6725"/>
    <w:rsid w:val="002C6FD4"/>
    <w:rsid w:val="002C7AB5"/>
    <w:rsid w:val="002C7C2D"/>
    <w:rsid w:val="002D0061"/>
    <w:rsid w:val="002D0209"/>
    <w:rsid w:val="002D024D"/>
    <w:rsid w:val="002D02D9"/>
    <w:rsid w:val="002D080D"/>
    <w:rsid w:val="002D0DC9"/>
    <w:rsid w:val="002D0DE0"/>
    <w:rsid w:val="002D11A2"/>
    <w:rsid w:val="002D1AB3"/>
    <w:rsid w:val="002D1B8D"/>
    <w:rsid w:val="002D212B"/>
    <w:rsid w:val="002D3125"/>
    <w:rsid w:val="002D3829"/>
    <w:rsid w:val="002D399A"/>
    <w:rsid w:val="002D3D25"/>
    <w:rsid w:val="002D4420"/>
    <w:rsid w:val="002D48CD"/>
    <w:rsid w:val="002D4F0E"/>
    <w:rsid w:val="002D57EF"/>
    <w:rsid w:val="002D599E"/>
    <w:rsid w:val="002D5BBA"/>
    <w:rsid w:val="002D6459"/>
    <w:rsid w:val="002D6826"/>
    <w:rsid w:val="002D6F33"/>
    <w:rsid w:val="002D729E"/>
    <w:rsid w:val="002D72A9"/>
    <w:rsid w:val="002D749E"/>
    <w:rsid w:val="002D76D9"/>
    <w:rsid w:val="002D7D76"/>
    <w:rsid w:val="002E0466"/>
    <w:rsid w:val="002E0A1F"/>
    <w:rsid w:val="002E0B04"/>
    <w:rsid w:val="002E0CDC"/>
    <w:rsid w:val="002E1187"/>
    <w:rsid w:val="002E16EC"/>
    <w:rsid w:val="002E2229"/>
    <w:rsid w:val="002E23E8"/>
    <w:rsid w:val="002E240F"/>
    <w:rsid w:val="002E3248"/>
    <w:rsid w:val="002E337B"/>
    <w:rsid w:val="002E3587"/>
    <w:rsid w:val="002E38BD"/>
    <w:rsid w:val="002E407A"/>
    <w:rsid w:val="002E4247"/>
    <w:rsid w:val="002E46B1"/>
    <w:rsid w:val="002E4E76"/>
    <w:rsid w:val="002E5476"/>
    <w:rsid w:val="002E54EB"/>
    <w:rsid w:val="002E6204"/>
    <w:rsid w:val="002E6842"/>
    <w:rsid w:val="002E68F4"/>
    <w:rsid w:val="002E6A08"/>
    <w:rsid w:val="002E6BF1"/>
    <w:rsid w:val="002E6CEE"/>
    <w:rsid w:val="002F029C"/>
    <w:rsid w:val="002F0A30"/>
    <w:rsid w:val="002F0BFE"/>
    <w:rsid w:val="002F0CD8"/>
    <w:rsid w:val="002F0E41"/>
    <w:rsid w:val="002F0E6E"/>
    <w:rsid w:val="002F2061"/>
    <w:rsid w:val="002F22D6"/>
    <w:rsid w:val="002F2339"/>
    <w:rsid w:val="002F2723"/>
    <w:rsid w:val="002F2765"/>
    <w:rsid w:val="002F27DF"/>
    <w:rsid w:val="002F2A38"/>
    <w:rsid w:val="002F2D5B"/>
    <w:rsid w:val="002F2F39"/>
    <w:rsid w:val="002F308D"/>
    <w:rsid w:val="002F342B"/>
    <w:rsid w:val="002F37A8"/>
    <w:rsid w:val="002F3E4E"/>
    <w:rsid w:val="002F408D"/>
    <w:rsid w:val="002F412F"/>
    <w:rsid w:val="002F4355"/>
    <w:rsid w:val="002F44B3"/>
    <w:rsid w:val="002F48B4"/>
    <w:rsid w:val="002F4FA7"/>
    <w:rsid w:val="002F52B2"/>
    <w:rsid w:val="002F5380"/>
    <w:rsid w:val="002F6314"/>
    <w:rsid w:val="002F6632"/>
    <w:rsid w:val="002F6752"/>
    <w:rsid w:val="002F68EB"/>
    <w:rsid w:val="002F6ABD"/>
    <w:rsid w:val="002F70F2"/>
    <w:rsid w:val="002F74C6"/>
    <w:rsid w:val="003001B8"/>
    <w:rsid w:val="00300DDF"/>
    <w:rsid w:val="00300FBC"/>
    <w:rsid w:val="00301D91"/>
    <w:rsid w:val="00302053"/>
    <w:rsid w:val="0030225A"/>
    <w:rsid w:val="0030241E"/>
    <w:rsid w:val="00302752"/>
    <w:rsid w:val="00302825"/>
    <w:rsid w:val="00302B1E"/>
    <w:rsid w:val="00302CEB"/>
    <w:rsid w:val="00302DC0"/>
    <w:rsid w:val="0030339B"/>
    <w:rsid w:val="003036F6"/>
    <w:rsid w:val="00303803"/>
    <w:rsid w:val="00303B51"/>
    <w:rsid w:val="00303E07"/>
    <w:rsid w:val="00304486"/>
    <w:rsid w:val="00304A32"/>
    <w:rsid w:val="00304B01"/>
    <w:rsid w:val="00305644"/>
    <w:rsid w:val="00305650"/>
    <w:rsid w:val="00305ADF"/>
    <w:rsid w:val="00305D7F"/>
    <w:rsid w:val="00305E74"/>
    <w:rsid w:val="003064A7"/>
    <w:rsid w:val="00306648"/>
    <w:rsid w:val="00306B9E"/>
    <w:rsid w:val="00306FFC"/>
    <w:rsid w:val="00307356"/>
    <w:rsid w:val="00307C12"/>
    <w:rsid w:val="00307F53"/>
    <w:rsid w:val="0031017D"/>
    <w:rsid w:val="00310CDB"/>
    <w:rsid w:val="0031112F"/>
    <w:rsid w:val="003112C8"/>
    <w:rsid w:val="00311444"/>
    <w:rsid w:val="003117FF"/>
    <w:rsid w:val="00312387"/>
    <w:rsid w:val="00312ED0"/>
    <w:rsid w:val="0031368C"/>
    <w:rsid w:val="00313ACA"/>
    <w:rsid w:val="00313F31"/>
    <w:rsid w:val="003140DC"/>
    <w:rsid w:val="003143C9"/>
    <w:rsid w:val="003143F5"/>
    <w:rsid w:val="0031482E"/>
    <w:rsid w:val="00314C36"/>
    <w:rsid w:val="00315310"/>
    <w:rsid w:val="00315A29"/>
    <w:rsid w:val="00315C9D"/>
    <w:rsid w:val="00315F02"/>
    <w:rsid w:val="00315F33"/>
    <w:rsid w:val="00316137"/>
    <w:rsid w:val="003161AD"/>
    <w:rsid w:val="00316235"/>
    <w:rsid w:val="0031639C"/>
    <w:rsid w:val="0031642A"/>
    <w:rsid w:val="00316A2C"/>
    <w:rsid w:val="003178C2"/>
    <w:rsid w:val="0032002D"/>
    <w:rsid w:val="003206CF"/>
    <w:rsid w:val="003207B3"/>
    <w:rsid w:val="00321630"/>
    <w:rsid w:val="00321822"/>
    <w:rsid w:val="00322090"/>
    <w:rsid w:val="0032225F"/>
    <w:rsid w:val="00322313"/>
    <w:rsid w:val="00322A65"/>
    <w:rsid w:val="00322B1D"/>
    <w:rsid w:val="003233F2"/>
    <w:rsid w:val="00323590"/>
    <w:rsid w:val="00323A70"/>
    <w:rsid w:val="00323C71"/>
    <w:rsid w:val="00324211"/>
    <w:rsid w:val="00324403"/>
    <w:rsid w:val="003245C3"/>
    <w:rsid w:val="0032468F"/>
    <w:rsid w:val="0032489A"/>
    <w:rsid w:val="00324C5E"/>
    <w:rsid w:val="00325678"/>
    <w:rsid w:val="0032568C"/>
    <w:rsid w:val="00325991"/>
    <w:rsid w:val="00325B95"/>
    <w:rsid w:val="00325E2C"/>
    <w:rsid w:val="00326284"/>
    <w:rsid w:val="00326EC0"/>
    <w:rsid w:val="00326FCC"/>
    <w:rsid w:val="003305BD"/>
    <w:rsid w:val="003306DC"/>
    <w:rsid w:val="00330788"/>
    <w:rsid w:val="00330DC6"/>
    <w:rsid w:val="0033124D"/>
    <w:rsid w:val="00331B33"/>
    <w:rsid w:val="00331C55"/>
    <w:rsid w:val="00331D64"/>
    <w:rsid w:val="00332186"/>
    <w:rsid w:val="00332333"/>
    <w:rsid w:val="0033295C"/>
    <w:rsid w:val="00332F72"/>
    <w:rsid w:val="003332E3"/>
    <w:rsid w:val="003334F1"/>
    <w:rsid w:val="0033354C"/>
    <w:rsid w:val="00334432"/>
    <w:rsid w:val="00334968"/>
    <w:rsid w:val="00334A8B"/>
    <w:rsid w:val="00334CC7"/>
    <w:rsid w:val="00334D31"/>
    <w:rsid w:val="00334E37"/>
    <w:rsid w:val="003358AE"/>
    <w:rsid w:val="00335F54"/>
    <w:rsid w:val="003366B0"/>
    <w:rsid w:val="00336A0D"/>
    <w:rsid w:val="00336EAD"/>
    <w:rsid w:val="00337B3E"/>
    <w:rsid w:val="00337B8B"/>
    <w:rsid w:val="00340395"/>
    <w:rsid w:val="00340786"/>
    <w:rsid w:val="00340CD8"/>
    <w:rsid w:val="00340FD7"/>
    <w:rsid w:val="00340FE7"/>
    <w:rsid w:val="00341816"/>
    <w:rsid w:val="003420CD"/>
    <w:rsid w:val="003421E1"/>
    <w:rsid w:val="003422C1"/>
    <w:rsid w:val="00342473"/>
    <w:rsid w:val="00342673"/>
    <w:rsid w:val="00342884"/>
    <w:rsid w:val="003430F6"/>
    <w:rsid w:val="003434EF"/>
    <w:rsid w:val="00343632"/>
    <w:rsid w:val="00343FE2"/>
    <w:rsid w:val="003447F1"/>
    <w:rsid w:val="00345426"/>
    <w:rsid w:val="00345FD6"/>
    <w:rsid w:val="0034603D"/>
    <w:rsid w:val="00346681"/>
    <w:rsid w:val="003466BB"/>
    <w:rsid w:val="00346A72"/>
    <w:rsid w:val="00346C2C"/>
    <w:rsid w:val="00346C59"/>
    <w:rsid w:val="00346CF8"/>
    <w:rsid w:val="00346E11"/>
    <w:rsid w:val="003470A7"/>
    <w:rsid w:val="00347366"/>
    <w:rsid w:val="003476F8"/>
    <w:rsid w:val="00347EE3"/>
    <w:rsid w:val="003512D8"/>
    <w:rsid w:val="00351327"/>
    <w:rsid w:val="003518FF"/>
    <w:rsid w:val="00351947"/>
    <w:rsid w:val="00352627"/>
    <w:rsid w:val="00352770"/>
    <w:rsid w:val="00352BEF"/>
    <w:rsid w:val="00352CA7"/>
    <w:rsid w:val="00352D9A"/>
    <w:rsid w:val="00353016"/>
    <w:rsid w:val="0035334D"/>
    <w:rsid w:val="003536A3"/>
    <w:rsid w:val="00353FF0"/>
    <w:rsid w:val="003541E3"/>
    <w:rsid w:val="00355A68"/>
    <w:rsid w:val="00355C01"/>
    <w:rsid w:val="00355E03"/>
    <w:rsid w:val="003565C9"/>
    <w:rsid w:val="00356E7F"/>
    <w:rsid w:val="003573B0"/>
    <w:rsid w:val="00357780"/>
    <w:rsid w:val="00357A0F"/>
    <w:rsid w:val="0036001B"/>
    <w:rsid w:val="00360189"/>
    <w:rsid w:val="00360B3C"/>
    <w:rsid w:val="00360F0D"/>
    <w:rsid w:val="00361020"/>
    <w:rsid w:val="003619C0"/>
    <w:rsid w:val="00361A50"/>
    <w:rsid w:val="00361D83"/>
    <w:rsid w:val="0036350F"/>
    <w:rsid w:val="00363967"/>
    <w:rsid w:val="003639B5"/>
    <w:rsid w:val="003639C0"/>
    <w:rsid w:val="0036417D"/>
    <w:rsid w:val="00364199"/>
    <w:rsid w:val="0036443A"/>
    <w:rsid w:val="0036468B"/>
    <w:rsid w:val="00364692"/>
    <w:rsid w:val="00364C3B"/>
    <w:rsid w:val="00365545"/>
    <w:rsid w:val="00365961"/>
    <w:rsid w:val="003659B5"/>
    <w:rsid w:val="00366286"/>
    <w:rsid w:val="00366375"/>
    <w:rsid w:val="0036658F"/>
    <w:rsid w:val="003669B0"/>
    <w:rsid w:val="00366B72"/>
    <w:rsid w:val="003671B6"/>
    <w:rsid w:val="00367202"/>
    <w:rsid w:val="00367731"/>
    <w:rsid w:val="00367FED"/>
    <w:rsid w:val="00370389"/>
    <w:rsid w:val="00370BE2"/>
    <w:rsid w:val="00370C0C"/>
    <w:rsid w:val="00371585"/>
    <w:rsid w:val="00371AB3"/>
    <w:rsid w:val="00372066"/>
    <w:rsid w:val="003723CE"/>
    <w:rsid w:val="00372625"/>
    <w:rsid w:val="00372B49"/>
    <w:rsid w:val="00372DAC"/>
    <w:rsid w:val="0037318B"/>
    <w:rsid w:val="003733FE"/>
    <w:rsid w:val="003734C2"/>
    <w:rsid w:val="0037372D"/>
    <w:rsid w:val="003739CC"/>
    <w:rsid w:val="0037406E"/>
    <w:rsid w:val="003748BA"/>
    <w:rsid w:val="00374CD9"/>
    <w:rsid w:val="00374EA6"/>
    <w:rsid w:val="00374F92"/>
    <w:rsid w:val="00375066"/>
    <w:rsid w:val="003751C8"/>
    <w:rsid w:val="003753C7"/>
    <w:rsid w:val="00376274"/>
    <w:rsid w:val="003763FB"/>
    <w:rsid w:val="00376939"/>
    <w:rsid w:val="00376FF5"/>
    <w:rsid w:val="00377360"/>
    <w:rsid w:val="003777BB"/>
    <w:rsid w:val="003777D5"/>
    <w:rsid w:val="00377B63"/>
    <w:rsid w:val="00377D00"/>
    <w:rsid w:val="00377E80"/>
    <w:rsid w:val="0038025E"/>
    <w:rsid w:val="003807AA"/>
    <w:rsid w:val="00380A1D"/>
    <w:rsid w:val="003813F7"/>
    <w:rsid w:val="0038162C"/>
    <w:rsid w:val="00381C71"/>
    <w:rsid w:val="00382253"/>
    <w:rsid w:val="003822A2"/>
    <w:rsid w:val="003826BF"/>
    <w:rsid w:val="00382706"/>
    <w:rsid w:val="00382E41"/>
    <w:rsid w:val="00382F26"/>
    <w:rsid w:val="0038373A"/>
    <w:rsid w:val="00383885"/>
    <w:rsid w:val="003846D6"/>
    <w:rsid w:val="00384773"/>
    <w:rsid w:val="00384D1D"/>
    <w:rsid w:val="00385343"/>
    <w:rsid w:val="003854C5"/>
    <w:rsid w:val="00385CBF"/>
    <w:rsid w:val="00386085"/>
    <w:rsid w:val="003862A5"/>
    <w:rsid w:val="00386745"/>
    <w:rsid w:val="003876D9"/>
    <w:rsid w:val="0038777E"/>
    <w:rsid w:val="00387863"/>
    <w:rsid w:val="00387B25"/>
    <w:rsid w:val="00387BE4"/>
    <w:rsid w:val="00387C94"/>
    <w:rsid w:val="00387D48"/>
    <w:rsid w:val="00387D9F"/>
    <w:rsid w:val="00390066"/>
    <w:rsid w:val="0039010D"/>
    <w:rsid w:val="0039058E"/>
    <w:rsid w:val="00390E7A"/>
    <w:rsid w:val="00391082"/>
    <w:rsid w:val="00391949"/>
    <w:rsid w:val="00391D26"/>
    <w:rsid w:val="00391DC0"/>
    <w:rsid w:val="003921EB"/>
    <w:rsid w:val="00392312"/>
    <w:rsid w:val="00392386"/>
    <w:rsid w:val="003924BA"/>
    <w:rsid w:val="00392587"/>
    <w:rsid w:val="0039280D"/>
    <w:rsid w:val="00392A3C"/>
    <w:rsid w:val="00393177"/>
    <w:rsid w:val="0039320B"/>
    <w:rsid w:val="00393449"/>
    <w:rsid w:val="0039345E"/>
    <w:rsid w:val="003935C7"/>
    <w:rsid w:val="00393F6B"/>
    <w:rsid w:val="00394778"/>
    <w:rsid w:val="00394B00"/>
    <w:rsid w:val="00394E03"/>
    <w:rsid w:val="003953A4"/>
    <w:rsid w:val="00395C79"/>
    <w:rsid w:val="003962CC"/>
    <w:rsid w:val="00396874"/>
    <w:rsid w:val="00396AB2"/>
    <w:rsid w:val="00396CDC"/>
    <w:rsid w:val="00397792"/>
    <w:rsid w:val="00397DC5"/>
    <w:rsid w:val="00397F48"/>
    <w:rsid w:val="003A02AA"/>
    <w:rsid w:val="003A033E"/>
    <w:rsid w:val="003A0555"/>
    <w:rsid w:val="003A0571"/>
    <w:rsid w:val="003A10D3"/>
    <w:rsid w:val="003A1B1D"/>
    <w:rsid w:val="003A1C47"/>
    <w:rsid w:val="003A2286"/>
    <w:rsid w:val="003A2D13"/>
    <w:rsid w:val="003A3000"/>
    <w:rsid w:val="003A30E4"/>
    <w:rsid w:val="003A3B04"/>
    <w:rsid w:val="003A40D0"/>
    <w:rsid w:val="003A470C"/>
    <w:rsid w:val="003A49EE"/>
    <w:rsid w:val="003A4F1D"/>
    <w:rsid w:val="003A4F83"/>
    <w:rsid w:val="003A5287"/>
    <w:rsid w:val="003A5CBF"/>
    <w:rsid w:val="003A62F1"/>
    <w:rsid w:val="003A666D"/>
    <w:rsid w:val="003A6733"/>
    <w:rsid w:val="003A67CB"/>
    <w:rsid w:val="003A6F88"/>
    <w:rsid w:val="003A7329"/>
    <w:rsid w:val="003A7C5F"/>
    <w:rsid w:val="003B014D"/>
    <w:rsid w:val="003B0642"/>
    <w:rsid w:val="003B0A03"/>
    <w:rsid w:val="003B0D37"/>
    <w:rsid w:val="003B0F7D"/>
    <w:rsid w:val="003B1262"/>
    <w:rsid w:val="003B1392"/>
    <w:rsid w:val="003B1BFA"/>
    <w:rsid w:val="003B21BE"/>
    <w:rsid w:val="003B2368"/>
    <w:rsid w:val="003B2D67"/>
    <w:rsid w:val="003B2EF8"/>
    <w:rsid w:val="003B37ED"/>
    <w:rsid w:val="003B3FDE"/>
    <w:rsid w:val="003B417E"/>
    <w:rsid w:val="003B4B2E"/>
    <w:rsid w:val="003B584E"/>
    <w:rsid w:val="003B5D9D"/>
    <w:rsid w:val="003B63B7"/>
    <w:rsid w:val="003B6518"/>
    <w:rsid w:val="003B6CF0"/>
    <w:rsid w:val="003B6D5B"/>
    <w:rsid w:val="003B6E16"/>
    <w:rsid w:val="003B7224"/>
    <w:rsid w:val="003B7FA7"/>
    <w:rsid w:val="003C0266"/>
    <w:rsid w:val="003C0677"/>
    <w:rsid w:val="003C0719"/>
    <w:rsid w:val="003C09A8"/>
    <w:rsid w:val="003C0CEA"/>
    <w:rsid w:val="003C0EEB"/>
    <w:rsid w:val="003C1074"/>
    <w:rsid w:val="003C1186"/>
    <w:rsid w:val="003C12DE"/>
    <w:rsid w:val="003C23D9"/>
    <w:rsid w:val="003C280B"/>
    <w:rsid w:val="003C2E8D"/>
    <w:rsid w:val="003C331F"/>
    <w:rsid w:val="003C3587"/>
    <w:rsid w:val="003C36FC"/>
    <w:rsid w:val="003C403A"/>
    <w:rsid w:val="003C451E"/>
    <w:rsid w:val="003C4B86"/>
    <w:rsid w:val="003C5226"/>
    <w:rsid w:val="003C529A"/>
    <w:rsid w:val="003C5D25"/>
    <w:rsid w:val="003C5FFF"/>
    <w:rsid w:val="003C61F5"/>
    <w:rsid w:val="003C644C"/>
    <w:rsid w:val="003C6463"/>
    <w:rsid w:val="003C649B"/>
    <w:rsid w:val="003C69B5"/>
    <w:rsid w:val="003C69B7"/>
    <w:rsid w:val="003C6F1F"/>
    <w:rsid w:val="003C704A"/>
    <w:rsid w:val="003C7315"/>
    <w:rsid w:val="003C741F"/>
    <w:rsid w:val="003C75FA"/>
    <w:rsid w:val="003C791D"/>
    <w:rsid w:val="003D0469"/>
    <w:rsid w:val="003D0A94"/>
    <w:rsid w:val="003D1017"/>
    <w:rsid w:val="003D1153"/>
    <w:rsid w:val="003D1202"/>
    <w:rsid w:val="003D14C3"/>
    <w:rsid w:val="003D19ED"/>
    <w:rsid w:val="003D1D9A"/>
    <w:rsid w:val="003D2231"/>
    <w:rsid w:val="003D226F"/>
    <w:rsid w:val="003D22E9"/>
    <w:rsid w:val="003D2E6D"/>
    <w:rsid w:val="003D3FF0"/>
    <w:rsid w:val="003D41EE"/>
    <w:rsid w:val="003D4420"/>
    <w:rsid w:val="003D4629"/>
    <w:rsid w:val="003D4ADA"/>
    <w:rsid w:val="003D4E79"/>
    <w:rsid w:val="003D4E99"/>
    <w:rsid w:val="003D6228"/>
    <w:rsid w:val="003D6CB1"/>
    <w:rsid w:val="003D76BB"/>
    <w:rsid w:val="003D7916"/>
    <w:rsid w:val="003E01F9"/>
    <w:rsid w:val="003E0259"/>
    <w:rsid w:val="003E0486"/>
    <w:rsid w:val="003E0B87"/>
    <w:rsid w:val="003E0CA3"/>
    <w:rsid w:val="003E0D4C"/>
    <w:rsid w:val="003E0EE8"/>
    <w:rsid w:val="003E148A"/>
    <w:rsid w:val="003E1C88"/>
    <w:rsid w:val="003E1CB8"/>
    <w:rsid w:val="003E1CBA"/>
    <w:rsid w:val="003E20DE"/>
    <w:rsid w:val="003E27CD"/>
    <w:rsid w:val="003E2B87"/>
    <w:rsid w:val="003E2DC6"/>
    <w:rsid w:val="003E34D1"/>
    <w:rsid w:val="003E35E7"/>
    <w:rsid w:val="003E3C3B"/>
    <w:rsid w:val="003E4907"/>
    <w:rsid w:val="003E49C2"/>
    <w:rsid w:val="003E5A60"/>
    <w:rsid w:val="003E5DDF"/>
    <w:rsid w:val="003E60A9"/>
    <w:rsid w:val="003E62A1"/>
    <w:rsid w:val="003E6ABA"/>
    <w:rsid w:val="003E6E5C"/>
    <w:rsid w:val="003E6FB6"/>
    <w:rsid w:val="003E73DD"/>
    <w:rsid w:val="003E7B90"/>
    <w:rsid w:val="003E7BF3"/>
    <w:rsid w:val="003F00DA"/>
    <w:rsid w:val="003F0668"/>
    <w:rsid w:val="003F0E6F"/>
    <w:rsid w:val="003F10CE"/>
    <w:rsid w:val="003F1749"/>
    <w:rsid w:val="003F189F"/>
    <w:rsid w:val="003F1FB9"/>
    <w:rsid w:val="003F24A2"/>
    <w:rsid w:val="003F264E"/>
    <w:rsid w:val="003F2652"/>
    <w:rsid w:val="003F2958"/>
    <w:rsid w:val="003F305A"/>
    <w:rsid w:val="003F3312"/>
    <w:rsid w:val="003F36EC"/>
    <w:rsid w:val="003F3FD9"/>
    <w:rsid w:val="003F495E"/>
    <w:rsid w:val="003F4BBA"/>
    <w:rsid w:val="003F5210"/>
    <w:rsid w:val="003F572A"/>
    <w:rsid w:val="003F5B4D"/>
    <w:rsid w:val="003F5C5E"/>
    <w:rsid w:val="003F5DAE"/>
    <w:rsid w:val="003F6354"/>
    <w:rsid w:val="003F63C7"/>
    <w:rsid w:val="003F73E5"/>
    <w:rsid w:val="003F74C3"/>
    <w:rsid w:val="003F78D1"/>
    <w:rsid w:val="003F7D00"/>
    <w:rsid w:val="003F7F41"/>
    <w:rsid w:val="004002AC"/>
    <w:rsid w:val="0040036F"/>
    <w:rsid w:val="004008E1"/>
    <w:rsid w:val="004009B4"/>
    <w:rsid w:val="0040119D"/>
    <w:rsid w:val="00401CD5"/>
    <w:rsid w:val="0040209D"/>
    <w:rsid w:val="00402C18"/>
    <w:rsid w:val="00402D5C"/>
    <w:rsid w:val="004031EC"/>
    <w:rsid w:val="004035C5"/>
    <w:rsid w:val="00403DC3"/>
    <w:rsid w:val="004040BF"/>
    <w:rsid w:val="004040F8"/>
    <w:rsid w:val="00405260"/>
    <w:rsid w:val="004056B3"/>
    <w:rsid w:val="00405754"/>
    <w:rsid w:val="0040586D"/>
    <w:rsid w:val="00406115"/>
    <w:rsid w:val="0040618F"/>
    <w:rsid w:val="00406466"/>
    <w:rsid w:val="004064F0"/>
    <w:rsid w:val="00406BEC"/>
    <w:rsid w:val="00406C85"/>
    <w:rsid w:val="00406F59"/>
    <w:rsid w:val="004077D8"/>
    <w:rsid w:val="00407D4F"/>
    <w:rsid w:val="004105CF"/>
    <w:rsid w:val="00410B0C"/>
    <w:rsid w:val="0041167A"/>
    <w:rsid w:val="00411685"/>
    <w:rsid w:val="0041187F"/>
    <w:rsid w:val="00411ACC"/>
    <w:rsid w:val="00411DBF"/>
    <w:rsid w:val="004123BC"/>
    <w:rsid w:val="0041249F"/>
    <w:rsid w:val="00412972"/>
    <w:rsid w:val="00413507"/>
    <w:rsid w:val="00413DE1"/>
    <w:rsid w:val="00413EC8"/>
    <w:rsid w:val="00413F6E"/>
    <w:rsid w:val="004140D6"/>
    <w:rsid w:val="00414340"/>
    <w:rsid w:val="004143B0"/>
    <w:rsid w:val="004144D2"/>
    <w:rsid w:val="00414505"/>
    <w:rsid w:val="00414C78"/>
    <w:rsid w:val="00415813"/>
    <w:rsid w:val="00415A6F"/>
    <w:rsid w:val="00415E07"/>
    <w:rsid w:val="0041632F"/>
    <w:rsid w:val="00416468"/>
    <w:rsid w:val="00416978"/>
    <w:rsid w:val="004169DD"/>
    <w:rsid w:val="00416C06"/>
    <w:rsid w:val="00416DFC"/>
    <w:rsid w:val="00416EF8"/>
    <w:rsid w:val="00417C0C"/>
    <w:rsid w:val="00417C57"/>
    <w:rsid w:val="004200FC"/>
    <w:rsid w:val="00420206"/>
    <w:rsid w:val="004205DF"/>
    <w:rsid w:val="004207D0"/>
    <w:rsid w:val="00420BB1"/>
    <w:rsid w:val="00420D69"/>
    <w:rsid w:val="0042100C"/>
    <w:rsid w:val="00421554"/>
    <w:rsid w:val="0042204E"/>
    <w:rsid w:val="00422222"/>
    <w:rsid w:val="00422661"/>
    <w:rsid w:val="0042272D"/>
    <w:rsid w:val="004227ED"/>
    <w:rsid w:val="0042295C"/>
    <w:rsid w:val="00422AD6"/>
    <w:rsid w:val="00422CFE"/>
    <w:rsid w:val="00423588"/>
    <w:rsid w:val="0042496A"/>
    <w:rsid w:val="00424ACD"/>
    <w:rsid w:val="00424FD3"/>
    <w:rsid w:val="00425372"/>
    <w:rsid w:val="004254B0"/>
    <w:rsid w:val="00425635"/>
    <w:rsid w:val="004257F7"/>
    <w:rsid w:val="00426219"/>
    <w:rsid w:val="004262A5"/>
    <w:rsid w:val="00426323"/>
    <w:rsid w:val="0042662F"/>
    <w:rsid w:val="00426CFD"/>
    <w:rsid w:val="00426EE6"/>
    <w:rsid w:val="00426F3E"/>
    <w:rsid w:val="00427358"/>
    <w:rsid w:val="00427458"/>
    <w:rsid w:val="00427A3A"/>
    <w:rsid w:val="00427B34"/>
    <w:rsid w:val="00430304"/>
    <w:rsid w:val="00430598"/>
    <w:rsid w:val="0043099A"/>
    <w:rsid w:val="0043158F"/>
    <w:rsid w:val="00431DF8"/>
    <w:rsid w:val="004320D5"/>
    <w:rsid w:val="00432431"/>
    <w:rsid w:val="004324A0"/>
    <w:rsid w:val="00432653"/>
    <w:rsid w:val="0043299C"/>
    <w:rsid w:val="00432A5F"/>
    <w:rsid w:val="00432AF6"/>
    <w:rsid w:val="00432B2C"/>
    <w:rsid w:val="00432FB5"/>
    <w:rsid w:val="0043320B"/>
    <w:rsid w:val="00433545"/>
    <w:rsid w:val="00433852"/>
    <w:rsid w:val="00433D6B"/>
    <w:rsid w:val="00434636"/>
    <w:rsid w:val="00434970"/>
    <w:rsid w:val="004351E5"/>
    <w:rsid w:val="00435643"/>
    <w:rsid w:val="00435E5D"/>
    <w:rsid w:val="00437566"/>
    <w:rsid w:val="00437CF0"/>
    <w:rsid w:val="0044002A"/>
    <w:rsid w:val="00440359"/>
    <w:rsid w:val="00440444"/>
    <w:rsid w:val="00440787"/>
    <w:rsid w:val="00440816"/>
    <w:rsid w:val="00440B39"/>
    <w:rsid w:val="00440EB7"/>
    <w:rsid w:val="004411DC"/>
    <w:rsid w:val="004411F1"/>
    <w:rsid w:val="0044216F"/>
    <w:rsid w:val="004422CF"/>
    <w:rsid w:val="004423D1"/>
    <w:rsid w:val="004427AA"/>
    <w:rsid w:val="004429B3"/>
    <w:rsid w:val="00442D15"/>
    <w:rsid w:val="00442FC3"/>
    <w:rsid w:val="004445D3"/>
    <w:rsid w:val="00444621"/>
    <w:rsid w:val="00444675"/>
    <w:rsid w:val="0044490C"/>
    <w:rsid w:val="00444D1B"/>
    <w:rsid w:val="00444D9A"/>
    <w:rsid w:val="004452ED"/>
    <w:rsid w:val="0044583C"/>
    <w:rsid w:val="00445C13"/>
    <w:rsid w:val="00445F8E"/>
    <w:rsid w:val="00446192"/>
    <w:rsid w:val="004462E2"/>
    <w:rsid w:val="00446854"/>
    <w:rsid w:val="00446AFB"/>
    <w:rsid w:val="0044712D"/>
    <w:rsid w:val="00447240"/>
    <w:rsid w:val="004473EC"/>
    <w:rsid w:val="004476E4"/>
    <w:rsid w:val="00447826"/>
    <w:rsid w:val="00447D89"/>
    <w:rsid w:val="00447DCB"/>
    <w:rsid w:val="00447DD7"/>
    <w:rsid w:val="00447F78"/>
    <w:rsid w:val="004500D4"/>
    <w:rsid w:val="00450999"/>
    <w:rsid w:val="00451606"/>
    <w:rsid w:val="00451756"/>
    <w:rsid w:val="004517FB"/>
    <w:rsid w:val="00451C06"/>
    <w:rsid w:val="00451CA8"/>
    <w:rsid w:val="00451EF4"/>
    <w:rsid w:val="00451FCE"/>
    <w:rsid w:val="0045249E"/>
    <w:rsid w:val="004524A6"/>
    <w:rsid w:val="0045261E"/>
    <w:rsid w:val="00452892"/>
    <w:rsid w:val="00452C8B"/>
    <w:rsid w:val="00452EB2"/>
    <w:rsid w:val="0045314F"/>
    <w:rsid w:val="00453325"/>
    <w:rsid w:val="0045412D"/>
    <w:rsid w:val="00454718"/>
    <w:rsid w:val="00454B32"/>
    <w:rsid w:val="00454EA2"/>
    <w:rsid w:val="00455098"/>
    <w:rsid w:val="004551CA"/>
    <w:rsid w:val="004554EF"/>
    <w:rsid w:val="00455660"/>
    <w:rsid w:val="00455DEF"/>
    <w:rsid w:val="00456514"/>
    <w:rsid w:val="004565B4"/>
    <w:rsid w:val="00456624"/>
    <w:rsid w:val="00456877"/>
    <w:rsid w:val="00456A2B"/>
    <w:rsid w:val="004578C2"/>
    <w:rsid w:val="00457AC2"/>
    <w:rsid w:val="00457D1F"/>
    <w:rsid w:val="0046021F"/>
    <w:rsid w:val="0046038A"/>
    <w:rsid w:val="0046049F"/>
    <w:rsid w:val="00460BBE"/>
    <w:rsid w:val="00461242"/>
    <w:rsid w:val="00462CE2"/>
    <w:rsid w:val="0046309C"/>
    <w:rsid w:val="004631E6"/>
    <w:rsid w:val="00463356"/>
    <w:rsid w:val="004639A2"/>
    <w:rsid w:val="00463B3E"/>
    <w:rsid w:val="00463B52"/>
    <w:rsid w:val="00463D94"/>
    <w:rsid w:val="00463EA2"/>
    <w:rsid w:val="004643A3"/>
    <w:rsid w:val="00464457"/>
    <w:rsid w:val="00465115"/>
    <w:rsid w:val="00465490"/>
    <w:rsid w:val="00465676"/>
    <w:rsid w:val="004657A2"/>
    <w:rsid w:val="00465D90"/>
    <w:rsid w:val="0046628A"/>
    <w:rsid w:val="00466DD6"/>
    <w:rsid w:val="00466F69"/>
    <w:rsid w:val="004675A5"/>
    <w:rsid w:val="004675AD"/>
    <w:rsid w:val="00467A51"/>
    <w:rsid w:val="00467A62"/>
    <w:rsid w:val="00470605"/>
    <w:rsid w:val="00470876"/>
    <w:rsid w:val="00470A49"/>
    <w:rsid w:val="00471589"/>
    <w:rsid w:val="00471939"/>
    <w:rsid w:val="00471AD9"/>
    <w:rsid w:val="00471B52"/>
    <w:rsid w:val="00471BCC"/>
    <w:rsid w:val="00471BE3"/>
    <w:rsid w:val="0047241F"/>
    <w:rsid w:val="00473B94"/>
    <w:rsid w:val="00473D5A"/>
    <w:rsid w:val="00473F56"/>
    <w:rsid w:val="0047400B"/>
    <w:rsid w:val="004749DA"/>
    <w:rsid w:val="00474B88"/>
    <w:rsid w:val="00474DB3"/>
    <w:rsid w:val="004753D0"/>
    <w:rsid w:val="004754B1"/>
    <w:rsid w:val="004756D9"/>
    <w:rsid w:val="0047591D"/>
    <w:rsid w:val="00475A62"/>
    <w:rsid w:val="00476063"/>
    <w:rsid w:val="00476300"/>
    <w:rsid w:val="00477147"/>
    <w:rsid w:val="004776D4"/>
    <w:rsid w:val="00480615"/>
    <w:rsid w:val="00480660"/>
    <w:rsid w:val="00480A07"/>
    <w:rsid w:val="00480C30"/>
    <w:rsid w:val="00481675"/>
    <w:rsid w:val="004817D1"/>
    <w:rsid w:val="004818AC"/>
    <w:rsid w:val="00481C06"/>
    <w:rsid w:val="00481EA8"/>
    <w:rsid w:val="00482166"/>
    <w:rsid w:val="004823CA"/>
    <w:rsid w:val="00482446"/>
    <w:rsid w:val="004826E1"/>
    <w:rsid w:val="00482798"/>
    <w:rsid w:val="004827C4"/>
    <w:rsid w:val="00482CE8"/>
    <w:rsid w:val="00483D2C"/>
    <w:rsid w:val="00483D6A"/>
    <w:rsid w:val="00483E2D"/>
    <w:rsid w:val="00484753"/>
    <w:rsid w:val="00484B64"/>
    <w:rsid w:val="0048559D"/>
    <w:rsid w:val="00485645"/>
    <w:rsid w:val="00485D0A"/>
    <w:rsid w:val="00485E88"/>
    <w:rsid w:val="00485F6D"/>
    <w:rsid w:val="004865FA"/>
    <w:rsid w:val="0048663C"/>
    <w:rsid w:val="00486DA8"/>
    <w:rsid w:val="004878A7"/>
    <w:rsid w:val="004878D7"/>
    <w:rsid w:val="00490064"/>
    <w:rsid w:val="00490664"/>
    <w:rsid w:val="00490A87"/>
    <w:rsid w:val="004923B1"/>
    <w:rsid w:val="004926F2"/>
    <w:rsid w:val="00492983"/>
    <w:rsid w:val="00492CBD"/>
    <w:rsid w:val="00492D16"/>
    <w:rsid w:val="00492EA2"/>
    <w:rsid w:val="00492F79"/>
    <w:rsid w:val="00493421"/>
    <w:rsid w:val="00493458"/>
    <w:rsid w:val="004939BE"/>
    <w:rsid w:val="00493A5B"/>
    <w:rsid w:val="00493C97"/>
    <w:rsid w:val="00493E0B"/>
    <w:rsid w:val="00493E4E"/>
    <w:rsid w:val="00493F06"/>
    <w:rsid w:val="00494BEA"/>
    <w:rsid w:val="00494C95"/>
    <w:rsid w:val="00494E01"/>
    <w:rsid w:val="004951B5"/>
    <w:rsid w:val="00495C74"/>
    <w:rsid w:val="00495E1D"/>
    <w:rsid w:val="00495F14"/>
    <w:rsid w:val="0049640B"/>
    <w:rsid w:val="004966FD"/>
    <w:rsid w:val="00496A36"/>
    <w:rsid w:val="00496D0D"/>
    <w:rsid w:val="004973C5"/>
    <w:rsid w:val="004974A0"/>
    <w:rsid w:val="0049791B"/>
    <w:rsid w:val="0049798B"/>
    <w:rsid w:val="0049798D"/>
    <w:rsid w:val="00497A8F"/>
    <w:rsid w:val="00497AC7"/>
    <w:rsid w:val="00497F20"/>
    <w:rsid w:val="00497F8F"/>
    <w:rsid w:val="004A048B"/>
    <w:rsid w:val="004A16C1"/>
    <w:rsid w:val="004A292B"/>
    <w:rsid w:val="004A3449"/>
    <w:rsid w:val="004A35C0"/>
    <w:rsid w:val="004A3746"/>
    <w:rsid w:val="004A3BA7"/>
    <w:rsid w:val="004A3E8C"/>
    <w:rsid w:val="004A434E"/>
    <w:rsid w:val="004A46AC"/>
    <w:rsid w:val="004A4BAC"/>
    <w:rsid w:val="004A4CB4"/>
    <w:rsid w:val="004A4F2A"/>
    <w:rsid w:val="004A557A"/>
    <w:rsid w:val="004A5C67"/>
    <w:rsid w:val="004A60E6"/>
    <w:rsid w:val="004A63F1"/>
    <w:rsid w:val="004A66CF"/>
    <w:rsid w:val="004A6C69"/>
    <w:rsid w:val="004A6E9C"/>
    <w:rsid w:val="004A722C"/>
    <w:rsid w:val="004A7706"/>
    <w:rsid w:val="004A7ADC"/>
    <w:rsid w:val="004A7CF1"/>
    <w:rsid w:val="004B0027"/>
    <w:rsid w:val="004B060B"/>
    <w:rsid w:val="004B0D0B"/>
    <w:rsid w:val="004B1106"/>
    <w:rsid w:val="004B26FC"/>
    <w:rsid w:val="004B2D91"/>
    <w:rsid w:val="004B3061"/>
    <w:rsid w:val="004B3455"/>
    <w:rsid w:val="004B346E"/>
    <w:rsid w:val="004B3C20"/>
    <w:rsid w:val="004B4DB4"/>
    <w:rsid w:val="004B4F85"/>
    <w:rsid w:val="004B50A6"/>
    <w:rsid w:val="004B5739"/>
    <w:rsid w:val="004B57A5"/>
    <w:rsid w:val="004B5FDD"/>
    <w:rsid w:val="004B604B"/>
    <w:rsid w:val="004B6184"/>
    <w:rsid w:val="004B62F9"/>
    <w:rsid w:val="004B63C7"/>
    <w:rsid w:val="004B6556"/>
    <w:rsid w:val="004B6605"/>
    <w:rsid w:val="004B6D0B"/>
    <w:rsid w:val="004B72B3"/>
    <w:rsid w:val="004B7312"/>
    <w:rsid w:val="004B73CA"/>
    <w:rsid w:val="004B7462"/>
    <w:rsid w:val="004B7496"/>
    <w:rsid w:val="004B7E64"/>
    <w:rsid w:val="004B7FBF"/>
    <w:rsid w:val="004C008D"/>
    <w:rsid w:val="004C1261"/>
    <w:rsid w:val="004C141B"/>
    <w:rsid w:val="004C1A37"/>
    <w:rsid w:val="004C1CCE"/>
    <w:rsid w:val="004C1F26"/>
    <w:rsid w:val="004C2468"/>
    <w:rsid w:val="004C253C"/>
    <w:rsid w:val="004C2557"/>
    <w:rsid w:val="004C2771"/>
    <w:rsid w:val="004C2888"/>
    <w:rsid w:val="004C2C31"/>
    <w:rsid w:val="004C3969"/>
    <w:rsid w:val="004C3A54"/>
    <w:rsid w:val="004C42FC"/>
    <w:rsid w:val="004C47E3"/>
    <w:rsid w:val="004C4964"/>
    <w:rsid w:val="004C4A74"/>
    <w:rsid w:val="004C4D4C"/>
    <w:rsid w:val="004C500B"/>
    <w:rsid w:val="004C54F4"/>
    <w:rsid w:val="004C5569"/>
    <w:rsid w:val="004C5692"/>
    <w:rsid w:val="004C58F7"/>
    <w:rsid w:val="004C5EEF"/>
    <w:rsid w:val="004C62F5"/>
    <w:rsid w:val="004C655D"/>
    <w:rsid w:val="004C6664"/>
    <w:rsid w:val="004C6BA7"/>
    <w:rsid w:val="004C6F09"/>
    <w:rsid w:val="004C7DEE"/>
    <w:rsid w:val="004C7EBB"/>
    <w:rsid w:val="004D0527"/>
    <w:rsid w:val="004D1AA4"/>
    <w:rsid w:val="004D1D82"/>
    <w:rsid w:val="004D20D5"/>
    <w:rsid w:val="004D2453"/>
    <w:rsid w:val="004D305F"/>
    <w:rsid w:val="004D3D28"/>
    <w:rsid w:val="004D3EA0"/>
    <w:rsid w:val="004D3FAE"/>
    <w:rsid w:val="004D44BA"/>
    <w:rsid w:val="004D457B"/>
    <w:rsid w:val="004D49AE"/>
    <w:rsid w:val="004D4D24"/>
    <w:rsid w:val="004D51CF"/>
    <w:rsid w:val="004D544C"/>
    <w:rsid w:val="004D5A49"/>
    <w:rsid w:val="004D5AF9"/>
    <w:rsid w:val="004D6694"/>
    <w:rsid w:val="004D697C"/>
    <w:rsid w:val="004D6B0D"/>
    <w:rsid w:val="004D6EAA"/>
    <w:rsid w:val="004D6FB7"/>
    <w:rsid w:val="004D705F"/>
    <w:rsid w:val="004D757F"/>
    <w:rsid w:val="004D7B22"/>
    <w:rsid w:val="004E03A2"/>
    <w:rsid w:val="004E09DB"/>
    <w:rsid w:val="004E0A3B"/>
    <w:rsid w:val="004E0A72"/>
    <w:rsid w:val="004E11A8"/>
    <w:rsid w:val="004E2616"/>
    <w:rsid w:val="004E2656"/>
    <w:rsid w:val="004E2D21"/>
    <w:rsid w:val="004E30F0"/>
    <w:rsid w:val="004E3B76"/>
    <w:rsid w:val="004E404C"/>
    <w:rsid w:val="004E45F1"/>
    <w:rsid w:val="004E506E"/>
    <w:rsid w:val="004E521C"/>
    <w:rsid w:val="004E5F38"/>
    <w:rsid w:val="004E66E5"/>
    <w:rsid w:val="004E6D00"/>
    <w:rsid w:val="004E79FF"/>
    <w:rsid w:val="004E7A0A"/>
    <w:rsid w:val="004E7D66"/>
    <w:rsid w:val="004F0264"/>
    <w:rsid w:val="004F02DE"/>
    <w:rsid w:val="004F035F"/>
    <w:rsid w:val="004F04C7"/>
    <w:rsid w:val="004F0874"/>
    <w:rsid w:val="004F0A60"/>
    <w:rsid w:val="004F0C2D"/>
    <w:rsid w:val="004F0DC2"/>
    <w:rsid w:val="004F1D5A"/>
    <w:rsid w:val="004F1F7A"/>
    <w:rsid w:val="004F2425"/>
    <w:rsid w:val="004F254A"/>
    <w:rsid w:val="004F2660"/>
    <w:rsid w:val="004F2AC6"/>
    <w:rsid w:val="004F2B79"/>
    <w:rsid w:val="004F2B9E"/>
    <w:rsid w:val="004F3508"/>
    <w:rsid w:val="004F3816"/>
    <w:rsid w:val="004F3B4A"/>
    <w:rsid w:val="004F4728"/>
    <w:rsid w:val="004F4789"/>
    <w:rsid w:val="004F4F73"/>
    <w:rsid w:val="004F505C"/>
    <w:rsid w:val="004F51A3"/>
    <w:rsid w:val="004F5458"/>
    <w:rsid w:val="004F5490"/>
    <w:rsid w:val="004F553A"/>
    <w:rsid w:val="004F5A5A"/>
    <w:rsid w:val="004F5A5D"/>
    <w:rsid w:val="004F5E95"/>
    <w:rsid w:val="004F6592"/>
    <w:rsid w:val="004F6DD0"/>
    <w:rsid w:val="004F7492"/>
    <w:rsid w:val="004F78B3"/>
    <w:rsid w:val="004F7AC2"/>
    <w:rsid w:val="004F7F8E"/>
    <w:rsid w:val="00500318"/>
    <w:rsid w:val="00500712"/>
    <w:rsid w:val="00500F6F"/>
    <w:rsid w:val="00501782"/>
    <w:rsid w:val="005018A4"/>
    <w:rsid w:val="005022A6"/>
    <w:rsid w:val="00502846"/>
    <w:rsid w:val="00502A3E"/>
    <w:rsid w:val="00502AE3"/>
    <w:rsid w:val="005034B0"/>
    <w:rsid w:val="00503936"/>
    <w:rsid w:val="00503DB6"/>
    <w:rsid w:val="00504512"/>
    <w:rsid w:val="005045C2"/>
    <w:rsid w:val="00504F9D"/>
    <w:rsid w:val="005052BA"/>
    <w:rsid w:val="0050586C"/>
    <w:rsid w:val="00505991"/>
    <w:rsid w:val="00505995"/>
    <w:rsid w:val="00505B64"/>
    <w:rsid w:val="00505D94"/>
    <w:rsid w:val="00505EE1"/>
    <w:rsid w:val="00505F3E"/>
    <w:rsid w:val="00506007"/>
    <w:rsid w:val="005060D1"/>
    <w:rsid w:val="00506406"/>
    <w:rsid w:val="00506794"/>
    <w:rsid w:val="00506EFE"/>
    <w:rsid w:val="00507531"/>
    <w:rsid w:val="00507775"/>
    <w:rsid w:val="00507820"/>
    <w:rsid w:val="00507D1F"/>
    <w:rsid w:val="0051016F"/>
    <w:rsid w:val="00510280"/>
    <w:rsid w:val="00510ADA"/>
    <w:rsid w:val="00511D35"/>
    <w:rsid w:val="005121ED"/>
    <w:rsid w:val="0051243F"/>
    <w:rsid w:val="00512487"/>
    <w:rsid w:val="0051256C"/>
    <w:rsid w:val="005126CD"/>
    <w:rsid w:val="00512B0F"/>
    <w:rsid w:val="00513B68"/>
    <w:rsid w:val="00513FD0"/>
    <w:rsid w:val="00514303"/>
    <w:rsid w:val="005148E6"/>
    <w:rsid w:val="00514E50"/>
    <w:rsid w:val="00515113"/>
    <w:rsid w:val="00515188"/>
    <w:rsid w:val="00515454"/>
    <w:rsid w:val="00515632"/>
    <w:rsid w:val="0051580B"/>
    <w:rsid w:val="00515C49"/>
    <w:rsid w:val="00516549"/>
    <w:rsid w:val="00516C9F"/>
    <w:rsid w:val="00516E6C"/>
    <w:rsid w:val="0051754B"/>
    <w:rsid w:val="00517852"/>
    <w:rsid w:val="00517DC1"/>
    <w:rsid w:val="00520139"/>
    <w:rsid w:val="00520684"/>
    <w:rsid w:val="00520850"/>
    <w:rsid w:val="005212F3"/>
    <w:rsid w:val="00521CE0"/>
    <w:rsid w:val="005223B8"/>
    <w:rsid w:val="005223C7"/>
    <w:rsid w:val="00522A79"/>
    <w:rsid w:val="00522C92"/>
    <w:rsid w:val="00522F96"/>
    <w:rsid w:val="005236BC"/>
    <w:rsid w:val="00523A2D"/>
    <w:rsid w:val="00523BD6"/>
    <w:rsid w:val="00524031"/>
    <w:rsid w:val="0052421E"/>
    <w:rsid w:val="00524401"/>
    <w:rsid w:val="00524A6F"/>
    <w:rsid w:val="00524FEA"/>
    <w:rsid w:val="00525375"/>
    <w:rsid w:val="0052551B"/>
    <w:rsid w:val="005257A1"/>
    <w:rsid w:val="005257F6"/>
    <w:rsid w:val="0052581B"/>
    <w:rsid w:val="00526307"/>
    <w:rsid w:val="0052686F"/>
    <w:rsid w:val="00526965"/>
    <w:rsid w:val="005274A8"/>
    <w:rsid w:val="00527511"/>
    <w:rsid w:val="005278A9"/>
    <w:rsid w:val="00527DA3"/>
    <w:rsid w:val="00530103"/>
    <w:rsid w:val="00530C90"/>
    <w:rsid w:val="00530E5F"/>
    <w:rsid w:val="00530FAD"/>
    <w:rsid w:val="00531442"/>
    <w:rsid w:val="005317A9"/>
    <w:rsid w:val="00531B13"/>
    <w:rsid w:val="00531B3D"/>
    <w:rsid w:val="00531EBE"/>
    <w:rsid w:val="005322EB"/>
    <w:rsid w:val="00532A0E"/>
    <w:rsid w:val="00533020"/>
    <w:rsid w:val="005334B7"/>
    <w:rsid w:val="0053352F"/>
    <w:rsid w:val="0053356B"/>
    <w:rsid w:val="005337B5"/>
    <w:rsid w:val="00533BB5"/>
    <w:rsid w:val="00533D98"/>
    <w:rsid w:val="00533F8E"/>
    <w:rsid w:val="00534744"/>
    <w:rsid w:val="00534890"/>
    <w:rsid w:val="00534A67"/>
    <w:rsid w:val="00534C66"/>
    <w:rsid w:val="00535A20"/>
    <w:rsid w:val="005362F8"/>
    <w:rsid w:val="0053642B"/>
    <w:rsid w:val="005366BE"/>
    <w:rsid w:val="00536904"/>
    <w:rsid w:val="00536986"/>
    <w:rsid w:val="00536BB3"/>
    <w:rsid w:val="00536EBB"/>
    <w:rsid w:val="00537389"/>
    <w:rsid w:val="005376EC"/>
    <w:rsid w:val="00537891"/>
    <w:rsid w:val="0054071F"/>
    <w:rsid w:val="00540855"/>
    <w:rsid w:val="00540A91"/>
    <w:rsid w:val="00540C7A"/>
    <w:rsid w:val="00541286"/>
    <w:rsid w:val="0054150D"/>
    <w:rsid w:val="0054160F"/>
    <w:rsid w:val="00541677"/>
    <w:rsid w:val="005417FA"/>
    <w:rsid w:val="00541A82"/>
    <w:rsid w:val="00541B1E"/>
    <w:rsid w:val="00542B37"/>
    <w:rsid w:val="00542E64"/>
    <w:rsid w:val="00542EB8"/>
    <w:rsid w:val="00543285"/>
    <w:rsid w:val="00543351"/>
    <w:rsid w:val="005437A6"/>
    <w:rsid w:val="0054411D"/>
    <w:rsid w:val="00544ABD"/>
    <w:rsid w:val="00545A95"/>
    <w:rsid w:val="00545E61"/>
    <w:rsid w:val="00546983"/>
    <w:rsid w:val="00546B51"/>
    <w:rsid w:val="00546C39"/>
    <w:rsid w:val="00547665"/>
    <w:rsid w:val="00547A07"/>
    <w:rsid w:val="00547D18"/>
    <w:rsid w:val="00550086"/>
    <w:rsid w:val="005503A3"/>
    <w:rsid w:val="005509F3"/>
    <w:rsid w:val="00550B03"/>
    <w:rsid w:val="00551A2D"/>
    <w:rsid w:val="00552465"/>
    <w:rsid w:val="005537BC"/>
    <w:rsid w:val="005544CF"/>
    <w:rsid w:val="005545F4"/>
    <w:rsid w:val="00554D67"/>
    <w:rsid w:val="005551E9"/>
    <w:rsid w:val="005557BB"/>
    <w:rsid w:val="00555D7F"/>
    <w:rsid w:val="0055600F"/>
    <w:rsid w:val="005560A0"/>
    <w:rsid w:val="00557CB0"/>
    <w:rsid w:val="00557E19"/>
    <w:rsid w:val="00557E23"/>
    <w:rsid w:val="0056073D"/>
    <w:rsid w:val="0056245F"/>
    <w:rsid w:val="00562E29"/>
    <w:rsid w:val="005631BB"/>
    <w:rsid w:val="0056493D"/>
    <w:rsid w:val="00564A9B"/>
    <w:rsid w:val="00564AFC"/>
    <w:rsid w:val="00564EC6"/>
    <w:rsid w:val="00564EE8"/>
    <w:rsid w:val="00565671"/>
    <w:rsid w:val="005656AD"/>
    <w:rsid w:val="00565AAC"/>
    <w:rsid w:val="0056628B"/>
    <w:rsid w:val="00566F11"/>
    <w:rsid w:val="00566FD5"/>
    <w:rsid w:val="00566FEC"/>
    <w:rsid w:val="00567040"/>
    <w:rsid w:val="00567519"/>
    <w:rsid w:val="005675CD"/>
    <w:rsid w:val="0056765C"/>
    <w:rsid w:val="00567A7F"/>
    <w:rsid w:val="0057010A"/>
    <w:rsid w:val="00570343"/>
    <w:rsid w:val="005706CE"/>
    <w:rsid w:val="00570794"/>
    <w:rsid w:val="005707E4"/>
    <w:rsid w:val="00570C62"/>
    <w:rsid w:val="00571160"/>
    <w:rsid w:val="00571D6B"/>
    <w:rsid w:val="0057208F"/>
    <w:rsid w:val="0057229F"/>
    <w:rsid w:val="005723F1"/>
    <w:rsid w:val="00573A15"/>
    <w:rsid w:val="00573ADA"/>
    <w:rsid w:val="00573D23"/>
    <w:rsid w:val="00573E98"/>
    <w:rsid w:val="00574061"/>
    <w:rsid w:val="00574201"/>
    <w:rsid w:val="005747CA"/>
    <w:rsid w:val="00574AA7"/>
    <w:rsid w:val="00574B6A"/>
    <w:rsid w:val="00575559"/>
    <w:rsid w:val="0057628C"/>
    <w:rsid w:val="005764B8"/>
    <w:rsid w:val="00576504"/>
    <w:rsid w:val="0057699A"/>
    <w:rsid w:val="00576A17"/>
    <w:rsid w:val="00576CDF"/>
    <w:rsid w:val="00577755"/>
    <w:rsid w:val="00577D40"/>
    <w:rsid w:val="0058028E"/>
    <w:rsid w:val="005802D4"/>
    <w:rsid w:val="00580635"/>
    <w:rsid w:val="005808CB"/>
    <w:rsid w:val="00580AC7"/>
    <w:rsid w:val="00580E81"/>
    <w:rsid w:val="00581865"/>
    <w:rsid w:val="00581D98"/>
    <w:rsid w:val="0058239B"/>
    <w:rsid w:val="0058280B"/>
    <w:rsid w:val="00582885"/>
    <w:rsid w:val="005829DA"/>
    <w:rsid w:val="00582AC7"/>
    <w:rsid w:val="00582FB4"/>
    <w:rsid w:val="00583511"/>
    <w:rsid w:val="00583695"/>
    <w:rsid w:val="00583D46"/>
    <w:rsid w:val="00583D96"/>
    <w:rsid w:val="00583EF3"/>
    <w:rsid w:val="005842BD"/>
    <w:rsid w:val="00584731"/>
    <w:rsid w:val="0058570A"/>
    <w:rsid w:val="0058581A"/>
    <w:rsid w:val="00585850"/>
    <w:rsid w:val="0058588E"/>
    <w:rsid w:val="00585C6F"/>
    <w:rsid w:val="005862DD"/>
    <w:rsid w:val="0058646C"/>
    <w:rsid w:val="005864FD"/>
    <w:rsid w:val="00586B02"/>
    <w:rsid w:val="00586B94"/>
    <w:rsid w:val="00586C71"/>
    <w:rsid w:val="0058702E"/>
    <w:rsid w:val="005874C9"/>
    <w:rsid w:val="00587688"/>
    <w:rsid w:val="00587E75"/>
    <w:rsid w:val="005902F7"/>
    <w:rsid w:val="0059047F"/>
    <w:rsid w:val="00590C33"/>
    <w:rsid w:val="00590FD0"/>
    <w:rsid w:val="0059166C"/>
    <w:rsid w:val="00591C6B"/>
    <w:rsid w:val="00592316"/>
    <w:rsid w:val="005923BD"/>
    <w:rsid w:val="00592848"/>
    <w:rsid w:val="00592875"/>
    <w:rsid w:val="005932E4"/>
    <w:rsid w:val="0059395A"/>
    <w:rsid w:val="00593FA6"/>
    <w:rsid w:val="00594165"/>
    <w:rsid w:val="0059450A"/>
    <w:rsid w:val="00594BF6"/>
    <w:rsid w:val="00594CB1"/>
    <w:rsid w:val="0059566A"/>
    <w:rsid w:val="005958E2"/>
    <w:rsid w:val="00595C66"/>
    <w:rsid w:val="00596797"/>
    <w:rsid w:val="00596BAD"/>
    <w:rsid w:val="00596FFB"/>
    <w:rsid w:val="005972F6"/>
    <w:rsid w:val="005976EE"/>
    <w:rsid w:val="005977F7"/>
    <w:rsid w:val="0059788A"/>
    <w:rsid w:val="005979F6"/>
    <w:rsid w:val="005A004C"/>
    <w:rsid w:val="005A038E"/>
    <w:rsid w:val="005A0507"/>
    <w:rsid w:val="005A0935"/>
    <w:rsid w:val="005A0938"/>
    <w:rsid w:val="005A0E46"/>
    <w:rsid w:val="005A105E"/>
    <w:rsid w:val="005A1424"/>
    <w:rsid w:val="005A15DB"/>
    <w:rsid w:val="005A161E"/>
    <w:rsid w:val="005A17F1"/>
    <w:rsid w:val="005A1C29"/>
    <w:rsid w:val="005A28C8"/>
    <w:rsid w:val="005A2CB6"/>
    <w:rsid w:val="005A3D6A"/>
    <w:rsid w:val="005A4025"/>
    <w:rsid w:val="005A41C7"/>
    <w:rsid w:val="005A442B"/>
    <w:rsid w:val="005A4AEC"/>
    <w:rsid w:val="005A4C9F"/>
    <w:rsid w:val="005A4D01"/>
    <w:rsid w:val="005A4DB8"/>
    <w:rsid w:val="005A4E08"/>
    <w:rsid w:val="005A5DF5"/>
    <w:rsid w:val="005A60E9"/>
    <w:rsid w:val="005A6171"/>
    <w:rsid w:val="005A6694"/>
    <w:rsid w:val="005A67C6"/>
    <w:rsid w:val="005A695C"/>
    <w:rsid w:val="005A6E7B"/>
    <w:rsid w:val="005A72FD"/>
    <w:rsid w:val="005A75C1"/>
    <w:rsid w:val="005A776E"/>
    <w:rsid w:val="005A7F4A"/>
    <w:rsid w:val="005B0078"/>
    <w:rsid w:val="005B0524"/>
    <w:rsid w:val="005B0927"/>
    <w:rsid w:val="005B0996"/>
    <w:rsid w:val="005B0C70"/>
    <w:rsid w:val="005B0CD3"/>
    <w:rsid w:val="005B1584"/>
    <w:rsid w:val="005B178F"/>
    <w:rsid w:val="005B194C"/>
    <w:rsid w:val="005B1CBD"/>
    <w:rsid w:val="005B1F62"/>
    <w:rsid w:val="005B2010"/>
    <w:rsid w:val="005B2442"/>
    <w:rsid w:val="005B267C"/>
    <w:rsid w:val="005B2843"/>
    <w:rsid w:val="005B2C3E"/>
    <w:rsid w:val="005B2D83"/>
    <w:rsid w:val="005B2E6F"/>
    <w:rsid w:val="005B2F3C"/>
    <w:rsid w:val="005B3044"/>
    <w:rsid w:val="005B3448"/>
    <w:rsid w:val="005B362B"/>
    <w:rsid w:val="005B3689"/>
    <w:rsid w:val="005B3740"/>
    <w:rsid w:val="005B376C"/>
    <w:rsid w:val="005B3958"/>
    <w:rsid w:val="005B3AD4"/>
    <w:rsid w:val="005B3D41"/>
    <w:rsid w:val="005B4687"/>
    <w:rsid w:val="005B4C54"/>
    <w:rsid w:val="005B4CE4"/>
    <w:rsid w:val="005B5189"/>
    <w:rsid w:val="005B5657"/>
    <w:rsid w:val="005B576B"/>
    <w:rsid w:val="005B5942"/>
    <w:rsid w:val="005B61E3"/>
    <w:rsid w:val="005B6296"/>
    <w:rsid w:val="005B673A"/>
    <w:rsid w:val="005B6A5D"/>
    <w:rsid w:val="005B741A"/>
    <w:rsid w:val="005B74EA"/>
    <w:rsid w:val="005B7799"/>
    <w:rsid w:val="005B7A83"/>
    <w:rsid w:val="005C0107"/>
    <w:rsid w:val="005C02FF"/>
    <w:rsid w:val="005C0537"/>
    <w:rsid w:val="005C0ABE"/>
    <w:rsid w:val="005C10B3"/>
    <w:rsid w:val="005C16F9"/>
    <w:rsid w:val="005C2757"/>
    <w:rsid w:val="005C29C0"/>
    <w:rsid w:val="005C2D0E"/>
    <w:rsid w:val="005C2F66"/>
    <w:rsid w:val="005C2F87"/>
    <w:rsid w:val="005C3045"/>
    <w:rsid w:val="005C31C2"/>
    <w:rsid w:val="005C321F"/>
    <w:rsid w:val="005C328E"/>
    <w:rsid w:val="005C3490"/>
    <w:rsid w:val="005C36AF"/>
    <w:rsid w:val="005C3ABB"/>
    <w:rsid w:val="005C3B0A"/>
    <w:rsid w:val="005C3C22"/>
    <w:rsid w:val="005C3D18"/>
    <w:rsid w:val="005C3D40"/>
    <w:rsid w:val="005C3DDA"/>
    <w:rsid w:val="005C4299"/>
    <w:rsid w:val="005C48BB"/>
    <w:rsid w:val="005C4AC2"/>
    <w:rsid w:val="005C5219"/>
    <w:rsid w:val="005C57FD"/>
    <w:rsid w:val="005C6214"/>
    <w:rsid w:val="005C63F2"/>
    <w:rsid w:val="005C6A2B"/>
    <w:rsid w:val="005C6BF7"/>
    <w:rsid w:val="005C6C63"/>
    <w:rsid w:val="005C72F2"/>
    <w:rsid w:val="005C7705"/>
    <w:rsid w:val="005C7769"/>
    <w:rsid w:val="005C7874"/>
    <w:rsid w:val="005C7C7E"/>
    <w:rsid w:val="005D0084"/>
    <w:rsid w:val="005D045A"/>
    <w:rsid w:val="005D04E7"/>
    <w:rsid w:val="005D112A"/>
    <w:rsid w:val="005D1262"/>
    <w:rsid w:val="005D160A"/>
    <w:rsid w:val="005D16F3"/>
    <w:rsid w:val="005D1A8F"/>
    <w:rsid w:val="005D1B5F"/>
    <w:rsid w:val="005D2A3F"/>
    <w:rsid w:val="005D2E38"/>
    <w:rsid w:val="005D3209"/>
    <w:rsid w:val="005D35C3"/>
    <w:rsid w:val="005D3E38"/>
    <w:rsid w:val="005D4016"/>
    <w:rsid w:val="005D401E"/>
    <w:rsid w:val="005D4229"/>
    <w:rsid w:val="005D4366"/>
    <w:rsid w:val="005D47F6"/>
    <w:rsid w:val="005D4886"/>
    <w:rsid w:val="005D4C08"/>
    <w:rsid w:val="005D4E18"/>
    <w:rsid w:val="005D4FED"/>
    <w:rsid w:val="005D607C"/>
    <w:rsid w:val="005D6378"/>
    <w:rsid w:val="005D6671"/>
    <w:rsid w:val="005D694C"/>
    <w:rsid w:val="005D7535"/>
    <w:rsid w:val="005D768C"/>
    <w:rsid w:val="005D7C10"/>
    <w:rsid w:val="005D7C35"/>
    <w:rsid w:val="005D7E59"/>
    <w:rsid w:val="005E0EF5"/>
    <w:rsid w:val="005E0FC3"/>
    <w:rsid w:val="005E1278"/>
    <w:rsid w:val="005E14EB"/>
    <w:rsid w:val="005E1977"/>
    <w:rsid w:val="005E1BA4"/>
    <w:rsid w:val="005E1C64"/>
    <w:rsid w:val="005E1EC7"/>
    <w:rsid w:val="005E1FA3"/>
    <w:rsid w:val="005E2135"/>
    <w:rsid w:val="005E2242"/>
    <w:rsid w:val="005E236A"/>
    <w:rsid w:val="005E2678"/>
    <w:rsid w:val="005E2A1F"/>
    <w:rsid w:val="005E2D7E"/>
    <w:rsid w:val="005E3030"/>
    <w:rsid w:val="005E313E"/>
    <w:rsid w:val="005E34FF"/>
    <w:rsid w:val="005E37B0"/>
    <w:rsid w:val="005E4458"/>
    <w:rsid w:val="005E4821"/>
    <w:rsid w:val="005E50FB"/>
    <w:rsid w:val="005E5736"/>
    <w:rsid w:val="005E5C4C"/>
    <w:rsid w:val="005E699F"/>
    <w:rsid w:val="005E6AB3"/>
    <w:rsid w:val="005E6F77"/>
    <w:rsid w:val="005E7121"/>
    <w:rsid w:val="005E7555"/>
    <w:rsid w:val="005E755E"/>
    <w:rsid w:val="005E79AA"/>
    <w:rsid w:val="005E7B7B"/>
    <w:rsid w:val="005E7C0B"/>
    <w:rsid w:val="005F00BA"/>
    <w:rsid w:val="005F02E9"/>
    <w:rsid w:val="005F0E8E"/>
    <w:rsid w:val="005F124A"/>
    <w:rsid w:val="005F136A"/>
    <w:rsid w:val="005F139A"/>
    <w:rsid w:val="005F26C0"/>
    <w:rsid w:val="005F2B5D"/>
    <w:rsid w:val="005F2F17"/>
    <w:rsid w:val="005F31D2"/>
    <w:rsid w:val="005F333D"/>
    <w:rsid w:val="005F33BF"/>
    <w:rsid w:val="005F342E"/>
    <w:rsid w:val="005F36A1"/>
    <w:rsid w:val="005F36A4"/>
    <w:rsid w:val="005F3C95"/>
    <w:rsid w:val="005F3EF5"/>
    <w:rsid w:val="005F3F16"/>
    <w:rsid w:val="005F4B54"/>
    <w:rsid w:val="005F4F39"/>
    <w:rsid w:val="005F5C66"/>
    <w:rsid w:val="005F5FA0"/>
    <w:rsid w:val="005F65C0"/>
    <w:rsid w:val="005F699D"/>
    <w:rsid w:val="005F6D13"/>
    <w:rsid w:val="005F6D64"/>
    <w:rsid w:val="005F70B9"/>
    <w:rsid w:val="005F70EE"/>
    <w:rsid w:val="005F728C"/>
    <w:rsid w:val="005F730B"/>
    <w:rsid w:val="005F7450"/>
    <w:rsid w:val="005F7487"/>
    <w:rsid w:val="005F74FC"/>
    <w:rsid w:val="005F75C2"/>
    <w:rsid w:val="005F7F41"/>
    <w:rsid w:val="00600553"/>
    <w:rsid w:val="006009A5"/>
    <w:rsid w:val="00600D26"/>
    <w:rsid w:val="00601863"/>
    <w:rsid w:val="00601B54"/>
    <w:rsid w:val="00601F33"/>
    <w:rsid w:val="00601F34"/>
    <w:rsid w:val="006029A8"/>
    <w:rsid w:val="006031C4"/>
    <w:rsid w:val="006034A7"/>
    <w:rsid w:val="006037F9"/>
    <w:rsid w:val="0060396B"/>
    <w:rsid w:val="00604016"/>
    <w:rsid w:val="00604083"/>
    <w:rsid w:val="0060435A"/>
    <w:rsid w:val="00604511"/>
    <w:rsid w:val="00604D19"/>
    <w:rsid w:val="00604D3C"/>
    <w:rsid w:val="00604E81"/>
    <w:rsid w:val="006050ED"/>
    <w:rsid w:val="006050F2"/>
    <w:rsid w:val="0060576E"/>
    <w:rsid w:val="006058E6"/>
    <w:rsid w:val="00605999"/>
    <w:rsid w:val="00605CA5"/>
    <w:rsid w:val="006061C0"/>
    <w:rsid w:val="00606243"/>
    <w:rsid w:val="006064F5"/>
    <w:rsid w:val="00606B51"/>
    <w:rsid w:val="00606E19"/>
    <w:rsid w:val="0060725D"/>
    <w:rsid w:val="00607936"/>
    <w:rsid w:val="00607C84"/>
    <w:rsid w:val="0061047B"/>
    <w:rsid w:val="00610968"/>
    <w:rsid w:val="00610CDB"/>
    <w:rsid w:val="00611412"/>
    <w:rsid w:val="00611490"/>
    <w:rsid w:val="006114F0"/>
    <w:rsid w:val="00611B87"/>
    <w:rsid w:val="00611FD6"/>
    <w:rsid w:val="00612B14"/>
    <w:rsid w:val="00613481"/>
    <w:rsid w:val="00613821"/>
    <w:rsid w:val="006139EC"/>
    <w:rsid w:val="00613C5B"/>
    <w:rsid w:val="00613C67"/>
    <w:rsid w:val="0061406E"/>
    <w:rsid w:val="006147A6"/>
    <w:rsid w:val="00614986"/>
    <w:rsid w:val="00614ACF"/>
    <w:rsid w:val="00615159"/>
    <w:rsid w:val="006153AE"/>
    <w:rsid w:val="00615887"/>
    <w:rsid w:val="00615939"/>
    <w:rsid w:val="006159F6"/>
    <w:rsid w:val="00615ACB"/>
    <w:rsid w:val="00615B7E"/>
    <w:rsid w:val="00615BA0"/>
    <w:rsid w:val="00615CAE"/>
    <w:rsid w:val="006162D6"/>
    <w:rsid w:val="00616316"/>
    <w:rsid w:val="00616356"/>
    <w:rsid w:val="0061635D"/>
    <w:rsid w:val="00617207"/>
    <w:rsid w:val="00617239"/>
    <w:rsid w:val="006172D3"/>
    <w:rsid w:val="006174B4"/>
    <w:rsid w:val="00617783"/>
    <w:rsid w:val="00617DB9"/>
    <w:rsid w:val="00617E21"/>
    <w:rsid w:val="0062014E"/>
    <w:rsid w:val="006207F1"/>
    <w:rsid w:val="006209D6"/>
    <w:rsid w:val="00620B51"/>
    <w:rsid w:val="00620C68"/>
    <w:rsid w:val="00620C94"/>
    <w:rsid w:val="00621736"/>
    <w:rsid w:val="006217F7"/>
    <w:rsid w:val="00621BE8"/>
    <w:rsid w:val="00621D3E"/>
    <w:rsid w:val="00621E50"/>
    <w:rsid w:val="0062212E"/>
    <w:rsid w:val="00622254"/>
    <w:rsid w:val="00622341"/>
    <w:rsid w:val="00622BB2"/>
    <w:rsid w:val="00622E1F"/>
    <w:rsid w:val="00623217"/>
    <w:rsid w:val="006234E9"/>
    <w:rsid w:val="00623844"/>
    <w:rsid w:val="00623D71"/>
    <w:rsid w:val="006244C7"/>
    <w:rsid w:val="00624517"/>
    <w:rsid w:val="0062481A"/>
    <w:rsid w:val="006249E1"/>
    <w:rsid w:val="006249F3"/>
    <w:rsid w:val="00624AB5"/>
    <w:rsid w:val="00624ADA"/>
    <w:rsid w:val="00624EDD"/>
    <w:rsid w:val="00625103"/>
    <w:rsid w:val="00625199"/>
    <w:rsid w:val="00625200"/>
    <w:rsid w:val="00625441"/>
    <w:rsid w:val="00625444"/>
    <w:rsid w:val="00625A48"/>
    <w:rsid w:val="00625EC4"/>
    <w:rsid w:val="006263A1"/>
    <w:rsid w:val="00626453"/>
    <w:rsid w:val="0062677D"/>
    <w:rsid w:val="0062698E"/>
    <w:rsid w:val="00626CF5"/>
    <w:rsid w:val="00626E86"/>
    <w:rsid w:val="00627018"/>
    <w:rsid w:val="006271B3"/>
    <w:rsid w:val="00627693"/>
    <w:rsid w:val="00627C7D"/>
    <w:rsid w:val="00630091"/>
    <w:rsid w:val="006308B4"/>
    <w:rsid w:val="00630A37"/>
    <w:rsid w:val="0063111B"/>
    <w:rsid w:val="0063186E"/>
    <w:rsid w:val="00631922"/>
    <w:rsid w:val="00631BF6"/>
    <w:rsid w:val="006321AD"/>
    <w:rsid w:val="006326A8"/>
    <w:rsid w:val="0063283A"/>
    <w:rsid w:val="006339AE"/>
    <w:rsid w:val="00633A2A"/>
    <w:rsid w:val="0063433E"/>
    <w:rsid w:val="0063448E"/>
    <w:rsid w:val="006346AD"/>
    <w:rsid w:val="006349D6"/>
    <w:rsid w:val="00634AB2"/>
    <w:rsid w:val="00635542"/>
    <w:rsid w:val="00635C44"/>
    <w:rsid w:val="0063669A"/>
    <w:rsid w:val="006370CF"/>
    <w:rsid w:val="00637148"/>
    <w:rsid w:val="006372BA"/>
    <w:rsid w:val="006377DC"/>
    <w:rsid w:val="00637812"/>
    <w:rsid w:val="006379A4"/>
    <w:rsid w:val="006379DB"/>
    <w:rsid w:val="00637EAC"/>
    <w:rsid w:val="00640237"/>
    <w:rsid w:val="006403C2"/>
    <w:rsid w:val="0064077B"/>
    <w:rsid w:val="00640C41"/>
    <w:rsid w:val="00641092"/>
    <w:rsid w:val="0064113F"/>
    <w:rsid w:val="006413B0"/>
    <w:rsid w:val="006416D2"/>
    <w:rsid w:val="0064182A"/>
    <w:rsid w:val="00641EC0"/>
    <w:rsid w:val="00641F2B"/>
    <w:rsid w:val="00642731"/>
    <w:rsid w:val="00642750"/>
    <w:rsid w:val="00642820"/>
    <w:rsid w:val="00642AA5"/>
    <w:rsid w:val="00642DF5"/>
    <w:rsid w:val="00642F97"/>
    <w:rsid w:val="00643123"/>
    <w:rsid w:val="00643130"/>
    <w:rsid w:val="00643337"/>
    <w:rsid w:val="0064361B"/>
    <w:rsid w:val="00643872"/>
    <w:rsid w:val="00643DF1"/>
    <w:rsid w:val="00643FF9"/>
    <w:rsid w:val="006443FD"/>
    <w:rsid w:val="0064463D"/>
    <w:rsid w:val="00645189"/>
    <w:rsid w:val="00645374"/>
    <w:rsid w:val="00645812"/>
    <w:rsid w:val="006458FE"/>
    <w:rsid w:val="00645955"/>
    <w:rsid w:val="0064595A"/>
    <w:rsid w:val="006459E8"/>
    <w:rsid w:val="006465B9"/>
    <w:rsid w:val="00646646"/>
    <w:rsid w:val="0064671F"/>
    <w:rsid w:val="00646935"/>
    <w:rsid w:val="00646964"/>
    <w:rsid w:val="0064762C"/>
    <w:rsid w:val="00647783"/>
    <w:rsid w:val="006514A3"/>
    <w:rsid w:val="006518CD"/>
    <w:rsid w:val="00651A6E"/>
    <w:rsid w:val="00651AE0"/>
    <w:rsid w:val="00651E0D"/>
    <w:rsid w:val="00651E7F"/>
    <w:rsid w:val="00652742"/>
    <w:rsid w:val="0065292F"/>
    <w:rsid w:val="00652C11"/>
    <w:rsid w:val="0065361F"/>
    <w:rsid w:val="00653A32"/>
    <w:rsid w:val="00653AE5"/>
    <w:rsid w:val="00653CC1"/>
    <w:rsid w:val="00653DA8"/>
    <w:rsid w:val="00653E16"/>
    <w:rsid w:val="00653F79"/>
    <w:rsid w:val="006546B4"/>
    <w:rsid w:val="00654929"/>
    <w:rsid w:val="00654EA9"/>
    <w:rsid w:val="00654ECF"/>
    <w:rsid w:val="0065560C"/>
    <w:rsid w:val="0065582A"/>
    <w:rsid w:val="0065625E"/>
    <w:rsid w:val="00656428"/>
    <w:rsid w:val="006565E0"/>
    <w:rsid w:val="0065691F"/>
    <w:rsid w:val="00656B36"/>
    <w:rsid w:val="00656EF9"/>
    <w:rsid w:val="00656F2F"/>
    <w:rsid w:val="00657A38"/>
    <w:rsid w:val="00657D00"/>
    <w:rsid w:val="00657E8E"/>
    <w:rsid w:val="0066030F"/>
    <w:rsid w:val="006603C9"/>
    <w:rsid w:val="00660515"/>
    <w:rsid w:val="006607F6"/>
    <w:rsid w:val="00661290"/>
    <w:rsid w:val="00661305"/>
    <w:rsid w:val="00661C37"/>
    <w:rsid w:val="00661F1F"/>
    <w:rsid w:val="0066204C"/>
    <w:rsid w:val="006621B0"/>
    <w:rsid w:val="0066259C"/>
    <w:rsid w:val="0066285B"/>
    <w:rsid w:val="006631F9"/>
    <w:rsid w:val="006632AC"/>
    <w:rsid w:val="0066432F"/>
    <w:rsid w:val="0066487C"/>
    <w:rsid w:val="006649C1"/>
    <w:rsid w:val="00664C12"/>
    <w:rsid w:val="00665318"/>
    <w:rsid w:val="00665502"/>
    <w:rsid w:val="006657FA"/>
    <w:rsid w:val="00665A16"/>
    <w:rsid w:val="006661D3"/>
    <w:rsid w:val="00666311"/>
    <w:rsid w:val="006669ED"/>
    <w:rsid w:val="00666D9A"/>
    <w:rsid w:val="00666FF6"/>
    <w:rsid w:val="006675D5"/>
    <w:rsid w:val="006676F2"/>
    <w:rsid w:val="00667B83"/>
    <w:rsid w:val="00667C22"/>
    <w:rsid w:val="00670225"/>
    <w:rsid w:val="00670562"/>
    <w:rsid w:val="006707DB"/>
    <w:rsid w:val="00670E1A"/>
    <w:rsid w:val="0067165A"/>
    <w:rsid w:val="00671C26"/>
    <w:rsid w:val="00671C4A"/>
    <w:rsid w:val="00671E20"/>
    <w:rsid w:val="00671FAE"/>
    <w:rsid w:val="00672027"/>
    <w:rsid w:val="006722C6"/>
    <w:rsid w:val="0067238E"/>
    <w:rsid w:val="006725D8"/>
    <w:rsid w:val="00672A4F"/>
    <w:rsid w:val="00673393"/>
    <w:rsid w:val="006736AF"/>
    <w:rsid w:val="00673721"/>
    <w:rsid w:val="00673C7B"/>
    <w:rsid w:val="00674639"/>
    <w:rsid w:val="0067469E"/>
    <w:rsid w:val="006746B1"/>
    <w:rsid w:val="0067483A"/>
    <w:rsid w:val="00674AD6"/>
    <w:rsid w:val="00675761"/>
    <w:rsid w:val="00675AF5"/>
    <w:rsid w:val="00675E3A"/>
    <w:rsid w:val="00676009"/>
    <w:rsid w:val="0067617B"/>
    <w:rsid w:val="00677B6C"/>
    <w:rsid w:val="00677CD1"/>
    <w:rsid w:val="00677EFD"/>
    <w:rsid w:val="006808B5"/>
    <w:rsid w:val="00680A02"/>
    <w:rsid w:val="00680CC2"/>
    <w:rsid w:val="00680D10"/>
    <w:rsid w:val="00680F98"/>
    <w:rsid w:val="0068157B"/>
    <w:rsid w:val="00681A57"/>
    <w:rsid w:val="00681B10"/>
    <w:rsid w:val="006824A8"/>
    <w:rsid w:val="00682661"/>
    <w:rsid w:val="00682902"/>
    <w:rsid w:val="00682938"/>
    <w:rsid w:val="00683258"/>
    <w:rsid w:val="00683B65"/>
    <w:rsid w:val="0068409D"/>
    <w:rsid w:val="00684135"/>
    <w:rsid w:val="006858BE"/>
    <w:rsid w:val="006860A3"/>
    <w:rsid w:val="0068615C"/>
    <w:rsid w:val="006867C6"/>
    <w:rsid w:val="00686824"/>
    <w:rsid w:val="006874B6"/>
    <w:rsid w:val="006878A2"/>
    <w:rsid w:val="00687DCF"/>
    <w:rsid w:val="00687FFA"/>
    <w:rsid w:val="006900E3"/>
    <w:rsid w:val="0069040C"/>
    <w:rsid w:val="006908EB"/>
    <w:rsid w:val="00690D17"/>
    <w:rsid w:val="00690EFB"/>
    <w:rsid w:val="0069124E"/>
    <w:rsid w:val="006915D7"/>
    <w:rsid w:val="00691C73"/>
    <w:rsid w:val="00692888"/>
    <w:rsid w:val="00693035"/>
    <w:rsid w:val="006938B2"/>
    <w:rsid w:val="00693DF5"/>
    <w:rsid w:val="00693ED6"/>
    <w:rsid w:val="00694077"/>
    <w:rsid w:val="006942BA"/>
    <w:rsid w:val="00694485"/>
    <w:rsid w:val="00694F4F"/>
    <w:rsid w:val="0069514F"/>
    <w:rsid w:val="006963F9"/>
    <w:rsid w:val="006964A4"/>
    <w:rsid w:val="006A0002"/>
    <w:rsid w:val="006A0145"/>
    <w:rsid w:val="006A0781"/>
    <w:rsid w:val="006A0972"/>
    <w:rsid w:val="006A0C27"/>
    <w:rsid w:val="006A0FF6"/>
    <w:rsid w:val="006A1669"/>
    <w:rsid w:val="006A198B"/>
    <w:rsid w:val="006A1F80"/>
    <w:rsid w:val="006A207E"/>
    <w:rsid w:val="006A2248"/>
    <w:rsid w:val="006A22C2"/>
    <w:rsid w:val="006A2702"/>
    <w:rsid w:val="006A2863"/>
    <w:rsid w:val="006A288E"/>
    <w:rsid w:val="006A2938"/>
    <w:rsid w:val="006A2A52"/>
    <w:rsid w:val="006A2D54"/>
    <w:rsid w:val="006A2F81"/>
    <w:rsid w:val="006A3886"/>
    <w:rsid w:val="006A3C7A"/>
    <w:rsid w:val="006A40E2"/>
    <w:rsid w:val="006A4DD1"/>
    <w:rsid w:val="006A4EBF"/>
    <w:rsid w:val="006A57DB"/>
    <w:rsid w:val="006A67C8"/>
    <w:rsid w:val="006A6B9D"/>
    <w:rsid w:val="006A760D"/>
    <w:rsid w:val="006A7730"/>
    <w:rsid w:val="006A7967"/>
    <w:rsid w:val="006B101C"/>
    <w:rsid w:val="006B11BC"/>
    <w:rsid w:val="006B18EF"/>
    <w:rsid w:val="006B1AAA"/>
    <w:rsid w:val="006B203D"/>
    <w:rsid w:val="006B2335"/>
    <w:rsid w:val="006B23C2"/>
    <w:rsid w:val="006B272D"/>
    <w:rsid w:val="006B3328"/>
    <w:rsid w:val="006B3515"/>
    <w:rsid w:val="006B3D22"/>
    <w:rsid w:val="006B3F6E"/>
    <w:rsid w:val="006B4072"/>
    <w:rsid w:val="006B48F5"/>
    <w:rsid w:val="006B5460"/>
    <w:rsid w:val="006B5AB4"/>
    <w:rsid w:val="006B61DF"/>
    <w:rsid w:val="006B65BA"/>
    <w:rsid w:val="006B6944"/>
    <w:rsid w:val="006B6B87"/>
    <w:rsid w:val="006B7208"/>
    <w:rsid w:val="006B7675"/>
    <w:rsid w:val="006B7893"/>
    <w:rsid w:val="006B799E"/>
    <w:rsid w:val="006B7B33"/>
    <w:rsid w:val="006B7B55"/>
    <w:rsid w:val="006B7F85"/>
    <w:rsid w:val="006C0429"/>
    <w:rsid w:val="006C0C31"/>
    <w:rsid w:val="006C0F46"/>
    <w:rsid w:val="006C14A6"/>
    <w:rsid w:val="006C1668"/>
    <w:rsid w:val="006C170F"/>
    <w:rsid w:val="006C1912"/>
    <w:rsid w:val="006C1EA7"/>
    <w:rsid w:val="006C21DB"/>
    <w:rsid w:val="006C24A2"/>
    <w:rsid w:val="006C25C2"/>
    <w:rsid w:val="006C2F17"/>
    <w:rsid w:val="006C35DD"/>
    <w:rsid w:val="006C3C65"/>
    <w:rsid w:val="006C43C5"/>
    <w:rsid w:val="006C4843"/>
    <w:rsid w:val="006C4A64"/>
    <w:rsid w:val="006C5296"/>
    <w:rsid w:val="006C5806"/>
    <w:rsid w:val="006C5940"/>
    <w:rsid w:val="006C5BFB"/>
    <w:rsid w:val="006C5D0E"/>
    <w:rsid w:val="006C5D12"/>
    <w:rsid w:val="006C6CFD"/>
    <w:rsid w:val="006C70D3"/>
    <w:rsid w:val="006C7343"/>
    <w:rsid w:val="006C7347"/>
    <w:rsid w:val="006C77BE"/>
    <w:rsid w:val="006C7C34"/>
    <w:rsid w:val="006D0688"/>
    <w:rsid w:val="006D0857"/>
    <w:rsid w:val="006D1184"/>
    <w:rsid w:val="006D1747"/>
    <w:rsid w:val="006D2242"/>
    <w:rsid w:val="006D28DD"/>
    <w:rsid w:val="006D2AEF"/>
    <w:rsid w:val="006D2BDA"/>
    <w:rsid w:val="006D2ECA"/>
    <w:rsid w:val="006D355C"/>
    <w:rsid w:val="006D3A13"/>
    <w:rsid w:val="006D3FEC"/>
    <w:rsid w:val="006D43F0"/>
    <w:rsid w:val="006D4EA2"/>
    <w:rsid w:val="006D4FB9"/>
    <w:rsid w:val="006D5347"/>
    <w:rsid w:val="006D593C"/>
    <w:rsid w:val="006D71A2"/>
    <w:rsid w:val="006D7272"/>
    <w:rsid w:val="006D7386"/>
    <w:rsid w:val="006D76DE"/>
    <w:rsid w:val="006D7A06"/>
    <w:rsid w:val="006E01B9"/>
    <w:rsid w:val="006E13C4"/>
    <w:rsid w:val="006E1412"/>
    <w:rsid w:val="006E1543"/>
    <w:rsid w:val="006E1667"/>
    <w:rsid w:val="006E1D32"/>
    <w:rsid w:val="006E2A91"/>
    <w:rsid w:val="006E3037"/>
    <w:rsid w:val="006E39B0"/>
    <w:rsid w:val="006E499C"/>
    <w:rsid w:val="006E4A5B"/>
    <w:rsid w:val="006E4BA4"/>
    <w:rsid w:val="006E521D"/>
    <w:rsid w:val="006E54C2"/>
    <w:rsid w:val="006E54F1"/>
    <w:rsid w:val="006E5745"/>
    <w:rsid w:val="006E5855"/>
    <w:rsid w:val="006E5AD9"/>
    <w:rsid w:val="006E5BB2"/>
    <w:rsid w:val="006E61CC"/>
    <w:rsid w:val="006E674D"/>
    <w:rsid w:val="006E6AAE"/>
    <w:rsid w:val="006E6B18"/>
    <w:rsid w:val="006E7462"/>
    <w:rsid w:val="006E7C71"/>
    <w:rsid w:val="006E7F55"/>
    <w:rsid w:val="006E7FA8"/>
    <w:rsid w:val="006F0027"/>
    <w:rsid w:val="006F0514"/>
    <w:rsid w:val="006F0724"/>
    <w:rsid w:val="006F0C6F"/>
    <w:rsid w:val="006F0E24"/>
    <w:rsid w:val="006F0E54"/>
    <w:rsid w:val="006F119B"/>
    <w:rsid w:val="006F167F"/>
    <w:rsid w:val="006F1712"/>
    <w:rsid w:val="006F205C"/>
    <w:rsid w:val="006F22E9"/>
    <w:rsid w:val="006F3038"/>
    <w:rsid w:val="006F32C3"/>
    <w:rsid w:val="006F3330"/>
    <w:rsid w:val="006F35EC"/>
    <w:rsid w:val="006F36DE"/>
    <w:rsid w:val="006F371F"/>
    <w:rsid w:val="006F372D"/>
    <w:rsid w:val="006F396C"/>
    <w:rsid w:val="006F3D32"/>
    <w:rsid w:val="006F3F31"/>
    <w:rsid w:val="006F4193"/>
    <w:rsid w:val="006F4421"/>
    <w:rsid w:val="006F4591"/>
    <w:rsid w:val="006F4704"/>
    <w:rsid w:val="006F4E2C"/>
    <w:rsid w:val="006F4EDB"/>
    <w:rsid w:val="006F5468"/>
    <w:rsid w:val="006F5604"/>
    <w:rsid w:val="006F614E"/>
    <w:rsid w:val="006F6AB2"/>
    <w:rsid w:val="006F7CC2"/>
    <w:rsid w:val="006F7FC9"/>
    <w:rsid w:val="007006E4"/>
    <w:rsid w:val="00700709"/>
    <w:rsid w:val="0070083B"/>
    <w:rsid w:val="00700B15"/>
    <w:rsid w:val="00700D43"/>
    <w:rsid w:val="007010CD"/>
    <w:rsid w:val="00702288"/>
    <w:rsid w:val="007022D6"/>
    <w:rsid w:val="007024A0"/>
    <w:rsid w:val="00703321"/>
    <w:rsid w:val="007036DF"/>
    <w:rsid w:val="00703B0B"/>
    <w:rsid w:val="00703D17"/>
    <w:rsid w:val="00703E7B"/>
    <w:rsid w:val="0070471D"/>
    <w:rsid w:val="007048DE"/>
    <w:rsid w:val="0070492F"/>
    <w:rsid w:val="00704940"/>
    <w:rsid w:val="00704A43"/>
    <w:rsid w:val="00705459"/>
    <w:rsid w:val="00705673"/>
    <w:rsid w:val="0070581D"/>
    <w:rsid w:val="0070588A"/>
    <w:rsid w:val="007058D2"/>
    <w:rsid w:val="00705A5F"/>
    <w:rsid w:val="00706B26"/>
    <w:rsid w:val="007070CF"/>
    <w:rsid w:val="00707135"/>
    <w:rsid w:val="007072E2"/>
    <w:rsid w:val="007078F2"/>
    <w:rsid w:val="00707C51"/>
    <w:rsid w:val="00707DF8"/>
    <w:rsid w:val="00710C19"/>
    <w:rsid w:val="007111E4"/>
    <w:rsid w:val="00711249"/>
    <w:rsid w:val="00711535"/>
    <w:rsid w:val="007117E2"/>
    <w:rsid w:val="00711AAB"/>
    <w:rsid w:val="00712B15"/>
    <w:rsid w:val="00712F99"/>
    <w:rsid w:val="00713407"/>
    <w:rsid w:val="00713598"/>
    <w:rsid w:val="00713656"/>
    <w:rsid w:val="00714073"/>
    <w:rsid w:val="0071449D"/>
    <w:rsid w:val="00714997"/>
    <w:rsid w:val="00714BF6"/>
    <w:rsid w:val="0071504A"/>
    <w:rsid w:val="00715330"/>
    <w:rsid w:val="007157C3"/>
    <w:rsid w:val="00715B43"/>
    <w:rsid w:val="00715FE3"/>
    <w:rsid w:val="0071600D"/>
    <w:rsid w:val="00716AD9"/>
    <w:rsid w:val="00716F29"/>
    <w:rsid w:val="007174D7"/>
    <w:rsid w:val="007175C9"/>
    <w:rsid w:val="00717670"/>
    <w:rsid w:val="00717800"/>
    <w:rsid w:val="00717AC9"/>
    <w:rsid w:val="00717C0F"/>
    <w:rsid w:val="00717C5F"/>
    <w:rsid w:val="00717CC1"/>
    <w:rsid w:val="007207DE"/>
    <w:rsid w:val="00720F78"/>
    <w:rsid w:val="007213CF"/>
    <w:rsid w:val="007213ED"/>
    <w:rsid w:val="007215A6"/>
    <w:rsid w:val="007215EA"/>
    <w:rsid w:val="007216AE"/>
    <w:rsid w:val="0072177A"/>
    <w:rsid w:val="007217D4"/>
    <w:rsid w:val="00721829"/>
    <w:rsid w:val="00721D80"/>
    <w:rsid w:val="00721DFA"/>
    <w:rsid w:val="00722947"/>
    <w:rsid w:val="00722DB7"/>
    <w:rsid w:val="00722DCF"/>
    <w:rsid w:val="00722E7A"/>
    <w:rsid w:val="00723687"/>
    <w:rsid w:val="007240D5"/>
    <w:rsid w:val="00725199"/>
    <w:rsid w:val="00725257"/>
    <w:rsid w:val="0072553F"/>
    <w:rsid w:val="007255EB"/>
    <w:rsid w:val="007256D5"/>
    <w:rsid w:val="00725901"/>
    <w:rsid w:val="00725CA8"/>
    <w:rsid w:val="007262B7"/>
    <w:rsid w:val="0072693A"/>
    <w:rsid w:val="00726A2C"/>
    <w:rsid w:val="00726AED"/>
    <w:rsid w:val="00726AF6"/>
    <w:rsid w:val="00726B0C"/>
    <w:rsid w:val="0072727B"/>
    <w:rsid w:val="007274AB"/>
    <w:rsid w:val="00727978"/>
    <w:rsid w:val="00730009"/>
    <w:rsid w:val="00730113"/>
    <w:rsid w:val="00730469"/>
    <w:rsid w:val="00732094"/>
    <w:rsid w:val="00732150"/>
    <w:rsid w:val="00732694"/>
    <w:rsid w:val="007334F5"/>
    <w:rsid w:val="00733649"/>
    <w:rsid w:val="00733732"/>
    <w:rsid w:val="0073394B"/>
    <w:rsid w:val="00733A1B"/>
    <w:rsid w:val="00733BBD"/>
    <w:rsid w:val="00734383"/>
    <w:rsid w:val="007346CE"/>
    <w:rsid w:val="00734813"/>
    <w:rsid w:val="00734C5E"/>
    <w:rsid w:val="00734D35"/>
    <w:rsid w:val="00735052"/>
    <w:rsid w:val="00735384"/>
    <w:rsid w:val="00735C30"/>
    <w:rsid w:val="00735C34"/>
    <w:rsid w:val="00735D6B"/>
    <w:rsid w:val="00735E9A"/>
    <w:rsid w:val="007361E2"/>
    <w:rsid w:val="00736FB7"/>
    <w:rsid w:val="007370D7"/>
    <w:rsid w:val="00737592"/>
    <w:rsid w:val="0073765D"/>
    <w:rsid w:val="007377E2"/>
    <w:rsid w:val="00737930"/>
    <w:rsid w:val="00737C72"/>
    <w:rsid w:val="00740071"/>
    <w:rsid w:val="007406BE"/>
    <w:rsid w:val="0074089C"/>
    <w:rsid w:val="00740A5B"/>
    <w:rsid w:val="00740EE1"/>
    <w:rsid w:val="007413E1"/>
    <w:rsid w:val="007414DB"/>
    <w:rsid w:val="00741797"/>
    <w:rsid w:val="007417F4"/>
    <w:rsid w:val="007419EB"/>
    <w:rsid w:val="00742684"/>
    <w:rsid w:val="00742742"/>
    <w:rsid w:val="00743211"/>
    <w:rsid w:val="00743237"/>
    <w:rsid w:val="007432F1"/>
    <w:rsid w:val="00743355"/>
    <w:rsid w:val="0074339A"/>
    <w:rsid w:val="00743A2F"/>
    <w:rsid w:val="00743E04"/>
    <w:rsid w:val="007442ED"/>
    <w:rsid w:val="00744C70"/>
    <w:rsid w:val="00744EC9"/>
    <w:rsid w:val="0074522E"/>
    <w:rsid w:val="007456C3"/>
    <w:rsid w:val="00745B43"/>
    <w:rsid w:val="00745CA3"/>
    <w:rsid w:val="007460DA"/>
    <w:rsid w:val="00746195"/>
    <w:rsid w:val="00746399"/>
    <w:rsid w:val="00746411"/>
    <w:rsid w:val="0074647E"/>
    <w:rsid w:val="007466A2"/>
    <w:rsid w:val="00746708"/>
    <w:rsid w:val="00747CC7"/>
    <w:rsid w:val="00747F8D"/>
    <w:rsid w:val="007500F9"/>
    <w:rsid w:val="007504D3"/>
    <w:rsid w:val="0075096D"/>
    <w:rsid w:val="00751187"/>
    <w:rsid w:val="00751618"/>
    <w:rsid w:val="00751B37"/>
    <w:rsid w:val="00751C8B"/>
    <w:rsid w:val="00751E36"/>
    <w:rsid w:val="007521C5"/>
    <w:rsid w:val="007521F1"/>
    <w:rsid w:val="00752472"/>
    <w:rsid w:val="00752573"/>
    <w:rsid w:val="007526F5"/>
    <w:rsid w:val="00752B4D"/>
    <w:rsid w:val="00752FCE"/>
    <w:rsid w:val="00753002"/>
    <w:rsid w:val="00753011"/>
    <w:rsid w:val="00753062"/>
    <w:rsid w:val="00753220"/>
    <w:rsid w:val="00753ED9"/>
    <w:rsid w:val="007547DE"/>
    <w:rsid w:val="0075494F"/>
    <w:rsid w:val="007551B2"/>
    <w:rsid w:val="00755946"/>
    <w:rsid w:val="00756060"/>
    <w:rsid w:val="007562D9"/>
    <w:rsid w:val="00756821"/>
    <w:rsid w:val="00756C23"/>
    <w:rsid w:val="007573CC"/>
    <w:rsid w:val="007577D6"/>
    <w:rsid w:val="00757F98"/>
    <w:rsid w:val="007600EA"/>
    <w:rsid w:val="00760B5C"/>
    <w:rsid w:val="007611AB"/>
    <w:rsid w:val="00761785"/>
    <w:rsid w:val="00761BF9"/>
    <w:rsid w:val="00761D6D"/>
    <w:rsid w:val="007626A1"/>
    <w:rsid w:val="00762AD3"/>
    <w:rsid w:val="00763241"/>
    <w:rsid w:val="007639BB"/>
    <w:rsid w:val="00763D49"/>
    <w:rsid w:val="00763EC3"/>
    <w:rsid w:val="0076437A"/>
    <w:rsid w:val="00764957"/>
    <w:rsid w:val="00764CA5"/>
    <w:rsid w:val="0076535E"/>
    <w:rsid w:val="00765702"/>
    <w:rsid w:val="0076591E"/>
    <w:rsid w:val="00765C4D"/>
    <w:rsid w:val="00765EBD"/>
    <w:rsid w:val="00766143"/>
    <w:rsid w:val="00766422"/>
    <w:rsid w:val="007679B9"/>
    <w:rsid w:val="00767ACC"/>
    <w:rsid w:val="00770A0F"/>
    <w:rsid w:val="00770E7A"/>
    <w:rsid w:val="007710D9"/>
    <w:rsid w:val="007713B4"/>
    <w:rsid w:val="00771AFD"/>
    <w:rsid w:val="00771BA5"/>
    <w:rsid w:val="00771C97"/>
    <w:rsid w:val="00771F83"/>
    <w:rsid w:val="007724DE"/>
    <w:rsid w:val="00772F96"/>
    <w:rsid w:val="00772FE4"/>
    <w:rsid w:val="00773FAC"/>
    <w:rsid w:val="007740D2"/>
    <w:rsid w:val="0077465A"/>
    <w:rsid w:val="00774CC7"/>
    <w:rsid w:val="00774DB8"/>
    <w:rsid w:val="00775189"/>
    <w:rsid w:val="007759EC"/>
    <w:rsid w:val="00775F1F"/>
    <w:rsid w:val="0077671B"/>
    <w:rsid w:val="0077690E"/>
    <w:rsid w:val="00776E30"/>
    <w:rsid w:val="00776F73"/>
    <w:rsid w:val="00777184"/>
    <w:rsid w:val="007775B2"/>
    <w:rsid w:val="00777626"/>
    <w:rsid w:val="00777955"/>
    <w:rsid w:val="00777E30"/>
    <w:rsid w:val="00780B7F"/>
    <w:rsid w:val="00781808"/>
    <w:rsid w:val="00781E82"/>
    <w:rsid w:val="007824EE"/>
    <w:rsid w:val="0078286A"/>
    <w:rsid w:val="00782A29"/>
    <w:rsid w:val="00782ECA"/>
    <w:rsid w:val="00783BE4"/>
    <w:rsid w:val="00783C4B"/>
    <w:rsid w:val="0078411D"/>
    <w:rsid w:val="0078426F"/>
    <w:rsid w:val="00784D0D"/>
    <w:rsid w:val="007854EB"/>
    <w:rsid w:val="007856A0"/>
    <w:rsid w:val="00785990"/>
    <w:rsid w:val="00785A67"/>
    <w:rsid w:val="00785C32"/>
    <w:rsid w:val="00785F89"/>
    <w:rsid w:val="007860B8"/>
    <w:rsid w:val="00786D4F"/>
    <w:rsid w:val="00786DC4"/>
    <w:rsid w:val="007871CD"/>
    <w:rsid w:val="00787215"/>
    <w:rsid w:val="0078724F"/>
    <w:rsid w:val="007878EE"/>
    <w:rsid w:val="00787CBB"/>
    <w:rsid w:val="007907E3"/>
    <w:rsid w:val="00790F1D"/>
    <w:rsid w:val="007913D0"/>
    <w:rsid w:val="0079179E"/>
    <w:rsid w:val="00791F28"/>
    <w:rsid w:val="0079246A"/>
    <w:rsid w:val="0079274B"/>
    <w:rsid w:val="007932AC"/>
    <w:rsid w:val="00793E4C"/>
    <w:rsid w:val="00793F5F"/>
    <w:rsid w:val="00794104"/>
    <w:rsid w:val="00794423"/>
    <w:rsid w:val="0079449F"/>
    <w:rsid w:val="00794739"/>
    <w:rsid w:val="00795245"/>
    <w:rsid w:val="00795A4C"/>
    <w:rsid w:val="00795FC7"/>
    <w:rsid w:val="00796486"/>
    <w:rsid w:val="0079664C"/>
    <w:rsid w:val="00796793"/>
    <w:rsid w:val="00796ABE"/>
    <w:rsid w:val="00796B2B"/>
    <w:rsid w:val="0079726F"/>
    <w:rsid w:val="007973C4"/>
    <w:rsid w:val="00797518"/>
    <w:rsid w:val="007977C3"/>
    <w:rsid w:val="00797889"/>
    <w:rsid w:val="00797FC3"/>
    <w:rsid w:val="007A0A30"/>
    <w:rsid w:val="007A1065"/>
    <w:rsid w:val="007A14E2"/>
    <w:rsid w:val="007A241B"/>
    <w:rsid w:val="007A2911"/>
    <w:rsid w:val="007A298E"/>
    <w:rsid w:val="007A3248"/>
    <w:rsid w:val="007A3757"/>
    <w:rsid w:val="007A428C"/>
    <w:rsid w:val="007A42CD"/>
    <w:rsid w:val="007A4B23"/>
    <w:rsid w:val="007A545F"/>
    <w:rsid w:val="007A5FC7"/>
    <w:rsid w:val="007A6055"/>
    <w:rsid w:val="007A613A"/>
    <w:rsid w:val="007A6490"/>
    <w:rsid w:val="007A67B0"/>
    <w:rsid w:val="007A69A2"/>
    <w:rsid w:val="007A6BA6"/>
    <w:rsid w:val="007A7210"/>
    <w:rsid w:val="007A73F7"/>
    <w:rsid w:val="007A74E3"/>
    <w:rsid w:val="007A751A"/>
    <w:rsid w:val="007A758D"/>
    <w:rsid w:val="007A770C"/>
    <w:rsid w:val="007A7CA0"/>
    <w:rsid w:val="007A7CAF"/>
    <w:rsid w:val="007B031C"/>
    <w:rsid w:val="007B08E1"/>
    <w:rsid w:val="007B19AA"/>
    <w:rsid w:val="007B20F7"/>
    <w:rsid w:val="007B28DC"/>
    <w:rsid w:val="007B2C20"/>
    <w:rsid w:val="007B2CBB"/>
    <w:rsid w:val="007B2EDB"/>
    <w:rsid w:val="007B30C3"/>
    <w:rsid w:val="007B3881"/>
    <w:rsid w:val="007B3F0D"/>
    <w:rsid w:val="007B41C1"/>
    <w:rsid w:val="007B4414"/>
    <w:rsid w:val="007B4C4D"/>
    <w:rsid w:val="007B4E5D"/>
    <w:rsid w:val="007B51C5"/>
    <w:rsid w:val="007B5374"/>
    <w:rsid w:val="007B53B6"/>
    <w:rsid w:val="007B597D"/>
    <w:rsid w:val="007B5ABC"/>
    <w:rsid w:val="007B5B3D"/>
    <w:rsid w:val="007B5D82"/>
    <w:rsid w:val="007B6708"/>
    <w:rsid w:val="007B671E"/>
    <w:rsid w:val="007B6BB4"/>
    <w:rsid w:val="007B6C91"/>
    <w:rsid w:val="007B6E68"/>
    <w:rsid w:val="007B73CC"/>
    <w:rsid w:val="007B7640"/>
    <w:rsid w:val="007B7892"/>
    <w:rsid w:val="007B7A45"/>
    <w:rsid w:val="007B7C72"/>
    <w:rsid w:val="007C0027"/>
    <w:rsid w:val="007C0159"/>
    <w:rsid w:val="007C0D34"/>
    <w:rsid w:val="007C0E66"/>
    <w:rsid w:val="007C10C7"/>
    <w:rsid w:val="007C10D3"/>
    <w:rsid w:val="007C1239"/>
    <w:rsid w:val="007C1496"/>
    <w:rsid w:val="007C14D2"/>
    <w:rsid w:val="007C1B97"/>
    <w:rsid w:val="007C26FB"/>
    <w:rsid w:val="007C3189"/>
    <w:rsid w:val="007C3377"/>
    <w:rsid w:val="007C3563"/>
    <w:rsid w:val="007C35D8"/>
    <w:rsid w:val="007C387E"/>
    <w:rsid w:val="007C3E4A"/>
    <w:rsid w:val="007C4308"/>
    <w:rsid w:val="007C4454"/>
    <w:rsid w:val="007C4805"/>
    <w:rsid w:val="007C4BA7"/>
    <w:rsid w:val="007C4DB1"/>
    <w:rsid w:val="007C571D"/>
    <w:rsid w:val="007C5721"/>
    <w:rsid w:val="007C5AB3"/>
    <w:rsid w:val="007C5C3D"/>
    <w:rsid w:val="007C5D94"/>
    <w:rsid w:val="007C5DD1"/>
    <w:rsid w:val="007C605D"/>
    <w:rsid w:val="007C6307"/>
    <w:rsid w:val="007C64E2"/>
    <w:rsid w:val="007C664D"/>
    <w:rsid w:val="007C668E"/>
    <w:rsid w:val="007C6BD9"/>
    <w:rsid w:val="007C7735"/>
    <w:rsid w:val="007C7961"/>
    <w:rsid w:val="007C7B5F"/>
    <w:rsid w:val="007C7DED"/>
    <w:rsid w:val="007D0EE9"/>
    <w:rsid w:val="007D0F12"/>
    <w:rsid w:val="007D12C5"/>
    <w:rsid w:val="007D1A14"/>
    <w:rsid w:val="007D1B6C"/>
    <w:rsid w:val="007D2423"/>
    <w:rsid w:val="007D2609"/>
    <w:rsid w:val="007D2886"/>
    <w:rsid w:val="007D2DF5"/>
    <w:rsid w:val="007D2E58"/>
    <w:rsid w:val="007D305C"/>
    <w:rsid w:val="007D39EB"/>
    <w:rsid w:val="007D3EBF"/>
    <w:rsid w:val="007D40BA"/>
    <w:rsid w:val="007D443E"/>
    <w:rsid w:val="007D4AB8"/>
    <w:rsid w:val="007D4BAC"/>
    <w:rsid w:val="007D4F4B"/>
    <w:rsid w:val="007D535E"/>
    <w:rsid w:val="007D5DEE"/>
    <w:rsid w:val="007D5E40"/>
    <w:rsid w:val="007D5EE8"/>
    <w:rsid w:val="007D5F30"/>
    <w:rsid w:val="007D6176"/>
    <w:rsid w:val="007D69C9"/>
    <w:rsid w:val="007D72DD"/>
    <w:rsid w:val="007D73C4"/>
    <w:rsid w:val="007D7DF3"/>
    <w:rsid w:val="007E01AD"/>
    <w:rsid w:val="007E03BF"/>
    <w:rsid w:val="007E04AA"/>
    <w:rsid w:val="007E08D0"/>
    <w:rsid w:val="007E154C"/>
    <w:rsid w:val="007E1993"/>
    <w:rsid w:val="007E1ECF"/>
    <w:rsid w:val="007E22B1"/>
    <w:rsid w:val="007E2869"/>
    <w:rsid w:val="007E2B2C"/>
    <w:rsid w:val="007E2E72"/>
    <w:rsid w:val="007E2E74"/>
    <w:rsid w:val="007E2E9E"/>
    <w:rsid w:val="007E3250"/>
    <w:rsid w:val="007E335C"/>
    <w:rsid w:val="007E3618"/>
    <w:rsid w:val="007E392A"/>
    <w:rsid w:val="007E397A"/>
    <w:rsid w:val="007E4156"/>
    <w:rsid w:val="007E4770"/>
    <w:rsid w:val="007E4C2D"/>
    <w:rsid w:val="007E532E"/>
    <w:rsid w:val="007E569E"/>
    <w:rsid w:val="007E57A0"/>
    <w:rsid w:val="007E5CCE"/>
    <w:rsid w:val="007E5FDA"/>
    <w:rsid w:val="007E606A"/>
    <w:rsid w:val="007E6C9C"/>
    <w:rsid w:val="007E6D51"/>
    <w:rsid w:val="007E70FA"/>
    <w:rsid w:val="007E7139"/>
    <w:rsid w:val="007F0732"/>
    <w:rsid w:val="007F094B"/>
    <w:rsid w:val="007F0E26"/>
    <w:rsid w:val="007F0E4A"/>
    <w:rsid w:val="007F11F7"/>
    <w:rsid w:val="007F1BBB"/>
    <w:rsid w:val="007F1F36"/>
    <w:rsid w:val="007F2B32"/>
    <w:rsid w:val="007F302A"/>
    <w:rsid w:val="007F3061"/>
    <w:rsid w:val="007F3BA2"/>
    <w:rsid w:val="007F3E22"/>
    <w:rsid w:val="007F3EE0"/>
    <w:rsid w:val="007F4436"/>
    <w:rsid w:val="007F4859"/>
    <w:rsid w:val="007F4A19"/>
    <w:rsid w:val="007F4A30"/>
    <w:rsid w:val="007F4BA6"/>
    <w:rsid w:val="007F5042"/>
    <w:rsid w:val="007F54D6"/>
    <w:rsid w:val="007F5664"/>
    <w:rsid w:val="007F5A43"/>
    <w:rsid w:val="007F5E5C"/>
    <w:rsid w:val="007F5EAF"/>
    <w:rsid w:val="007F6010"/>
    <w:rsid w:val="007F67F3"/>
    <w:rsid w:val="007F68CE"/>
    <w:rsid w:val="007F6F98"/>
    <w:rsid w:val="007F71B0"/>
    <w:rsid w:val="007F75CA"/>
    <w:rsid w:val="007F7D0F"/>
    <w:rsid w:val="00800403"/>
    <w:rsid w:val="00800A49"/>
    <w:rsid w:val="00800AB4"/>
    <w:rsid w:val="00800C6C"/>
    <w:rsid w:val="008012EA"/>
    <w:rsid w:val="00801440"/>
    <w:rsid w:val="00801CEB"/>
    <w:rsid w:val="00802073"/>
    <w:rsid w:val="0080209C"/>
    <w:rsid w:val="0080289D"/>
    <w:rsid w:val="00802933"/>
    <w:rsid w:val="00802C8B"/>
    <w:rsid w:val="00802D29"/>
    <w:rsid w:val="008030A7"/>
    <w:rsid w:val="00803690"/>
    <w:rsid w:val="00803C72"/>
    <w:rsid w:val="00804001"/>
    <w:rsid w:val="0080401F"/>
    <w:rsid w:val="0080443A"/>
    <w:rsid w:val="008046A9"/>
    <w:rsid w:val="00804BC5"/>
    <w:rsid w:val="008057E8"/>
    <w:rsid w:val="00805A5D"/>
    <w:rsid w:val="00805A94"/>
    <w:rsid w:val="00805AD3"/>
    <w:rsid w:val="00805C5D"/>
    <w:rsid w:val="00806064"/>
    <w:rsid w:val="00806167"/>
    <w:rsid w:val="008065A4"/>
    <w:rsid w:val="00806711"/>
    <w:rsid w:val="00806889"/>
    <w:rsid w:val="00806DB1"/>
    <w:rsid w:val="00806E22"/>
    <w:rsid w:val="0080779F"/>
    <w:rsid w:val="0081067E"/>
    <w:rsid w:val="00810C15"/>
    <w:rsid w:val="008115E7"/>
    <w:rsid w:val="008116F3"/>
    <w:rsid w:val="00811A56"/>
    <w:rsid w:val="00812617"/>
    <w:rsid w:val="00812947"/>
    <w:rsid w:val="008139C8"/>
    <w:rsid w:val="00813DD5"/>
    <w:rsid w:val="00813F19"/>
    <w:rsid w:val="00813F76"/>
    <w:rsid w:val="00814512"/>
    <w:rsid w:val="00814769"/>
    <w:rsid w:val="008152C2"/>
    <w:rsid w:val="00815EC5"/>
    <w:rsid w:val="0081608F"/>
    <w:rsid w:val="008169DC"/>
    <w:rsid w:val="00816AA8"/>
    <w:rsid w:val="00816B04"/>
    <w:rsid w:val="008170CF"/>
    <w:rsid w:val="0081717A"/>
    <w:rsid w:val="00817CC4"/>
    <w:rsid w:val="00817E00"/>
    <w:rsid w:val="008201C7"/>
    <w:rsid w:val="008201F4"/>
    <w:rsid w:val="008201F7"/>
    <w:rsid w:val="00820868"/>
    <w:rsid w:val="00820D2A"/>
    <w:rsid w:val="00820E3B"/>
    <w:rsid w:val="00821156"/>
    <w:rsid w:val="00821443"/>
    <w:rsid w:val="00821A76"/>
    <w:rsid w:val="00822139"/>
    <w:rsid w:val="008221A2"/>
    <w:rsid w:val="008222E3"/>
    <w:rsid w:val="008224F6"/>
    <w:rsid w:val="0082289F"/>
    <w:rsid w:val="00822C14"/>
    <w:rsid w:val="00822CE5"/>
    <w:rsid w:val="0082332E"/>
    <w:rsid w:val="0082340E"/>
    <w:rsid w:val="008238B4"/>
    <w:rsid w:val="00823F4E"/>
    <w:rsid w:val="00823F88"/>
    <w:rsid w:val="0082413B"/>
    <w:rsid w:val="00824163"/>
    <w:rsid w:val="0082459E"/>
    <w:rsid w:val="0082490A"/>
    <w:rsid w:val="00824D61"/>
    <w:rsid w:val="008255FD"/>
    <w:rsid w:val="008259DE"/>
    <w:rsid w:val="00825E36"/>
    <w:rsid w:val="00826296"/>
    <w:rsid w:val="0082633C"/>
    <w:rsid w:val="00826656"/>
    <w:rsid w:val="00826840"/>
    <w:rsid w:val="0082696B"/>
    <w:rsid w:val="00826BDD"/>
    <w:rsid w:val="00826DAA"/>
    <w:rsid w:val="0082703E"/>
    <w:rsid w:val="008270E4"/>
    <w:rsid w:val="00827258"/>
    <w:rsid w:val="0082764C"/>
    <w:rsid w:val="00827AA4"/>
    <w:rsid w:val="008314FF"/>
    <w:rsid w:val="00832310"/>
    <w:rsid w:val="00832850"/>
    <w:rsid w:val="00832F41"/>
    <w:rsid w:val="00833537"/>
    <w:rsid w:val="0083386D"/>
    <w:rsid w:val="00833F02"/>
    <w:rsid w:val="0083406F"/>
    <w:rsid w:val="00834234"/>
    <w:rsid w:val="008346B5"/>
    <w:rsid w:val="00834D6D"/>
    <w:rsid w:val="00834FA4"/>
    <w:rsid w:val="008353EC"/>
    <w:rsid w:val="0083565A"/>
    <w:rsid w:val="00835C27"/>
    <w:rsid w:val="00835F19"/>
    <w:rsid w:val="00836014"/>
    <w:rsid w:val="0083614B"/>
    <w:rsid w:val="00836229"/>
    <w:rsid w:val="0083655E"/>
    <w:rsid w:val="008365F5"/>
    <w:rsid w:val="00836F58"/>
    <w:rsid w:val="00837322"/>
    <w:rsid w:val="00837EED"/>
    <w:rsid w:val="00840010"/>
    <w:rsid w:val="0084058D"/>
    <w:rsid w:val="00840948"/>
    <w:rsid w:val="0084095C"/>
    <w:rsid w:val="008409C9"/>
    <w:rsid w:val="00840BDA"/>
    <w:rsid w:val="008411EC"/>
    <w:rsid w:val="00841829"/>
    <w:rsid w:val="00841B57"/>
    <w:rsid w:val="00841C19"/>
    <w:rsid w:val="00841E15"/>
    <w:rsid w:val="00842884"/>
    <w:rsid w:val="008428CC"/>
    <w:rsid w:val="008429D9"/>
    <w:rsid w:val="00842E9F"/>
    <w:rsid w:val="008432CF"/>
    <w:rsid w:val="008446B6"/>
    <w:rsid w:val="00844A1C"/>
    <w:rsid w:val="00844ED0"/>
    <w:rsid w:val="008450A8"/>
    <w:rsid w:val="00845311"/>
    <w:rsid w:val="00845BB8"/>
    <w:rsid w:val="00845FEB"/>
    <w:rsid w:val="00846327"/>
    <w:rsid w:val="00846684"/>
    <w:rsid w:val="00846FB9"/>
    <w:rsid w:val="00846FBE"/>
    <w:rsid w:val="00847724"/>
    <w:rsid w:val="008504CB"/>
    <w:rsid w:val="00850525"/>
    <w:rsid w:val="00850BB0"/>
    <w:rsid w:val="00850CCB"/>
    <w:rsid w:val="00851737"/>
    <w:rsid w:val="00851E06"/>
    <w:rsid w:val="00852244"/>
    <w:rsid w:val="0085335B"/>
    <w:rsid w:val="00853656"/>
    <w:rsid w:val="008539CE"/>
    <w:rsid w:val="00853E9A"/>
    <w:rsid w:val="008545CE"/>
    <w:rsid w:val="008553F4"/>
    <w:rsid w:val="0085548D"/>
    <w:rsid w:val="008554E7"/>
    <w:rsid w:val="0085551B"/>
    <w:rsid w:val="00855661"/>
    <w:rsid w:val="00856033"/>
    <w:rsid w:val="008562E0"/>
    <w:rsid w:val="0085660F"/>
    <w:rsid w:val="00856B57"/>
    <w:rsid w:val="00856B75"/>
    <w:rsid w:val="00856C3D"/>
    <w:rsid w:val="00856C92"/>
    <w:rsid w:val="0085723D"/>
    <w:rsid w:val="00860165"/>
    <w:rsid w:val="00860B1A"/>
    <w:rsid w:val="00861393"/>
    <w:rsid w:val="00861A73"/>
    <w:rsid w:val="00861FFD"/>
    <w:rsid w:val="008633F4"/>
    <w:rsid w:val="00863D6D"/>
    <w:rsid w:val="00863F8F"/>
    <w:rsid w:val="00864321"/>
    <w:rsid w:val="008643F0"/>
    <w:rsid w:val="00864729"/>
    <w:rsid w:val="00864DFF"/>
    <w:rsid w:val="00865098"/>
    <w:rsid w:val="008651C8"/>
    <w:rsid w:val="0086524C"/>
    <w:rsid w:val="0086540A"/>
    <w:rsid w:val="008654DC"/>
    <w:rsid w:val="00865540"/>
    <w:rsid w:val="00865AB8"/>
    <w:rsid w:val="00865C5C"/>
    <w:rsid w:val="00866887"/>
    <w:rsid w:val="00866A33"/>
    <w:rsid w:val="00866CA4"/>
    <w:rsid w:val="00866E7E"/>
    <w:rsid w:val="00867702"/>
    <w:rsid w:val="0086772E"/>
    <w:rsid w:val="00870AF3"/>
    <w:rsid w:val="00870F65"/>
    <w:rsid w:val="008711D6"/>
    <w:rsid w:val="00871307"/>
    <w:rsid w:val="008715C1"/>
    <w:rsid w:val="00871651"/>
    <w:rsid w:val="008717E8"/>
    <w:rsid w:val="00871E9D"/>
    <w:rsid w:val="00872F82"/>
    <w:rsid w:val="0087312E"/>
    <w:rsid w:val="008732CF"/>
    <w:rsid w:val="008737F4"/>
    <w:rsid w:val="0087388E"/>
    <w:rsid w:val="008745A5"/>
    <w:rsid w:val="008746C4"/>
    <w:rsid w:val="00874971"/>
    <w:rsid w:val="00874E82"/>
    <w:rsid w:val="00875072"/>
    <w:rsid w:val="008751FD"/>
    <w:rsid w:val="00875586"/>
    <w:rsid w:val="0087596C"/>
    <w:rsid w:val="00875D3B"/>
    <w:rsid w:val="0087670B"/>
    <w:rsid w:val="00876948"/>
    <w:rsid w:val="00876D36"/>
    <w:rsid w:val="00876DDB"/>
    <w:rsid w:val="00877023"/>
    <w:rsid w:val="0087718B"/>
    <w:rsid w:val="00877AFE"/>
    <w:rsid w:val="00877EFF"/>
    <w:rsid w:val="00880BBF"/>
    <w:rsid w:val="00880BC7"/>
    <w:rsid w:val="00881134"/>
    <w:rsid w:val="0088117E"/>
    <w:rsid w:val="0088160F"/>
    <w:rsid w:val="0088167E"/>
    <w:rsid w:val="00881B5D"/>
    <w:rsid w:val="00881C23"/>
    <w:rsid w:val="00881CBF"/>
    <w:rsid w:val="00881DF0"/>
    <w:rsid w:val="00882037"/>
    <w:rsid w:val="008826F7"/>
    <w:rsid w:val="00882ABF"/>
    <w:rsid w:val="00882D8F"/>
    <w:rsid w:val="00882E88"/>
    <w:rsid w:val="0088315E"/>
    <w:rsid w:val="00883307"/>
    <w:rsid w:val="00883E2A"/>
    <w:rsid w:val="00883F47"/>
    <w:rsid w:val="008840F2"/>
    <w:rsid w:val="008842AD"/>
    <w:rsid w:val="0088440C"/>
    <w:rsid w:val="0088483E"/>
    <w:rsid w:val="00884C97"/>
    <w:rsid w:val="00884D0A"/>
    <w:rsid w:val="00884EC5"/>
    <w:rsid w:val="00884FBD"/>
    <w:rsid w:val="00885241"/>
    <w:rsid w:val="00885E07"/>
    <w:rsid w:val="008863CD"/>
    <w:rsid w:val="00886637"/>
    <w:rsid w:val="00886679"/>
    <w:rsid w:val="00886DE7"/>
    <w:rsid w:val="00886E9D"/>
    <w:rsid w:val="00886FEB"/>
    <w:rsid w:val="0088763F"/>
    <w:rsid w:val="00887786"/>
    <w:rsid w:val="0088780A"/>
    <w:rsid w:val="00890291"/>
    <w:rsid w:val="00890573"/>
    <w:rsid w:val="008909D5"/>
    <w:rsid w:val="00890E41"/>
    <w:rsid w:val="00890E75"/>
    <w:rsid w:val="00891923"/>
    <w:rsid w:val="00891D44"/>
    <w:rsid w:val="008926FD"/>
    <w:rsid w:val="00892821"/>
    <w:rsid w:val="008929F0"/>
    <w:rsid w:val="00892A70"/>
    <w:rsid w:val="00892BA9"/>
    <w:rsid w:val="008935C9"/>
    <w:rsid w:val="0089378D"/>
    <w:rsid w:val="00893A7C"/>
    <w:rsid w:val="00893DCF"/>
    <w:rsid w:val="008945DA"/>
    <w:rsid w:val="00894AA5"/>
    <w:rsid w:val="0089508E"/>
    <w:rsid w:val="008950E1"/>
    <w:rsid w:val="00895639"/>
    <w:rsid w:val="00895C1F"/>
    <w:rsid w:val="008962D1"/>
    <w:rsid w:val="0089693F"/>
    <w:rsid w:val="00896BAB"/>
    <w:rsid w:val="00896C11"/>
    <w:rsid w:val="00896C54"/>
    <w:rsid w:val="0089718F"/>
    <w:rsid w:val="00897311"/>
    <w:rsid w:val="00897C3C"/>
    <w:rsid w:val="00897D73"/>
    <w:rsid w:val="008A02A7"/>
    <w:rsid w:val="008A02EC"/>
    <w:rsid w:val="008A0413"/>
    <w:rsid w:val="008A0984"/>
    <w:rsid w:val="008A0B3E"/>
    <w:rsid w:val="008A0C35"/>
    <w:rsid w:val="008A155A"/>
    <w:rsid w:val="008A1A08"/>
    <w:rsid w:val="008A1B2A"/>
    <w:rsid w:val="008A207D"/>
    <w:rsid w:val="008A225E"/>
    <w:rsid w:val="008A29EF"/>
    <w:rsid w:val="008A319D"/>
    <w:rsid w:val="008A3C04"/>
    <w:rsid w:val="008A4029"/>
    <w:rsid w:val="008A42DF"/>
    <w:rsid w:val="008A44BF"/>
    <w:rsid w:val="008A4788"/>
    <w:rsid w:val="008A49F2"/>
    <w:rsid w:val="008A4CEB"/>
    <w:rsid w:val="008A4E53"/>
    <w:rsid w:val="008A4EAD"/>
    <w:rsid w:val="008A4F72"/>
    <w:rsid w:val="008A5036"/>
    <w:rsid w:val="008A5298"/>
    <w:rsid w:val="008A538D"/>
    <w:rsid w:val="008A5BC5"/>
    <w:rsid w:val="008A6598"/>
    <w:rsid w:val="008A6782"/>
    <w:rsid w:val="008A6FBA"/>
    <w:rsid w:val="008A7036"/>
    <w:rsid w:val="008A733B"/>
    <w:rsid w:val="008A73FB"/>
    <w:rsid w:val="008A7533"/>
    <w:rsid w:val="008A7719"/>
    <w:rsid w:val="008B0059"/>
    <w:rsid w:val="008B0210"/>
    <w:rsid w:val="008B0403"/>
    <w:rsid w:val="008B14DD"/>
    <w:rsid w:val="008B1A0B"/>
    <w:rsid w:val="008B1AC2"/>
    <w:rsid w:val="008B1E90"/>
    <w:rsid w:val="008B20BB"/>
    <w:rsid w:val="008B20D2"/>
    <w:rsid w:val="008B234C"/>
    <w:rsid w:val="008B2437"/>
    <w:rsid w:val="008B2671"/>
    <w:rsid w:val="008B2686"/>
    <w:rsid w:val="008B31FA"/>
    <w:rsid w:val="008B3709"/>
    <w:rsid w:val="008B393A"/>
    <w:rsid w:val="008B3DFD"/>
    <w:rsid w:val="008B4939"/>
    <w:rsid w:val="008B4C7F"/>
    <w:rsid w:val="008B4E46"/>
    <w:rsid w:val="008B53AE"/>
    <w:rsid w:val="008B53FB"/>
    <w:rsid w:val="008B5D75"/>
    <w:rsid w:val="008B5D84"/>
    <w:rsid w:val="008B619F"/>
    <w:rsid w:val="008B651D"/>
    <w:rsid w:val="008B6F9E"/>
    <w:rsid w:val="008B6FEB"/>
    <w:rsid w:val="008B724E"/>
    <w:rsid w:val="008B7522"/>
    <w:rsid w:val="008B762D"/>
    <w:rsid w:val="008B77F6"/>
    <w:rsid w:val="008C000D"/>
    <w:rsid w:val="008C007D"/>
    <w:rsid w:val="008C0196"/>
    <w:rsid w:val="008C01F9"/>
    <w:rsid w:val="008C02BA"/>
    <w:rsid w:val="008C052B"/>
    <w:rsid w:val="008C0962"/>
    <w:rsid w:val="008C1FC0"/>
    <w:rsid w:val="008C2263"/>
    <w:rsid w:val="008C264C"/>
    <w:rsid w:val="008C2A3C"/>
    <w:rsid w:val="008C2EBC"/>
    <w:rsid w:val="008C3979"/>
    <w:rsid w:val="008C3B2C"/>
    <w:rsid w:val="008C3DC2"/>
    <w:rsid w:val="008C4021"/>
    <w:rsid w:val="008C43BA"/>
    <w:rsid w:val="008C4AF4"/>
    <w:rsid w:val="008C512D"/>
    <w:rsid w:val="008C5573"/>
    <w:rsid w:val="008C58C8"/>
    <w:rsid w:val="008C5BF9"/>
    <w:rsid w:val="008C5C8C"/>
    <w:rsid w:val="008C5F6F"/>
    <w:rsid w:val="008C6500"/>
    <w:rsid w:val="008C6C6E"/>
    <w:rsid w:val="008C6DDA"/>
    <w:rsid w:val="008C6E0F"/>
    <w:rsid w:val="008C709E"/>
    <w:rsid w:val="008C7267"/>
    <w:rsid w:val="008C799B"/>
    <w:rsid w:val="008D07E5"/>
    <w:rsid w:val="008D0995"/>
    <w:rsid w:val="008D0F8B"/>
    <w:rsid w:val="008D1201"/>
    <w:rsid w:val="008D152B"/>
    <w:rsid w:val="008D1692"/>
    <w:rsid w:val="008D194D"/>
    <w:rsid w:val="008D1ABF"/>
    <w:rsid w:val="008D22D9"/>
    <w:rsid w:val="008D2626"/>
    <w:rsid w:val="008D2B5F"/>
    <w:rsid w:val="008D2E63"/>
    <w:rsid w:val="008D3211"/>
    <w:rsid w:val="008D326A"/>
    <w:rsid w:val="008D37E9"/>
    <w:rsid w:val="008D39FD"/>
    <w:rsid w:val="008D3C6C"/>
    <w:rsid w:val="008D3E8D"/>
    <w:rsid w:val="008D3F17"/>
    <w:rsid w:val="008D4448"/>
    <w:rsid w:val="008D4ACA"/>
    <w:rsid w:val="008D4BD5"/>
    <w:rsid w:val="008D5A10"/>
    <w:rsid w:val="008D5AB4"/>
    <w:rsid w:val="008D5CF3"/>
    <w:rsid w:val="008D5D43"/>
    <w:rsid w:val="008D665F"/>
    <w:rsid w:val="008D69B5"/>
    <w:rsid w:val="008D6EA5"/>
    <w:rsid w:val="008D7194"/>
    <w:rsid w:val="008E0060"/>
    <w:rsid w:val="008E0380"/>
    <w:rsid w:val="008E05DC"/>
    <w:rsid w:val="008E08C1"/>
    <w:rsid w:val="008E09A8"/>
    <w:rsid w:val="008E0CE0"/>
    <w:rsid w:val="008E0F94"/>
    <w:rsid w:val="008E14DF"/>
    <w:rsid w:val="008E1644"/>
    <w:rsid w:val="008E181C"/>
    <w:rsid w:val="008E2E28"/>
    <w:rsid w:val="008E3210"/>
    <w:rsid w:val="008E36B4"/>
    <w:rsid w:val="008E3744"/>
    <w:rsid w:val="008E3804"/>
    <w:rsid w:val="008E3D59"/>
    <w:rsid w:val="008E407E"/>
    <w:rsid w:val="008E4412"/>
    <w:rsid w:val="008E463C"/>
    <w:rsid w:val="008E4690"/>
    <w:rsid w:val="008E4794"/>
    <w:rsid w:val="008E4ACE"/>
    <w:rsid w:val="008E56BF"/>
    <w:rsid w:val="008E61F8"/>
    <w:rsid w:val="008E6380"/>
    <w:rsid w:val="008E684A"/>
    <w:rsid w:val="008E6B32"/>
    <w:rsid w:val="008E711B"/>
    <w:rsid w:val="008E71FD"/>
    <w:rsid w:val="008E72AF"/>
    <w:rsid w:val="008E7370"/>
    <w:rsid w:val="008E784B"/>
    <w:rsid w:val="008E78CE"/>
    <w:rsid w:val="008E7C3A"/>
    <w:rsid w:val="008E7D4D"/>
    <w:rsid w:val="008F171C"/>
    <w:rsid w:val="008F17F2"/>
    <w:rsid w:val="008F1953"/>
    <w:rsid w:val="008F19BC"/>
    <w:rsid w:val="008F1C19"/>
    <w:rsid w:val="008F24F3"/>
    <w:rsid w:val="008F25A7"/>
    <w:rsid w:val="008F2641"/>
    <w:rsid w:val="008F2C7C"/>
    <w:rsid w:val="008F32FE"/>
    <w:rsid w:val="008F33E1"/>
    <w:rsid w:val="008F3445"/>
    <w:rsid w:val="008F3751"/>
    <w:rsid w:val="008F3C2D"/>
    <w:rsid w:val="008F437B"/>
    <w:rsid w:val="008F43F1"/>
    <w:rsid w:val="008F47DB"/>
    <w:rsid w:val="008F4F8B"/>
    <w:rsid w:val="008F4FD9"/>
    <w:rsid w:val="008F5175"/>
    <w:rsid w:val="008F562D"/>
    <w:rsid w:val="008F56FC"/>
    <w:rsid w:val="008F58E2"/>
    <w:rsid w:val="008F59F6"/>
    <w:rsid w:val="008F5A02"/>
    <w:rsid w:val="008F5D2F"/>
    <w:rsid w:val="008F5ECF"/>
    <w:rsid w:val="008F6558"/>
    <w:rsid w:val="008F66D3"/>
    <w:rsid w:val="008F66DE"/>
    <w:rsid w:val="008F6F0B"/>
    <w:rsid w:val="008F6FD4"/>
    <w:rsid w:val="008F74F2"/>
    <w:rsid w:val="008F77E6"/>
    <w:rsid w:val="008F7824"/>
    <w:rsid w:val="009003CD"/>
    <w:rsid w:val="009005A7"/>
    <w:rsid w:val="009008C1"/>
    <w:rsid w:val="00900C00"/>
    <w:rsid w:val="00900EF3"/>
    <w:rsid w:val="00901763"/>
    <w:rsid w:val="00902DAF"/>
    <w:rsid w:val="009030FE"/>
    <w:rsid w:val="0090320A"/>
    <w:rsid w:val="0090389C"/>
    <w:rsid w:val="00903F59"/>
    <w:rsid w:val="009043A9"/>
    <w:rsid w:val="009043B4"/>
    <w:rsid w:val="00904499"/>
    <w:rsid w:val="009044BD"/>
    <w:rsid w:val="00904866"/>
    <w:rsid w:val="00904E97"/>
    <w:rsid w:val="0090529B"/>
    <w:rsid w:val="00905575"/>
    <w:rsid w:val="00905ADA"/>
    <w:rsid w:val="00906E36"/>
    <w:rsid w:val="00907EAE"/>
    <w:rsid w:val="00910A6C"/>
    <w:rsid w:val="00910CD3"/>
    <w:rsid w:val="00910F44"/>
    <w:rsid w:val="00911137"/>
    <w:rsid w:val="0091150D"/>
    <w:rsid w:val="00911922"/>
    <w:rsid w:val="00911DA9"/>
    <w:rsid w:val="0091352B"/>
    <w:rsid w:val="00913CBC"/>
    <w:rsid w:val="00913CD8"/>
    <w:rsid w:val="00914306"/>
    <w:rsid w:val="009146F1"/>
    <w:rsid w:val="0091505A"/>
    <w:rsid w:val="00915B29"/>
    <w:rsid w:val="00915BF0"/>
    <w:rsid w:val="00915CAA"/>
    <w:rsid w:val="009169DB"/>
    <w:rsid w:val="00916C79"/>
    <w:rsid w:val="00916CAD"/>
    <w:rsid w:val="00916D22"/>
    <w:rsid w:val="00916E3F"/>
    <w:rsid w:val="0091747B"/>
    <w:rsid w:val="009178A2"/>
    <w:rsid w:val="0092021A"/>
    <w:rsid w:val="00920425"/>
    <w:rsid w:val="0092054F"/>
    <w:rsid w:val="00920A2F"/>
    <w:rsid w:val="00920B5B"/>
    <w:rsid w:val="0092132F"/>
    <w:rsid w:val="00921463"/>
    <w:rsid w:val="009224FF"/>
    <w:rsid w:val="00922F8E"/>
    <w:rsid w:val="00923228"/>
    <w:rsid w:val="00923269"/>
    <w:rsid w:val="009232EE"/>
    <w:rsid w:val="00923A4C"/>
    <w:rsid w:val="00923C9F"/>
    <w:rsid w:val="009245CA"/>
    <w:rsid w:val="009245E9"/>
    <w:rsid w:val="00924831"/>
    <w:rsid w:val="00925225"/>
    <w:rsid w:val="009252BC"/>
    <w:rsid w:val="0092571F"/>
    <w:rsid w:val="00925A55"/>
    <w:rsid w:val="00925B87"/>
    <w:rsid w:val="009260C3"/>
    <w:rsid w:val="00926330"/>
    <w:rsid w:val="00926845"/>
    <w:rsid w:val="0092687C"/>
    <w:rsid w:val="009269B0"/>
    <w:rsid w:val="00926A0D"/>
    <w:rsid w:val="00926F35"/>
    <w:rsid w:val="009270F8"/>
    <w:rsid w:val="00927929"/>
    <w:rsid w:val="009302FB"/>
    <w:rsid w:val="009306EF"/>
    <w:rsid w:val="00930AC3"/>
    <w:rsid w:val="009311D8"/>
    <w:rsid w:val="0093127E"/>
    <w:rsid w:val="00931A72"/>
    <w:rsid w:val="00932154"/>
    <w:rsid w:val="0093233E"/>
    <w:rsid w:val="0093255A"/>
    <w:rsid w:val="00932677"/>
    <w:rsid w:val="009329C3"/>
    <w:rsid w:val="00933187"/>
    <w:rsid w:val="00933EA6"/>
    <w:rsid w:val="00935502"/>
    <w:rsid w:val="00935659"/>
    <w:rsid w:val="009356AF"/>
    <w:rsid w:val="00935EBF"/>
    <w:rsid w:val="0093619D"/>
    <w:rsid w:val="009364EC"/>
    <w:rsid w:val="00936597"/>
    <w:rsid w:val="009367F7"/>
    <w:rsid w:val="00936ADB"/>
    <w:rsid w:val="00936D86"/>
    <w:rsid w:val="00936DF2"/>
    <w:rsid w:val="00936E8C"/>
    <w:rsid w:val="0093752A"/>
    <w:rsid w:val="00937E91"/>
    <w:rsid w:val="00937FF3"/>
    <w:rsid w:val="0094025D"/>
    <w:rsid w:val="00940909"/>
    <w:rsid w:val="009415CA"/>
    <w:rsid w:val="00941846"/>
    <w:rsid w:val="00941AD2"/>
    <w:rsid w:val="00941EC2"/>
    <w:rsid w:val="00942066"/>
    <w:rsid w:val="00942157"/>
    <w:rsid w:val="00942A0C"/>
    <w:rsid w:val="00942FEE"/>
    <w:rsid w:val="00943411"/>
    <w:rsid w:val="0094357F"/>
    <w:rsid w:val="0094370E"/>
    <w:rsid w:val="00943C26"/>
    <w:rsid w:val="00943D99"/>
    <w:rsid w:val="00943F99"/>
    <w:rsid w:val="009442B9"/>
    <w:rsid w:val="009442EE"/>
    <w:rsid w:val="00944325"/>
    <w:rsid w:val="009444D2"/>
    <w:rsid w:val="0094489A"/>
    <w:rsid w:val="0094551C"/>
    <w:rsid w:val="009455B2"/>
    <w:rsid w:val="009457A1"/>
    <w:rsid w:val="00946427"/>
    <w:rsid w:val="009466DB"/>
    <w:rsid w:val="00946845"/>
    <w:rsid w:val="009468D2"/>
    <w:rsid w:val="00947004"/>
    <w:rsid w:val="00947DCB"/>
    <w:rsid w:val="00950465"/>
    <w:rsid w:val="00950E64"/>
    <w:rsid w:val="00950F89"/>
    <w:rsid w:val="00951CB8"/>
    <w:rsid w:val="0095243C"/>
    <w:rsid w:val="00952CF0"/>
    <w:rsid w:val="009530E0"/>
    <w:rsid w:val="00953C06"/>
    <w:rsid w:val="00953ED3"/>
    <w:rsid w:val="009540A2"/>
    <w:rsid w:val="0095443B"/>
    <w:rsid w:val="00954D00"/>
    <w:rsid w:val="00955174"/>
    <w:rsid w:val="0095524D"/>
    <w:rsid w:val="009556AB"/>
    <w:rsid w:val="009558C4"/>
    <w:rsid w:val="00955B06"/>
    <w:rsid w:val="00955B73"/>
    <w:rsid w:val="009562D9"/>
    <w:rsid w:val="00957C73"/>
    <w:rsid w:val="00960360"/>
    <w:rsid w:val="0096037F"/>
    <w:rsid w:val="0096053D"/>
    <w:rsid w:val="0096078D"/>
    <w:rsid w:val="00960957"/>
    <w:rsid w:val="00960D3B"/>
    <w:rsid w:val="009619AF"/>
    <w:rsid w:val="009619DE"/>
    <w:rsid w:val="00961AD1"/>
    <w:rsid w:val="00961D57"/>
    <w:rsid w:val="00962C0B"/>
    <w:rsid w:val="00962CA3"/>
    <w:rsid w:val="00962E45"/>
    <w:rsid w:val="00963082"/>
    <w:rsid w:val="00963428"/>
    <w:rsid w:val="00963583"/>
    <w:rsid w:val="0096396F"/>
    <w:rsid w:val="00963B2D"/>
    <w:rsid w:val="00963E5B"/>
    <w:rsid w:val="00963E68"/>
    <w:rsid w:val="009640E7"/>
    <w:rsid w:val="009651F6"/>
    <w:rsid w:val="00965CF1"/>
    <w:rsid w:val="009661B9"/>
    <w:rsid w:val="0096646C"/>
    <w:rsid w:val="00966742"/>
    <w:rsid w:val="00966A30"/>
    <w:rsid w:val="00966AF0"/>
    <w:rsid w:val="0096727E"/>
    <w:rsid w:val="00967476"/>
    <w:rsid w:val="00967A8A"/>
    <w:rsid w:val="00967B7F"/>
    <w:rsid w:val="009703E7"/>
    <w:rsid w:val="00970AFF"/>
    <w:rsid w:val="00970D03"/>
    <w:rsid w:val="00970FF0"/>
    <w:rsid w:val="00971410"/>
    <w:rsid w:val="00971479"/>
    <w:rsid w:val="00971625"/>
    <w:rsid w:val="00971CF8"/>
    <w:rsid w:val="00971DC8"/>
    <w:rsid w:val="00972045"/>
    <w:rsid w:val="009720ED"/>
    <w:rsid w:val="0097224E"/>
    <w:rsid w:val="009722B2"/>
    <w:rsid w:val="009727CF"/>
    <w:rsid w:val="00972A2A"/>
    <w:rsid w:val="00972C37"/>
    <w:rsid w:val="00972D3A"/>
    <w:rsid w:val="00973031"/>
    <w:rsid w:val="009731AA"/>
    <w:rsid w:val="0097395E"/>
    <w:rsid w:val="00973F5A"/>
    <w:rsid w:val="009741C6"/>
    <w:rsid w:val="009741E3"/>
    <w:rsid w:val="00974F95"/>
    <w:rsid w:val="00975050"/>
    <w:rsid w:val="00975411"/>
    <w:rsid w:val="009754A9"/>
    <w:rsid w:val="00975771"/>
    <w:rsid w:val="00975AA9"/>
    <w:rsid w:val="00975EED"/>
    <w:rsid w:val="00976541"/>
    <w:rsid w:val="00976B07"/>
    <w:rsid w:val="00976B70"/>
    <w:rsid w:val="00976F62"/>
    <w:rsid w:val="009772CB"/>
    <w:rsid w:val="0098002C"/>
    <w:rsid w:val="0098005D"/>
    <w:rsid w:val="00980AB0"/>
    <w:rsid w:val="00980CF2"/>
    <w:rsid w:val="00980D59"/>
    <w:rsid w:val="009813D1"/>
    <w:rsid w:val="009823A4"/>
    <w:rsid w:val="0098318C"/>
    <w:rsid w:val="00983683"/>
    <w:rsid w:val="00983CAF"/>
    <w:rsid w:val="00983D05"/>
    <w:rsid w:val="00983E2C"/>
    <w:rsid w:val="00984002"/>
    <w:rsid w:val="009845DF"/>
    <w:rsid w:val="00984D21"/>
    <w:rsid w:val="009850A3"/>
    <w:rsid w:val="00985564"/>
    <w:rsid w:val="009855E8"/>
    <w:rsid w:val="0098567E"/>
    <w:rsid w:val="00985B9F"/>
    <w:rsid w:val="00986311"/>
    <w:rsid w:val="00986486"/>
    <w:rsid w:val="009864B6"/>
    <w:rsid w:val="009866F7"/>
    <w:rsid w:val="00987081"/>
    <w:rsid w:val="00987132"/>
    <w:rsid w:val="00987500"/>
    <w:rsid w:val="0098751D"/>
    <w:rsid w:val="00987837"/>
    <w:rsid w:val="00987C63"/>
    <w:rsid w:val="00987EE9"/>
    <w:rsid w:val="009900B9"/>
    <w:rsid w:val="009905B5"/>
    <w:rsid w:val="00990A36"/>
    <w:rsid w:val="00990D3D"/>
    <w:rsid w:val="00990E36"/>
    <w:rsid w:val="0099150C"/>
    <w:rsid w:val="009918ED"/>
    <w:rsid w:val="00991E2C"/>
    <w:rsid w:val="00992631"/>
    <w:rsid w:val="00992DAE"/>
    <w:rsid w:val="00992FC6"/>
    <w:rsid w:val="00993241"/>
    <w:rsid w:val="009936FB"/>
    <w:rsid w:val="009939E2"/>
    <w:rsid w:val="00993A39"/>
    <w:rsid w:val="00994ECC"/>
    <w:rsid w:val="00995560"/>
    <w:rsid w:val="00995A34"/>
    <w:rsid w:val="00996073"/>
    <w:rsid w:val="0099633B"/>
    <w:rsid w:val="00996A78"/>
    <w:rsid w:val="00996E05"/>
    <w:rsid w:val="00996F12"/>
    <w:rsid w:val="009972DB"/>
    <w:rsid w:val="00997FA9"/>
    <w:rsid w:val="009A074F"/>
    <w:rsid w:val="009A0A57"/>
    <w:rsid w:val="009A0ADE"/>
    <w:rsid w:val="009A137F"/>
    <w:rsid w:val="009A15B8"/>
    <w:rsid w:val="009A1716"/>
    <w:rsid w:val="009A17A2"/>
    <w:rsid w:val="009A2048"/>
    <w:rsid w:val="009A2188"/>
    <w:rsid w:val="009A28BD"/>
    <w:rsid w:val="009A2C6F"/>
    <w:rsid w:val="009A3852"/>
    <w:rsid w:val="009A41B3"/>
    <w:rsid w:val="009A4641"/>
    <w:rsid w:val="009A4F3B"/>
    <w:rsid w:val="009A57A5"/>
    <w:rsid w:val="009A6142"/>
    <w:rsid w:val="009A6314"/>
    <w:rsid w:val="009A688F"/>
    <w:rsid w:val="009A6EAD"/>
    <w:rsid w:val="009A769E"/>
    <w:rsid w:val="009A7C79"/>
    <w:rsid w:val="009B019F"/>
    <w:rsid w:val="009B02CC"/>
    <w:rsid w:val="009B05BE"/>
    <w:rsid w:val="009B06DD"/>
    <w:rsid w:val="009B07B8"/>
    <w:rsid w:val="009B0B4C"/>
    <w:rsid w:val="009B0D5A"/>
    <w:rsid w:val="009B0E41"/>
    <w:rsid w:val="009B0FBF"/>
    <w:rsid w:val="009B1461"/>
    <w:rsid w:val="009B1695"/>
    <w:rsid w:val="009B1779"/>
    <w:rsid w:val="009B18E2"/>
    <w:rsid w:val="009B19F5"/>
    <w:rsid w:val="009B1ABF"/>
    <w:rsid w:val="009B1B6D"/>
    <w:rsid w:val="009B1F28"/>
    <w:rsid w:val="009B213C"/>
    <w:rsid w:val="009B2160"/>
    <w:rsid w:val="009B257A"/>
    <w:rsid w:val="009B2A07"/>
    <w:rsid w:val="009B2F13"/>
    <w:rsid w:val="009B2F62"/>
    <w:rsid w:val="009B30E8"/>
    <w:rsid w:val="009B34BB"/>
    <w:rsid w:val="009B3CB7"/>
    <w:rsid w:val="009B3DB4"/>
    <w:rsid w:val="009B454E"/>
    <w:rsid w:val="009B4873"/>
    <w:rsid w:val="009B49A4"/>
    <w:rsid w:val="009B49E8"/>
    <w:rsid w:val="009B51FD"/>
    <w:rsid w:val="009B5886"/>
    <w:rsid w:val="009B5B00"/>
    <w:rsid w:val="009B6AD3"/>
    <w:rsid w:val="009B7C1F"/>
    <w:rsid w:val="009B7C2A"/>
    <w:rsid w:val="009B7FB5"/>
    <w:rsid w:val="009C0603"/>
    <w:rsid w:val="009C0E28"/>
    <w:rsid w:val="009C108B"/>
    <w:rsid w:val="009C157D"/>
    <w:rsid w:val="009C1B0D"/>
    <w:rsid w:val="009C1B19"/>
    <w:rsid w:val="009C1B5A"/>
    <w:rsid w:val="009C204C"/>
    <w:rsid w:val="009C21E3"/>
    <w:rsid w:val="009C2DE7"/>
    <w:rsid w:val="009C34E9"/>
    <w:rsid w:val="009C362E"/>
    <w:rsid w:val="009C373B"/>
    <w:rsid w:val="009C3A19"/>
    <w:rsid w:val="009C3A20"/>
    <w:rsid w:val="009C5382"/>
    <w:rsid w:val="009C53EB"/>
    <w:rsid w:val="009C5547"/>
    <w:rsid w:val="009C57B7"/>
    <w:rsid w:val="009C5877"/>
    <w:rsid w:val="009C5B46"/>
    <w:rsid w:val="009C61D6"/>
    <w:rsid w:val="009C6244"/>
    <w:rsid w:val="009C6355"/>
    <w:rsid w:val="009C6CD0"/>
    <w:rsid w:val="009C6D22"/>
    <w:rsid w:val="009C76A4"/>
    <w:rsid w:val="009C76C1"/>
    <w:rsid w:val="009C7D28"/>
    <w:rsid w:val="009C7D95"/>
    <w:rsid w:val="009C7E56"/>
    <w:rsid w:val="009D014A"/>
    <w:rsid w:val="009D0322"/>
    <w:rsid w:val="009D091F"/>
    <w:rsid w:val="009D0A6C"/>
    <w:rsid w:val="009D0C35"/>
    <w:rsid w:val="009D1725"/>
    <w:rsid w:val="009D2132"/>
    <w:rsid w:val="009D22A8"/>
    <w:rsid w:val="009D23A8"/>
    <w:rsid w:val="009D244C"/>
    <w:rsid w:val="009D29A5"/>
    <w:rsid w:val="009D2C71"/>
    <w:rsid w:val="009D302C"/>
    <w:rsid w:val="009D3D57"/>
    <w:rsid w:val="009D4FC9"/>
    <w:rsid w:val="009D516A"/>
    <w:rsid w:val="009D546E"/>
    <w:rsid w:val="009D5FB4"/>
    <w:rsid w:val="009D6182"/>
    <w:rsid w:val="009D75A2"/>
    <w:rsid w:val="009D7633"/>
    <w:rsid w:val="009D7676"/>
    <w:rsid w:val="009D77B1"/>
    <w:rsid w:val="009E0429"/>
    <w:rsid w:val="009E048B"/>
    <w:rsid w:val="009E04D8"/>
    <w:rsid w:val="009E065C"/>
    <w:rsid w:val="009E0775"/>
    <w:rsid w:val="009E07C6"/>
    <w:rsid w:val="009E0A81"/>
    <w:rsid w:val="009E0BBE"/>
    <w:rsid w:val="009E15AA"/>
    <w:rsid w:val="009E1AF4"/>
    <w:rsid w:val="009E1C44"/>
    <w:rsid w:val="009E200E"/>
    <w:rsid w:val="009E22F9"/>
    <w:rsid w:val="009E23A4"/>
    <w:rsid w:val="009E2778"/>
    <w:rsid w:val="009E299D"/>
    <w:rsid w:val="009E2EAD"/>
    <w:rsid w:val="009E3B02"/>
    <w:rsid w:val="009E3DE3"/>
    <w:rsid w:val="009E3E5A"/>
    <w:rsid w:val="009E41BB"/>
    <w:rsid w:val="009E42E4"/>
    <w:rsid w:val="009E478D"/>
    <w:rsid w:val="009E47A0"/>
    <w:rsid w:val="009E4AFE"/>
    <w:rsid w:val="009E4BC2"/>
    <w:rsid w:val="009E555B"/>
    <w:rsid w:val="009E573E"/>
    <w:rsid w:val="009E5A25"/>
    <w:rsid w:val="009E6D37"/>
    <w:rsid w:val="009E7175"/>
    <w:rsid w:val="009E799A"/>
    <w:rsid w:val="009E7D1D"/>
    <w:rsid w:val="009E7D84"/>
    <w:rsid w:val="009F0C3E"/>
    <w:rsid w:val="009F0DC3"/>
    <w:rsid w:val="009F1C68"/>
    <w:rsid w:val="009F2260"/>
    <w:rsid w:val="009F231C"/>
    <w:rsid w:val="009F259F"/>
    <w:rsid w:val="009F2C2A"/>
    <w:rsid w:val="009F2E9A"/>
    <w:rsid w:val="009F2EB5"/>
    <w:rsid w:val="009F2F1D"/>
    <w:rsid w:val="009F30EA"/>
    <w:rsid w:val="009F31B2"/>
    <w:rsid w:val="009F345D"/>
    <w:rsid w:val="009F35A0"/>
    <w:rsid w:val="009F37EC"/>
    <w:rsid w:val="009F3F7C"/>
    <w:rsid w:val="009F3F9D"/>
    <w:rsid w:val="009F4140"/>
    <w:rsid w:val="009F544C"/>
    <w:rsid w:val="009F550E"/>
    <w:rsid w:val="009F588D"/>
    <w:rsid w:val="009F60E5"/>
    <w:rsid w:val="009F6192"/>
    <w:rsid w:val="009F6283"/>
    <w:rsid w:val="009F64CB"/>
    <w:rsid w:val="009F6704"/>
    <w:rsid w:val="009F6985"/>
    <w:rsid w:val="009F6DA9"/>
    <w:rsid w:val="009F702B"/>
    <w:rsid w:val="009F7710"/>
    <w:rsid w:val="009F78EA"/>
    <w:rsid w:val="009F7B26"/>
    <w:rsid w:val="009F7BA9"/>
    <w:rsid w:val="009F7D4A"/>
    <w:rsid w:val="009F7DE8"/>
    <w:rsid w:val="00A003F7"/>
    <w:rsid w:val="00A00499"/>
    <w:rsid w:val="00A0078B"/>
    <w:rsid w:val="00A00D7F"/>
    <w:rsid w:val="00A015A5"/>
    <w:rsid w:val="00A018C8"/>
    <w:rsid w:val="00A0246D"/>
    <w:rsid w:val="00A02528"/>
    <w:rsid w:val="00A02687"/>
    <w:rsid w:val="00A02767"/>
    <w:rsid w:val="00A02C2E"/>
    <w:rsid w:val="00A02FAF"/>
    <w:rsid w:val="00A0330F"/>
    <w:rsid w:val="00A0408B"/>
    <w:rsid w:val="00A043C1"/>
    <w:rsid w:val="00A04606"/>
    <w:rsid w:val="00A04615"/>
    <w:rsid w:val="00A048B5"/>
    <w:rsid w:val="00A05694"/>
    <w:rsid w:val="00A05C5E"/>
    <w:rsid w:val="00A0615F"/>
    <w:rsid w:val="00A06363"/>
    <w:rsid w:val="00A064A5"/>
    <w:rsid w:val="00A064CC"/>
    <w:rsid w:val="00A06941"/>
    <w:rsid w:val="00A06C86"/>
    <w:rsid w:val="00A06DB5"/>
    <w:rsid w:val="00A0714F"/>
    <w:rsid w:val="00A07182"/>
    <w:rsid w:val="00A07B7F"/>
    <w:rsid w:val="00A10442"/>
    <w:rsid w:val="00A1050E"/>
    <w:rsid w:val="00A10D32"/>
    <w:rsid w:val="00A10D94"/>
    <w:rsid w:val="00A119AD"/>
    <w:rsid w:val="00A11AC9"/>
    <w:rsid w:val="00A120EA"/>
    <w:rsid w:val="00A123DF"/>
    <w:rsid w:val="00A12CAD"/>
    <w:rsid w:val="00A1372C"/>
    <w:rsid w:val="00A137E2"/>
    <w:rsid w:val="00A13A12"/>
    <w:rsid w:val="00A13E65"/>
    <w:rsid w:val="00A14522"/>
    <w:rsid w:val="00A146E7"/>
    <w:rsid w:val="00A1488B"/>
    <w:rsid w:val="00A14BEA"/>
    <w:rsid w:val="00A14C75"/>
    <w:rsid w:val="00A14DB3"/>
    <w:rsid w:val="00A1569D"/>
    <w:rsid w:val="00A16695"/>
    <w:rsid w:val="00A17023"/>
    <w:rsid w:val="00A17261"/>
    <w:rsid w:val="00A177E4"/>
    <w:rsid w:val="00A17858"/>
    <w:rsid w:val="00A17D95"/>
    <w:rsid w:val="00A17F16"/>
    <w:rsid w:val="00A17F3F"/>
    <w:rsid w:val="00A20255"/>
    <w:rsid w:val="00A20A46"/>
    <w:rsid w:val="00A20BE7"/>
    <w:rsid w:val="00A21043"/>
    <w:rsid w:val="00A21114"/>
    <w:rsid w:val="00A214E0"/>
    <w:rsid w:val="00A2182F"/>
    <w:rsid w:val="00A22108"/>
    <w:rsid w:val="00A22859"/>
    <w:rsid w:val="00A233BE"/>
    <w:rsid w:val="00A243E7"/>
    <w:rsid w:val="00A2470B"/>
    <w:rsid w:val="00A24A8C"/>
    <w:rsid w:val="00A24BC2"/>
    <w:rsid w:val="00A24CB2"/>
    <w:rsid w:val="00A24DAC"/>
    <w:rsid w:val="00A24EE4"/>
    <w:rsid w:val="00A250A8"/>
    <w:rsid w:val="00A25405"/>
    <w:rsid w:val="00A25E7D"/>
    <w:rsid w:val="00A261F9"/>
    <w:rsid w:val="00A26386"/>
    <w:rsid w:val="00A2639B"/>
    <w:rsid w:val="00A26582"/>
    <w:rsid w:val="00A267D3"/>
    <w:rsid w:val="00A268CD"/>
    <w:rsid w:val="00A26AEF"/>
    <w:rsid w:val="00A26B8F"/>
    <w:rsid w:val="00A2714C"/>
    <w:rsid w:val="00A27371"/>
    <w:rsid w:val="00A27D1C"/>
    <w:rsid w:val="00A27D86"/>
    <w:rsid w:val="00A30309"/>
    <w:rsid w:val="00A3035C"/>
    <w:rsid w:val="00A303BE"/>
    <w:rsid w:val="00A30435"/>
    <w:rsid w:val="00A30AF7"/>
    <w:rsid w:val="00A3119F"/>
    <w:rsid w:val="00A3169C"/>
    <w:rsid w:val="00A31C8D"/>
    <w:rsid w:val="00A31E0F"/>
    <w:rsid w:val="00A32277"/>
    <w:rsid w:val="00A32413"/>
    <w:rsid w:val="00A3273B"/>
    <w:rsid w:val="00A32863"/>
    <w:rsid w:val="00A32882"/>
    <w:rsid w:val="00A32AB0"/>
    <w:rsid w:val="00A32F36"/>
    <w:rsid w:val="00A33096"/>
    <w:rsid w:val="00A335B1"/>
    <w:rsid w:val="00A335F5"/>
    <w:rsid w:val="00A33743"/>
    <w:rsid w:val="00A33838"/>
    <w:rsid w:val="00A338A2"/>
    <w:rsid w:val="00A33B2E"/>
    <w:rsid w:val="00A3400E"/>
    <w:rsid w:val="00A34148"/>
    <w:rsid w:val="00A34496"/>
    <w:rsid w:val="00A34806"/>
    <w:rsid w:val="00A358ED"/>
    <w:rsid w:val="00A3611F"/>
    <w:rsid w:val="00A367DA"/>
    <w:rsid w:val="00A371F0"/>
    <w:rsid w:val="00A379B2"/>
    <w:rsid w:val="00A37B64"/>
    <w:rsid w:val="00A37B84"/>
    <w:rsid w:val="00A37C56"/>
    <w:rsid w:val="00A37CAE"/>
    <w:rsid w:val="00A37E5E"/>
    <w:rsid w:val="00A37EBA"/>
    <w:rsid w:val="00A40130"/>
    <w:rsid w:val="00A406E1"/>
    <w:rsid w:val="00A406EF"/>
    <w:rsid w:val="00A40862"/>
    <w:rsid w:val="00A40C63"/>
    <w:rsid w:val="00A4112F"/>
    <w:rsid w:val="00A41743"/>
    <w:rsid w:val="00A41D27"/>
    <w:rsid w:val="00A41F11"/>
    <w:rsid w:val="00A42282"/>
    <w:rsid w:val="00A42853"/>
    <w:rsid w:val="00A43387"/>
    <w:rsid w:val="00A436A9"/>
    <w:rsid w:val="00A43FAD"/>
    <w:rsid w:val="00A44CED"/>
    <w:rsid w:val="00A44DB4"/>
    <w:rsid w:val="00A45AB9"/>
    <w:rsid w:val="00A45BFD"/>
    <w:rsid w:val="00A4632A"/>
    <w:rsid w:val="00A4663F"/>
    <w:rsid w:val="00A46AAB"/>
    <w:rsid w:val="00A46B7D"/>
    <w:rsid w:val="00A46F8B"/>
    <w:rsid w:val="00A47DE2"/>
    <w:rsid w:val="00A5052C"/>
    <w:rsid w:val="00A5062A"/>
    <w:rsid w:val="00A506EE"/>
    <w:rsid w:val="00A50F18"/>
    <w:rsid w:val="00A5157B"/>
    <w:rsid w:val="00A51B7C"/>
    <w:rsid w:val="00A52744"/>
    <w:rsid w:val="00A52EBE"/>
    <w:rsid w:val="00A5370E"/>
    <w:rsid w:val="00A53D37"/>
    <w:rsid w:val="00A54323"/>
    <w:rsid w:val="00A543B6"/>
    <w:rsid w:val="00A543F8"/>
    <w:rsid w:val="00A54AE8"/>
    <w:rsid w:val="00A55228"/>
    <w:rsid w:val="00A55848"/>
    <w:rsid w:val="00A55B1B"/>
    <w:rsid w:val="00A560F5"/>
    <w:rsid w:val="00A56812"/>
    <w:rsid w:val="00A56B8E"/>
    <w:rsid w:val="00A56F23"/>
    <w:rsid w:val="00A5728F"/>
    <w:rsid w:val="00A575E5"/>
    <w:rsid w:val="00A60282"/>
    <w:rsid w:val="00A6062F"/>
    <w:rsid w:val="00A606FD"/>
    <w:rsid w:val="00A60A75"/>
    <w:rsid w:val="00A61632"/>
    <w:rsid w:val="00A61D67"/>
    <w:rsid w:val="00A61D9A"/>
    <w:rsid w:val="00A62CB8"/>
    <w:rsid w:val="00A62DE9"/>
    <w:rsid w:val="00A6306E"/>
    <w:rsid w:val="00A631A0"/>
    <w:rsid w:val="00A634AB"/>
    <w:rsid w:val="00A634C5"/>
    <w:rsid w:val="00A636A1"/>
    <w:rsid w:val="00A63D0D"/>
    <w:rsid w:val="00A63EC5"/>
    <w:rsid w:val="00A648B9"/>
    <w:rsid w:val="00A64E01"/>
    <w:rsid w:val="00A64F86"/>
    <w:rsid w:val="00A6507E"/>
    <w:rsid w:val="00A65126"/>
    <w:rsid w:val="00A654DB"/>
    <w:rsid w:val="00A6577C"/>
    <w:rsid w:val="00A659B5"/>
    <w:rsid w:val="00A65BC5"/>
    <w:rsid w:val="00A65C94"/>
    <w:rsid w:val="00A65DFF"/>
    <w:rsid w:val="00A660C1"/>
    <w:rsid w:val="00A66F65"/>
    <w:rsid w:val="00A67220"/>
    <w:rsid w:val="00A7068B"/>
    <w:rsid w:val="00A70BDF"/>
    <w:rsid w:val="00A713A2"/>
    <w:rsid w:val="00A71402"/>
    <w:rsid w:val="00A7147E"/>
    <w:rsid w:val="00A714BA"/>
    <w:rsid w:val="00A71F2B"/>
    <w:rsid w:val="00A720B2"/>
    <w:rsid w:val="00A72413"/>
    <w:rsid w:val="00A72532"/>
    <w:rsid w:val="00A72BFD"/>
    <w:rsid w:val="00A72ED7"/>
    <w:rsid w:val="00A72FB7"/>
    <w:rsid w:val="00A7397A"/>
    <w:rsid w:val="00A73A54"/>
    <w:rsid w:val="00A740AC"/>
    <w:rsid w:val="00A748D3"/>
    <w:rsid w:val="00A74C01"/>
    <w:rsid w:val="00A74D8D"/>
    <w:rsid w:val="00A75DCC"/>
    <w:rsid w:val="00A75DD5"/>
    <w:rsid w:val="00A75FC3"/>
    <w:rsid w:val="00A75FC7"/>
    <w:rsid w:val="00A75FF7"/>
    <w:rsid w:val="00A76135"/>
    <w:rsid w:val="00A7632F"/>
    <w:rsid w:val="00A763E9"/>
    <w:rsid w:val="00A76483"/>
    <w:rsid w:val="00A764A7"/>
    <w:rsid w:val="00A767FE"/>
    <w:rsid w:val="00A77027"/>
    <w:rsid w:val="00A779D8"/>
    <w:rsid w:val="00A77F6C"/>
    <w:rsid w:val="00A801F3"/>
    <w:rsid w:val="00A80A92"/>
    <w:rsid w:val="00A80D63"/>
    <w:rsid w:val="00A80F19"/>
    <w:rsid w:val="00A81902"/>
    <w:rsid w:val="00A830F6"/>
    <w:rsid w:val="00A83B16"/>
    <w:rsid w:val="00A840EC"/>
    <w:rsid w:val="00A84443"/>
    <w:rsid w:val="00A84E21"/>
    <w:rsid w:val="00A85048"/>
    <w:rsid w:val="00A8537D"/>
    <w:rsid w:val="00A85414"/>
    <w:rsid w:val="00A8549C"/>
    <w:rsid w:val="00A854DA"/>
    <w:rsid w:val="00A85C39"/>
    <w:rsid w:val="00A85CBB"/>
    <w:rsid w:val="00A85EE0"/>
    <w:rsid w:val="00A861CB"/>
    <w:rsid w:val="00A86729"/>
    <w:rsid w:val="00A86DFD"/>
    <w:rsid w:val="00A86FF7"/>
    <w:rsid w:val="00A87E72"/>
    <w:rsid w:val="00A90181"/>
    <w:rsid w:val="00A904E7"/>
    <w:rsid w:val="00A9080C"/>
    <w:rsid w:val="00A90943"/>
    <w:rsid w:val="00A90963"/>
    <w:rsid w:val="00A90CFE"/>
    <w:rsid w:val="00A90E29"/>
    <w:rsid w:val="00A90F26"/>
    <w:rsid w:val="00A91234"/>
    <w:rsid w:val="00A91D23"/>
    <w:rsid w:val="00A924D2"/>
    <w:rsid w:val="00A925B3"/>
    <w:rsid w:val="00A92D44"/>
    <w:rsid w:val="00A938EC"/>
    <w:rsid w:val="00A941AE"/>
    <w:rsid w:val="00A94463"/>
    <w:rsid w:val="00A946D7"/>
    <w:rsid w:val="00A947A1"/>
    <w:rsid w:val="00A947B4"/>
    <w:rsid w:val="00A94A6A"/>
    <w:rsid w:val="00A95698"/>
    <w:rsid w:val="00A958A7"/>
    <w:rsid w:val="00A959C8"/>
    <w:rsid w:val="00A96238"/>
    <w:rsid w:val="00A9687E"/>
    <w:rsid w:val="00A969CA"/>
    <w:rsid w:val="00A96DF3"/>
    <w:rsid w:val="00A975E9"/>
    <w:rsid w:val="00A978B6"/>
    <w:rsid w:val="00A978F6"/>
    <w:rsid w:val="00A97F03"/>
    <w:rsid w:val="00AA0B55"/>
    <w:rsid w:val="00AA11DD"/>
    <w:rsid w:val="00AA1336"/>
    <w:rsid w:val="00AA1862"/>
    <w:rsid w:val="00AA2224"/>
    <w:rsid w:val="00AA2259"/>
    <w:rsid w:val="00AA237F"/>
    <w:rsid w:val="00AA301B"/>
    <w:rsid w:val="00AA333A"/>
    <w:rsid w:val="00AA358D"/>
    <w:rsid w:val="00AA3AD7"/>
    <w:rsid w:val="00AA4254"/>
    <w:rsid w:val="00AA46EB"/>
    <w:rsid w:val="00AA4736"/>
    <w:rsid w:val="00AA49CA"/>
    <w:rsid w:val="00AA4A2D"/>
    <w:rsid w:val="00AA4DF1"/>
    <w:rsid w:val="00AA51E0"/>
    <w:rsid w:val="00AA5519"/>
    <w:rsid w:val="00AA5683"/>
    <w:rsid w:val="00AA57F4"/>
    <w:rsid w:val="00AA5AEB"/>
    <w:rsid w:val="00AA5E11"/>
    <w:rsid w:val="00AA609E"/>
    <w:rsid w:val="00AA6406"/>
    <w:rsid w:val="00AA7057"/>
    <w:rsid w:val="00AA7549"/>
    <w:rsid w:val="00AA7B5D"/>
    <w:rsid w:val="00AA7D10"/>
    <w:rsid w:val="00AA7FDF"/>
    <w:rsid w:val="00AB024B"/>
    <w:rsid w:val="00AB0364"/>
    <w:rsid w:val="00AB0410"/>
    <w:rsid w:val="00AB0BB2"/>
    <w:rsid w:val="00AB0DE1"/>
    <w:rsid w:val="00AB0F5E"/>
    <w:rsid w:val="00AB1269"/>
    <w:rsid w:val="00AB17A7"/>
    <w:rsid w:val="00AB1F17"/>
    <w:rsid w:val="00AB22CD"/>
    <w:rsid w:val="00AB2BDB"/>
    <w:rsid w:val="00AB32F7"/>
    <w:rsid w:val="00AB343A"/>
    <w:rsid w:val="00AB3467"/>
    <w:rsid w:val="00AB3AAA"/>
    <w:rsid w:val="00AB42FF"/>
    <w:rsid w:val="00AB46D5"/>
    <w:rsid w:val="00AB49E9"/>
    <w:rsid w:val="00AB505D"/>
    <w:rsid w:val="00AB5226"/>
    <w:rsid w:val="00AB5898"/>
    <w:rsid w:val="00AB6381"/>
    <w:rsid w:val="00AB6B18"/>
    <w:rsid w:val="00AB6DB3"/>
    <w:rsid w:val="00AB76D5"/>
    <w:rsid w:val="00AB7862"/>
    <w:rsid w:val="00AB7A2B"/>
    <w:rsid w:val="00AB7B4C"/>
    <w:rsid w:val="00AC004B"/>
    <w:rsid w:val="00AC026B"/>
    <w:rsid w:val="00AC02BE"/>
    <w:rsid w:val="00AC0528"/>
    <w:rsid w:val="00AC0820"/>
    <w:rsid w:val="00AC09A3"/>
    <w:rsid w:val="00AC1158"/>
    <w:rsid w:val="00AC1BB7"/>
    <w:rsid w:val="00AC23B6"/>
    <w:rsid w:val="00AC27F1"/>
    <w:rsid w:val="00AC2C31"/>
    <w:rsid w:val="00AC328F"/>
    <w:rsid w:val="00AC35AB"/>
    <w:rsid w:val="00AC373C"/>
    <w:rsid w:val="00AC409B"/>
    <w:rsid w:val="00AC45FC"/>
    <w:rsid w:val="00AC4684"/>
    <w:rsid w:val="00AC469F"/>
    <w:rsid w:val="00AC4A43"/>
    <w:rsid w:val="00AC4A58"/>
    <w:rsid w:val="00AC4C23"/>
    <w:rsid w:val="00AC4CE2"/>
    <w:rsid w:val="00AC5187"/>
    <w:rsid w:val="00AC56E1"/>
    <w:rsid w:val="00AC598D"/>
    <w:rsid w:val="00AC5E1D"/>
    <w:rsid w:val="00AC6147"/>
    <w:rsid w:val="00AC634D"/>
    <w:rsid w:val="00AC6567"/>
    <w:rsid w:val="00AC7456"/>
    <w:rsid w:val="00AC767B"/>
    <w:rsid w:val="00AC79DA"/>
    <w:rsid w:val="00AC7A49"/>
    <w:rsid w:val="00AC7AA1"/>
    <w:rsid w:val="00AD0ABD"/>
    <w:rsid w:val="00AD0B08"/>
    <w:rsid w:val="00AD0FB9"/>
    <w:rsid w:val="00AD1025"/>
    <w:rsid w:val="00AD1270"/>
    <w:rsid w:val="00AD17DE"/>
    <w:rsid w:val="00AD1E58"/>
    <w:rsid w:val="00AD220E"/>
    <w:rsid w:val="00AD2E29"/>
    <w:rsid w:val="00AD2F82"/>
    <w:rsid w:val="00AD2FD0"/>
    <w:rsid w:val="00AD34C4"/>
    <w:rsid w:val="00AD3751"/>
    <w:rsid w:val="00AD42F0"/>
    <w:rsid w:val="00AD47FA"/>
    <w:rsid w:val="00AD49E4"/>
    <w:rsid w:val="00AD503A"/>
    <w:rsid w:val="00AD516F"/>
    <w:rsid w:val="00AD563A"/>
    <w:rsid w:val="00AD56D9"/>
    <w:rsid w:val="00AD6103"/>
    <w:rsid w:val="00AD627C"/>
    <w:rsid w:val="00AD6295"/>
    <w:rsid w:val="00AD6634"/>
    <w:rsid w:val="00AD6F50"/>
    <w:rsid w:val="00AD72F5"/>
    <w:rsid w:val="00AD7673"/>
    <w:rsid w:val="00AD7845"/>
    <w:rsid w:val="00AE03D7"/>
    <w:rsid w:val="00AE0478"/>
    <w:rsid w:val="00AE0692"/>
    <w:rsid w:val="00AE112B"/>
    <w:rsid w:val="00AE152B"/>
    <w:rsid w:val="00AE180D"/>
    <w:rsid w:val="00AE18F5"/>
    <w:rsid w:val="00AE1DF9"/>
    <w:rsid w:val="00AE26CD"/>
    <w:rsid w:val="00AE2752"/>
    <w:rsid w:val="00AE2864"/>
    <w:rsid w:val="00AE3066"/>
    <w:rsid w:val="00AE32EF"/>
    <w:rsid w:val="00AE332E"/>
    <w:rsid w:val="00AE397A"/>
    <w:rsid w:val="00AE3D92"/>
    <w:rsid w:val="00AE4330"/>
    <w:rsid w:val="00AE4538"/>
    <w:rsid w:val="00AE47B6"/>
    <w:rsid w:val="00AE482D"/>
    <w:rsid w:val="00AE4FF1"/>
    <w:rsid w:val="00AE500F"/>
    <w:rsid w:val="00AE5015"/>
    <w:rsid w:val="00AE52AF"/>
    <w:rsid w:val="00AE5341"/>
    <w:rsid w:val="00AE5C57"/>
    <w:rsid w:val="00AE5C64"/>
    <w:rsid w:val="00AE5E9A"/>
    <w:rsid w:val="00AE6936"/>
    <w:rsid w:val="00AE6B27"/>
    <w:rsid w:val="00AE6B5D"/>
    <w:rsid w:val="00AE7651"/>
    <w:rsid w:val="00AE7E23"/>
    <w:rsid w:val="00AE7EDE"/>
    <w:rsid w:val="00AE7F11"/>
    <w:rsid w:val="00AF0171"/>
    <w:rsid w:val="00AF03F0"/>
    <w:rsid w:val="00AF080D"/>
    <w:rsid w:val="00AF10A0"/>
    <w:rsid w:val="00AF139A"/>
    <w:rsid w:val="00AF1C7D"/>
    <w:rsid w:val="00AF1E8A"/>
    <w:rsid w:val="00AF2290"/>
    <w:rsid w:val="00AF22A9"/>
    <w:rsid w:val="00AF242D"/>
    <w:rsid w:val="00AF277F"/>
    <w:rsid w:val="00AF27C3"/>
    <w:rsid w:val="00AF2838"/>
    <w:rsid w:val="00AF3554"/>
    <w:rsid w:val="00AF3CBA"/>
    <w:rsid w:val="00AF3DC6"/>
    <w:rsid w:val="00AF43F6"/>
    <w:rsid w:val="00AF4506"/>
    <w:rsid w:val="00AF4B79"/>
    <w:rsid w:val="00AF5129"/>
    <w:rsid w:val="00AF5296"/>
    <w:rsid w:val="00AF555B"/>
    <w:rsid w:val="00AF5AB1"/>
    <w:rsid w:val="00AF7648"/>
    <w:rsid w:val="00AF7716"/>
    <w:rsid w:val="00AF7EEF"/>
    <w:rsid w:val="00AF7F75"/>
    <w:rsid w:val="00AF7FB0"/>
    <w:rsid w:val="00AF7FF6"/>
    <w:rsid w:val="00B005F1"/>
    <w:rsid w:val="00B00947"/>
    <w:rsid w:val="00B00A32"/>
    <w:rsid w:val="00B00CE5"/>
    <w:rsid w:val="00B00F12"/>
    <w:rsid w:val="00B01B5E"/>
    <w:rsid w:val="00B01E7B"/>
    <w:rsid w:val="00B02078"/>
    <w:rsid w:val="00B02481"/>
    <w:rsid w:val="00B02620"/>
    <w:rsid w:val="00B02EE9"/>
    <w:rsid w:val="00B0374A"/>
    <w:rsid w:val="00B038F6"/>
    <w:rsid w:val="00B03C13"/>
    <w:rsid w:val="00B03C96"/>
    <w:rsid w:val="00B03D0B"/>
    <w:rsid w:val="00B03ED3"/>
    <w:rsid w:val="00B04976"/>
    <w:rsid w:val="00B057B0"/>
    <w:rsid w:val="00B05FC4"/>
    <w:rsid w:val="00B06038"/>
    <w:rsid w:val="00B064A0"/>
    <w:rsid w:val="00B06967"/>
    <w:rsid w:val="00B072F1"/>
    <w:rsid w:val="00B07B09"/>
    <w:rsid w:val="00B1023F"/>
    <w:rsid w:val="00B1043A"/>
    <w:rsid w:val="00B107B6"/>
    <w:rsid w:val="00B10FDE"/>
    <w:rsid w:val="00B11119"/>
    <w:rsid w:val="00B1156F"/>
    <w:rsid w:val="00B11731"/>
    <w:rsid w:val="00B1175E"/>
    <w:rsid w:val="00B11997"/>
    <w:rsid w:val="00B119CA"/>
    <w:rsid w:val="00B11FCB"/>
    <w:rsid w:val="00B1300E"/>
    <w:rsid w:val="00B1310E"/>
    <w:rsid w:val="00B1336B"/>
    <w:rsid w:val="00B134BB"/>
    <w:rsid w:val="00B1370D"/>
    <w:rsid w:val="00B13AD0"/>
    <w:rsid w:val="00B13D0F"/>
    <w:rsid w:val="00B13DEE"/>
    <w:rsid w:val="00B1416A"/>
    <w:rsid w:val="00B1468C"/>
    <w:rsid w:val="00B14D5A"/>
    <w:rsid w:val="00B14E7F"/>
    <w:rsid w:val="00B15532"/>
    <w:rsid w:val="00B1586E"/>
    <w:rsid w:val="00B16141"/>
    <w:rsid w:val="00B16651"/>
    <w:rsid w:val="00B166D6"/>
    <w:rsid w:val="00B1672F"/>
    <w:rsid w:val="00B1681F"/>
    <w:rsid w:val="00B16B9A"/>
    <w:rsid w:val="00B175AB"/>
    <w:rsid w:val="00B1786C"/>
    <w:rsid w:val="00B17CA0"/>
    <w:rsid w:val="00B20173"/>
    <w:rsid w:val="00B20711"/>
    <w:rsid w:val="00B209A4"/>
    <w:rsid w:val="00B21107"/>
    <w:rsid w:val="00B21A45"/>
    <w:rsid w:val="00B21BF6"/>
    <w:rsid w:val="00B21D9D"/>
    <w:rsid w:val="00B21FD2"/>
    <w:rsid w:val="00B220B4"/>
    <w:rsid w:val="00B22424"/>
    <w:rsid w:val="00B2284E"/>
    <w:rsid w:val="00B22CCD"/>
    <w:rsid w:val="00B22D9A"/>
    <w:rsid w:val="00B22DF4"/>
    <w:rsid w:val="00B22E3F"/>
    <w:rsid w:val="00B22E41"/>
    <w:rsid w:val="00B2300F"/>
    <w:rsid w:val="00B2316F"/>
    <w:rsid w:val="00B2328B"/>
    <w:rsid w:val="00B2363C"/>
    <w:rsid w:val="00B23BCF"/>
    <w:rsid w:val="00B2440C"/>
    <w:rsid w:val="00B24693"/>
    <w:rsid w:val="00B246D3"/>
    <w:rsid w:val="00B24739"/>
    <w:rsid w:val="00B249F5"/>
    <w:rsid w:val="00B254F5"/>
    <w:rsid w:val="00B256B6"/>
    <w:rsid w:val="00B25884"/>
    <w:rsid w:val="00B25D26"/>
    <w:rsid w:val="00B25FB4"/>
    <w:rsid w:val="00B2613A"/>
    <w:rsid w:val="00B26272"/>
    <w:rsid w:val="00B263C0"/>
    <w:rsid w:val="00B2707A"/>
    <w:rsid w:val="00B27E34"/>
    <w:rsid w:val="00B3104E"/>
    <w:rsid w:val="00B3123F"/>
    <w:rsid w:val="00B31338"/>
    <w:rsid w:val="00B316C9"/>
    <w:rsid w:val="00B31CE7"/>
    <w:rsid w:val="00B32364"/>
    <w:rsid w:val="00B32D7B"/>
    <w:rsid w:val="00B32FC8"/>
    <w:rsid w:val="00B33390"/>
    <w:rsid w:val="00B33775"/>
    <w:rsid w:val="00B33809"/>
    <w:rsid w:val="00B3387C"/>
    <w:rsid w:val="00B33AD0"/>
    <w:rsid w:val="00B34278"/>
    <w:rsid w:val="00B34DB5"/>
    <w:rsid w:val="00B34E24"/>
    <w:rsid w:val="00B35700"/>
    <w:rsid w:val="00B35BFC"/>
    <w:rsid w:val="00B35F1D"/>
    <w:rsid w:val="00B35F9F"/>
    <w:rsid w:val="00B37323"/>
    <w:rsid w:val="00B37544"/>
    <w:rsid w:val="00B3760B"/>
    <w:rsid w:val="00B37DDE"/>
    <w:rsid w:val="00B37E14"/>
    <w:rsid w:val="00B40222"/>
    <w:rsid w:val="00B40A92"/>
    <w:rsid w:val="00B40BA8"/>
    <w:rsid w:val="00B410BE"/>
    <w:rsid w:val="00B411E7"/>
    <w:rsid w:val="00B41279"/>
    <w:rsid w:val="00B41625"/>
    <w:rsid w:val="00B41D41"/>
    <w:rsid w:val="00B4201F"/>
    <w:rsid w:val="00B4209D"/>
    <w:rsid w:val="00B422A3"/>
    <w:rsid w:val="00B42739"/>
    <w:rsid w:val="00B42B82"/>
    <w:rsid w:val="00B42E31"/>
    <w:rsid w:val="00B4328F"/>
    <w:rsid w:val="00B43328"/>
    <w:rsid w:val="00B437E1"/>
    <w:rsid w:val="00B4383C"/>
    <w:rsid w:val="00B43849"/>
    <w:rsid w:val="00B43AFF"/>
    <w:rsid w:val="00B441A9"/>
    <w:rsid w:val="00B44350"/>
    <w:rsid w:val="00B449D2"/>
    <w:rsid w:val="00B44B3A"/>
    <w:rsid w:val="00B4502E"/>
    <w:rsid w:val="00B4510B"/>
    <w:rsid w:val="00B45BD2"/>
    <w:rsid w:val="00B45D7E"/>
    <w:rsid w:val="00B45E64"/>
    <w:rsid w:val="00B4633C"/>
    <w:rsid w:val="00B46E1B"/>
    <w:rsid w:val="00B47026"/>
    <w:rsid w:val="00B470F6"/>
    <w:rsid w:val="00B4718C"/>
    <w:rsid w:val="00B47659"/>
    <w:rsid w:val="00B50162"/>
    <w:rsid w:val="00B503F8"/>
    <w:rsid w:val="00B5044C"/>
    <w:rsid w:val="00B50AEA"/>
    <w:rsid w:val="00B50C6F"/>
    <w:rsid w:val="00B50D4A"/>
    <w:rsid w:val="00B5193E"/>
    <w:rsid w:val="00B51D3C"/>
    <w:rsid w:val="00B521BD"/>
    <w:rsid w:val="00B5246B"/>
    <w:rsid w:val="00B524D8"/>
    <w:rsid w:val="00B52DEC"/>
    <w:rsid w:val="00B530A6"/>
    <w:rsid w:val="00B5342C"/>
    <w:rsid w:val="00B53468"/>
    <w:rsid w:val="00B53504"/>
    <w:rsid w:val="00B53ABA"/>
    <w:rsid w:val="00B53C03"/>
    <w:rsid w:val="00B53CFA"/>
    <w:rsid w:val="00B541E8"/>
    <w:rsid w:val="00B5423C"/>
    <w:rsid w:val="00B5432D"/>
    <w:rsid w:val="00B54522"/>
    <w:rsid w:val="00B54FD1"/>
    <w:rsid w:val="00B5573B"/>
    <w:rsid w:val="00B55C01"/>
    <w:rsid w:val="00B56138"/>
    <w:rsid w:val="00B566CF"/>
    <w:rsid w:val="00B56972"/>
    <w:rsid w:val="00B56DC4"/>
    <w:rsid w:val="00B56F1C"/>
    <w:rsid w:val="00B57244"/>
    <w:rsid w:val="00B572EF"/>
    <w:rsid w:val="00B576E2"/>
    <w:rsid w:val="00B57758"/>
    <w:rsid w:val="00B603D0"/>
    <w:rsid w:val="00B609E0"/>
    <w:rsid w:val="00B60BF9"/>
    <w:rsid w:val="00B60CA4"/>
    <w:rsid w:val="00B61288"/>
    <w:rsid w:val="00B614A9"/>
    <w:rsid w:val="00B6159B"/>
    <w:rsid w:val="00B6166D"/>
    <w:rsid w:val="00B61815"/>
    <w:rsid w:val="00B61913"/>
    <w:rsid w:val="00B61A0F"/>
    <w:rsid w:val="00B6232A"/>
    <w:rsid w:val="00B624C0"/>
    <w:rsid w:val="00B62C8B"/>
    <w:rsid w:val="00B630A8"/>
    <w:rsid w:val="00B6382B"/>
    <w:rsid w:val="00B63B5D"/>
    <w:rsid w:val="00B63CE7"/>
    <w:rsid w:val="00B6444D"/>
    <w:rsid w:val="00B6533B"/>
    <w:rsid w:val="00B660F7"/>
    <w:rsid w:val="00B6625C"/>
    <w:rsid w:val="00B66532"/>
    <w:rsid w:val="00B66B67"/>
    <w:rsid w:val="00B66EE6"/>
    <w:rsid w:val="00B67021"/>
    <w:rsid w:val="00B6703B"/>
    <w:rsid w:val="00B67316"/>
    <w:rsid w:val="00B67508"/>
    <w:rsid w:val="00B6755A"/>
    <w:rsid w:val="00B67B4F"/>
    <w:rsid w:val="00B67D9D"/>
    <w:rsid w:val="00B67EEF"/>
    <w:rsid w:val="00B703C6"/>
    <w:rsid w:val="00B703EB"/>
    <w:rsid w:val="00B707F3"/>
    <w:rsid w:val="00B70D77"/>
    <w:rsid w:val="00B712CC"/>
    <w:rsid w:val="00B718EF"/>
    <w:rsid w:val="00B71A92"/>
    <w:rsid w:val="00B71FA0"/>
    <w:rsid w:val="00B7210C"/>
    <w:rsid w:val="00B7242D"/>
    <w:rsid w:val="00B72C2B"/>
    <w:rsid w:val="00B731F1"/>
    <w:rsid w:val="00B73DD3"/>
    <w:rsid w:val="00B73F7D"/>
    <w:rsid w:val="00B74FDD"/>
    <w:rsid w:val="00B752C3"/>
    <w:rsid w:val="00B75323"/>
    <w:rsid w:val="00B759F3"/>
    <w:rsid w:val="00B76CC8"/>
    <w:rsid w:val="00B76CCF"/>
    <w:rsid w:val="00B76E5B"/>
    <w:rsid w:val="00B76F46"/>
    <w:rsid w:val="00B76FFA"/>
    <w:rsid w:val="00B7705B"/>
    <w:rsid w:val="00B771E6"/>
    <w:rsid w:val="00B776AD"/>
    <w:rsid w:val="00B77714"/>
    <w:rsid w:val="00B77855"/>
    <w:rsid w:val="00B77F4C"/>
    <w:rsid w:val="00B80053"/>
    <w:rsid w:val="00B8026E"/>
    <w:rsid w:val="00B80467"/>
    <w:rsid w:val="00B80C33"/>
    <w:rsid w:val="00B80D95"/>
    <w:rsid w:val="00B80E25"/>
    <w:rsid w:val="00B80E9D"/>
    <w:rsid w:val="00B82686"/>
    <w:rsid w:val="00B826D2"/>
    <w:rsid w:val="00B82C1F"/>
    <w:rsid w:val="00B82C36"/>
    <w:rsid w:val="00B82DE2"/>
    <w:rsid w:val="00B82FB6"/>
    <w:rsid w:val="00B83112"/>
    <w:rsid w:val="00B8363A"/>
    <w:rsid w:val="00B836EB"/>
    <w:rsid w:val="00B8394A"/>
    <w:rsid w:val="00B85708"/>
    <w:rsid w:val="00B85830"/>
    <w:rsid w:val="00B865F5"/>
    <w:rsid w:val="00B86828"/>
    <w:rsid w:val="00B87AD9"/>
    <w:rsid w:val="00B87B49"/>
    <w:rsid w:val="00B87C37"/>
    <w:rsid w:val="00B904C7"/>
    <w:rsid w:val="00B90745"/>
    <w:rsid w:val="00B90864"/>
    <w:rsid w:val="00B914D3"/>
    <w:rsid w:val="00B91DED"/>
    <w:rsid w:val="00B926FA"/>
    <w:rsid w:val="00B931B7"/>
    <w:rsid w:val="00B934DC"/>
    <w:rsid w:val="00B9370F"/>
    <w:rsid w:val="00B93DCE"/>
    <w:rsid w:val="00B94993"/>
    <w:rsid w:val="00B951B3"/>
    <w:rsid w:val="00B952FB"/>
    <w:rsid w:val="00B953EF"/>
    <w:rsid w:val="00B95938"/>
    <w:rsid w:val="00B96009"/>
    <w:rsid w:val="00B961E1"/>
    <w:rsid w:val="00B964DE"/>
    <w:rsid w:val="00B964ED"/>
    <w:rsid w:val="00B9674A"/>
    <w:rsid w:val="00B96800"/>
    <w:rsid w:val="00B96A26"/>
    <w:rsid w:val="00B96C3C"/>
    <w:rsid w:val="00B974CD"/>
    <w:rsid w:val="00B977D4"/>
    <w:rsid w:val="00B97938"/>
    <w:rsid w:val="00BA0396"/>
    <w:rsid w:val="00BA0BA0"/>
    <w:rsid w:val="00BA1083"/>
    <w:rsid w:val="00BA10EA"/>
    <w:rsid w:val="00BA141E"/>
    <w:rsid w:val="00BA1FBA"/>
    <w:rsid w:val="00BA28BD"/>
    <w:rsid w:val="00BA2AD9"/>
    <w:rsid w:val="00BA3654"/>
    <w:rsid w:val="00BA386D"/>
    <w:rsid w:val="00BA3D13"/>
    <w:rsid w:val="00BA43D8"/>
    <w:rsid w:val="00BA45AA"/>
    <w:rsid w:val="00BA48B3"/>
    <w:rsid w:val="00BA48C4"/>
    <w:rsid w:val="00BA4FDE"/>
    <w:rsid w:val="00BA5270"/>
    <w:rsid w:val="00BA553F"/>
    <w:rsid w:val="00BA554F"/>
    <w:rsid w:val="00BA574A"/>
    <w:rsid w:val="00BA5E60"/>
    <w:rsid w:val="00BA6102"/>
    <w:rsid w:val="00BA6388"/>
    <w:rsid w:val="00BA6B20"/>
    <w:rsid w:val="00BA70FA"/>
    <w:rsid w:val="00BA749C"/>
    <w:rsid w:val="00BA7764"/>
    <w:rsid w:val="00BA7C03"/>
    <w:rsid w:val="00BA7D9C"/>
    <w:rsid w:val="00BB0ABD"/>
    <w:rsid w:val="00BB0D09"/>
    <w:rsid w:val="00BB0DBD"/>
    <w:rsid w:val="00BB1BEB"/>
    <w:rsid w:val="00BB2418"/>
    <w:rsid w:val="00BB2781"/>
    <w:rsid w:val="00BB2BCE"/>
    <w:rsid w:val="00BB2CA3"/>
    <w:rsid w:val="00BB2CB7"/>
    <w:rsid w:val="00BB2CEE"/>
    <w:rsid w:val="00BB2E0C"/>
    <w:rsid w:val="00BB33C0"/>
    <w:rsid w:val="00BB4048"/>
    <w:rsid w:val="00BB4198"/>
    <w:rsid w:val="00BB48D5"/>
    <w:rsid w:val="00BB4D90"/>
    <w:rsid w:val="00BB4E65"/>
    <w:rsid w:val="00BB5578"/>
    <w:rsid w:val="00BB589C"/>
    <w:rsid w:val="00BB5A59"/>
    <w:rsid w:val="00BB5AE1"/>
    <w:rsid w:val="00BB5C17"/>
    <w:rsid w:val="00BB6ABF"/>
    <w:rsid w:val="00BB6B69"/>
    <w:rsid w:val="00BB7382"/>
    <w:rsid w:val="00BB7432"/>
    <w:rsid w:val="00BB7532"/>
    <w:rsid w:val="00BB75FB"/>
    <w:rsid w:val="00BB7ABA"/>
    <w:rsid w:val="00BB7B0F"/>
    <w:rsid w:val="00BC0086"/>
    <w:rsid w:val="00BC0522"/>
    <w:rsid w:val="00BC08BE"/>
    <w:rsid w:val="00BC08C3"/>
    <w:rsid w:val="00BC1729"/>
    <w:rsid w:val="00BC2ACD"/>
    <w:rsid w:val="00BC336D"/>
    <w:rsid w:val="00BC3587"/>
    <w:rsid w:val="00BC3B39"/>
    <w:rsid w:val="00BC405D"/>
    <w:rsid w:val="00BC47D9"/>
    <w:rsid w:val="00BC48E4"/>
    <w:rsid w:val="00BC4B1B"/>
    <w:rsid w:val="00BC5596"/>
    <w:rsid w:val="00BC5D9E"/>
    <w:rsid w:val="00BC5E96"/>
    <w:rsid w:val="00BC6DD0"/>
    <w:rsid w:val="00BD0CBB"/>
    <w:rsid w:val="00BD1055"/>
    <w:rsid w:val="00BD14F7"/>
    <w:rsid w:val="00BD15AC"/>
    <w:rsid w:val="00BD17A6"/>
    <w:rsid w:val="00BD19CE"/>
    <w:rsid w:val="00BD1C9A"/>
    <w:rsid w:val="00BD24B6"/>
    <w:rsid w:val="00BD25C4"/>
    <w:rsid w:val="00BD2949"/>
    <w:rsid w:val="00BD2EBA"/>
    <w:rsid w:val="00BD3CE8"/>
    <w:rsid w:val="00BD40D1"/>
    <w:rsid w:val="00BD41B1"/>
    <w:rsid w:val="00BD4938"/>
    <w:rsid w:val="00BD498E"/>
    <w:rsid w:val="00BD4CE2"/>
    <w:rsid w:val="00BD4DD5"/>
    <w:rsid w:val="00BD558B"/>
    <w:rsid w:val="00BD61BF"/>
    <w:rsid w:val="00BD6384"/>
    <w:rsid w:val="00BD65E2"/>
    <w:rsid w:val="00BD6AA5"/>
    <w:rsid w:val="00BD6CC0"/>
    <w:rsid w:val="00BD7334"/>
    <w:rsid w:val="00BD763C"/>
    <w:rsid w:val="00BD7ABC"/>
    <w:rsid w:val="00BD7BF6"/>
    <w:rsid w:val="00BD7E20"/>
    <w:rsid w:val="00BE0042"/>
    <w:rsid w:val="00BE0C3D"/>
    <w:rsid w:val="00BE10B3"/>
    <w:rsid w:val="00BE11F7"/>
    <w:rsid w:val="00BE1605"/>
    <w:rsid w:val="00BE1827"/>
    <w:rsid w:val="00BE1A0B"/>
    <w:rsid w:val="00BE1A39"/>
    <w:rsid w:val="00BE1C67"/>
    <w:rsid w:val="00BE1CB1"/>
    <w:rsid w:val="00BE1DF2"/>
    <w:rsid w:val="00BE1E1C"/>
    <w:rsid w:val="00BE1E82"/>
    <w:rsid w:val="00BE2145"/>
    <w:rsid w:val="00BE2B74"/>
    <w:rsid w:val="00BE2E70"/>
    <w:rsid w:val="00BE30A6"/>
    <w:rsid w:val="00BE3EC6"/>
    <w:rsid w:val="00BE4B71"/>
    <w:rsid w:val="00BE4D4F"/>
    <w:rsid w:val="00BE4D50"/>
    <w:rsid w:val="00BE4E89"/>
    <w:rsid w:val="00BE5310"/>
    <w:rsid w:val="00BE668F"/>
    <w:rsid w:val="00BE678E"/>
    <w:rsid w:val="00BE67E4"/>
    <w:rsid w:val="00BE68E0"/>
    <w:rsid w:val="00BE6DB4"/>
    <w:rsid w:val="00BE6E63"/>
    <w:rsid w:val="00BE6EA3"/>
    <w:rsid w:val="00BE6F37"/>
    <w:rsid w:val="00BE7140"/>
    <w:rsid w:val="00BE71B4"/>
    <w:rsid w:val="00BE77F6"/>
    <w:rsid w:val="00BE7EE8"/>
    <w:rsid w:val="00BF01AD"/>
    <w:rsid w:val="00BF08B4"/>
    <w:rsid w:val="00BF0AB2"/>
    <w:rsid w:val="00BF11B0"/>
    <w:rsid w:val="00BF15E5"/>
    <w:rsid w:val="00BF1B0F"/>
    <w:rsid w:val="00BF1D9B"/>
    <w:rsid w:val="00BF1FEB"/>
    <w:rsid w:val="00BF2097"/>
    <w:rsid w:val="00BF20A0"/>
    <w:rsid w:val="00BF238D"/>
    <w:rsid w:val="00BF2CEF"/>
    <w:rsid w:val="00BF2DF5"/>
    <w:rsid w:val="00BF3843"/>
    <w:rsid w:val="00BF3B49"/>
    <w:rsid w:val="00BF3B93"/>
    <w:rsid w:val="00BF480E"/>
    <w:rsid w:val="00BF5668"/>
    <w:rsid w:val="00BF578F"/>
    <w:rsid w:val="00BF585C"/>
    <w:rsid w:val="00BF5D11"/>
    <w:rsid w:val="00BF5EC0"/>
    <w:rsid w:val="00BF5FC6"/>
    <w:rsid w:val="00BF7239"/>
    <w:rsid w:val="00BF7ECE"/>
    <w:rsid w:val="00C0016D"/>
    <w:rsid w:val="00C0068A"/>
    <w:rsid w:val="00C00898"/>
    <w:rsid w:val="00C00913"/>
    <w:rsid w:val="00C00993"/>
    <w:rsid w:val="00C00A9E"/>
    <w:rsid w:val="00C01456"/>
    <w:rsid w:val="00C01491"/>
    <w:rsid w:val="00C017EE"/>
    <w:rsid w:val="00C0197D"/>
    <w:rsid w:val="00C02122"/>
    <w:rsid w:val="00C0213B"/>
    <w:rsid w:val="00C0235D"/>
    <w:rsid w:val="00C02C9B"/>
    <w:rsid w:val="00C0314E"/>
    <w:rsid w:val="00C03208"/>
    <w:rsid w:val="00C0364C"/>
    <w:rsid w:val="00C03B89"/>
    <w:rsid w:val="00C04462"/>
    <w:rsid w:val="00C052E2"/>
    <w:rsid w:val="00C061DA"/>
    <w:rsid w:val="00C064E4"/>
    <w:rsid w:val="00C077CC"/>
    <w:rsid w:val="00C07969"/>
    <w:rsid w:val="00C07B85"/>
    <w:rsid w:val="00C1021A"/>
    <w:rsid w:val="00C10BB9"/>
    <w:rsid w:val="00C10E2E"/>
    <w:rsid w:val="00C1134B"/>
    <w:rsid w:val="00C11575"/>
    <w:rsid w:val="00C11688"/>
    <w:rsid w:val="00C11843"/>
    <w:rsid w:val="00C11CD7"/>
    <w:rsid w:val="00C11F1E"/>
    <w:rsid w:val="00C12437"/>
    <w:rsid w:val="00C12562"/>
    <w:rsid w:val="00C12999"/>
    <w:rsid w:val="00C135B2"/>
    <w:rsid w:val="00C1385C"/>
    <w:rsid w:val="00C13873"/>
    <w:rsid w:val="00C13D82"/>
    <w:rsid w:val="00C14892"/>
    <w:rsid w:val="00C1499C"/>
    <w:rsid w:val="00C1539B"/>
    <w:rsid w:val="00C1593D"/>
    <w:rsid w:val="00C15C1F"/>
    <w:rsid w:val="00C15E3E"/>
    <w:rsid w:val="00C171F8"/>
    <w:rsid w:val="00C17A78"/>
    <w:rsid w:val="00C17B66"/>
    <w:rsid w:val="00C17E0E"/>
    <w:rsid w:val="00C208CB"/>
    <w:rsid w:val="00C2188B"/>
    <w:rsid w:val="00C21FA2"/>
    <w:rsid w:val="00C2224D"/>
    <w:rsid w:val="00C22B58"/>
    <w:rsid w:val="00C22E7A"/>
    <w:rsid w:val="00C231C0"/>
    <w:rsid w:val="00C23636"/>
    <w:rsid w:val="00C23883"/>
    <w:rsid w:val="00C23B0E"/>
    <w:rsid w:val="00C23EE6"/>
    <w:rsid w:val="00C24575"/>
    <w:rsid w:val="00C24637"/>
    <w:rsid w:val="00C24775"/>
    <w:rsid w:val="00C247CD"/>
    <w:rsid w:val="00C24D0A"/>
    <w:rsid w:val="00C253CB"/>
    <w:rsid w:val="00C2553B"/>
    <w:rsid w:val="00C25BA6"/>
    <w:rsid w:val="00C25C35"/>
    <w:rsid w:val="00C262EE"/>
    <w:rsid w:val="00C26360"/>
    <w:rsid w:val="00C2658B"/>
    <w:rsid w:val="00C269AD"/>
    <w:rsid w:val="00C26A7C"/>
    <w:rsid w:val="00C27BC2"/>
    <w:rsid w:val="00C27C24"/>
    <w:rsid w:val="00C30006"/>
    <w:rsid w:val="00C300B7"/>
    <w:rsid w:val="00C3051C"/>
    <w:rsid w:val="00C30785"/>
    <w:rsid w:val="00C30A09"/>
    <w:rsid w:val="00C30E28"/>
    <w:rsid w:val="00C30E69"/>
    <w:rsid w:val="00C30FB0"/>
    <w:rsid w:val="00C3106B"/>
    <w:rsid w:val="00C3122E"/>
    <w:rsid w:val="00C31258"/>
    <w:rsid w:val="00C313BD"/>
    <w:rsid w:val="00C318DF"/>
    <w:rsid w:val="00C31ED9"/>
    <w:rsid w:val="00C32310"/>
    <w:rsid w:val="00C32316"/>
    <w:rsid w:val="00C32625"/>
    <w:rsid w:val="00C32C77"/>
    <w:rsid w:val="00C32FAA"/>
    <w:rsid w:val="00C33103"/>
    <w:rsid w:val="00C33637"/>
    <w:rsid w:val="00C3368D"/>
    <w:rsid w:val="00C33A8B"/>
    <w:rsid w:val="00C33CF4"/>
    <w:rsid w:val="00C342A8"/>
    <w:rsid w:val="00C346FA"/>
    <w:rsid w:val="00C34973"/>
    <w:rsid w:val="00C35156"/>
    <w:rsid w:val="00C353F4"/>
    <w:rsid w:val="00C355D6"/>
    <w:rsid w:val="00C35796"/>
    <w:rsid w:val="00C35C0E"/>
    <w:rsid w:val="00C35D68"/>
    <w:rsid w:val="00C363DB"/>
    <w:rsid w:val="00C3644C"/>
    <w:rsid w:val="00C3670E"/>
    <w:rsid w:val="00C36BFC"/>
    <w:rsid w:val="00C36CBF"/>
    <w:rsid w:val="00C36CCE"/>
    <w:rsid w:val="00C36EF1"/>
    <w:rsid w:val="00C36F7F"/>
    <w:rsid w:val="00C37117"/>
    <w:rsid w:val="00C373D9"/>
    <w:rsid w:val="00C37438"/>
    <w:rsid w:val="00C378B0"/>
    <w:rsid w:val="00C37A66"/>
    <w:rsid w:val="00C37B8D"/>
    <w:rsid w:val="00C37CC4"/>
    <w:rsid w:val="00C40140"/>
    <w:rsid w:val="00C411E0"/>
    <w:rsid w:val="00C41B7B"/>
    <w:rsid w:val="00C41D5D"/>
    <w:rsid w:val="00C41F00"/>
    <w:rsid w:val="00C41FB1"/>
    <w:rsid w:val="00C426A2"/>
    <w:rsid w:val="00C42984"/>
    <w:rsid w:val="00C42AF4"/>
    <w:rsid w:val="00C42D01"/>
    <w:rsid w:val="00C430A3"/>
    <w:rsid w:val="00C4365C"/>
    <w:rsid w:val="00C4399D"/>
    <w:rsid w:val="00C44289"/>
    <w:rsid w:val="00C4456B"/>
    <w:rsid w:val="00C44E9A"/>
    <w:rsid w:val="00C45166"/>
    <w:rsid w:val="00C4542C"/>
    <w:rsid w:val="00C45567"/>
    <w:rsid w:val="00C45963"/>
    <w:rsid w:val="00C459A5"/>
    <w:rsid w:val="00C459F5"/>
    <w:rsid w:val="00C4603F"/>
    <w:rsid w:val="00C46692"/>
    <w:rsid w:val="00C4699B"/>
    <w:rsid w:val="00C46F1C"/>
    <w:rsid w:val="00C47063"/>
    <w:rsid w:val="00C5054E"/>
    <w:rsid w:val="00C5064E"/>
    <w:rsid w:val="00C50688"/>
    <w:rsid w:val="00C50CA8"/>
    <w:rsid w:val="00C5105A"/>
    <w:rsid w:val="00C51197"/>
    <w:rsid w:val="00C5148E"/>
    <w:rsid w:val="00C5156D"/>
    <w:rsid w:val="00C519D0"/>
    <w:rsid w:val="00C51BAB"/>
    <w:rsid w:val="00C51BE8"/>
    <w:rsid w:val="00C51FE5"/>
    <w:rsid w:val="00C5212A"/>
    <w:rsid w:val="00C53034"/>
    <w:rsid w:val="00C535C6"/>
    <w:rsid w:val="00C53B0F"/>
    <w:rsid w:val="00C53B1A"/>
    <w:rsid w:val="00C541AF"/>
    <w:rsid w:val="00C54791"/>
    <w:rsid w:val="00C549E9"/>
    <w:rsid w:val="00C54BFC"/>
    <w:rsid w:val="00C54E06"/>
    <w:rsid w:val="00C554F9"/>
    <w:rsid w:val="00C5641D"/>
    <w:rsid w:val="00C569DC"/>
    <w:rsid w:val="00C57169"/>
    <w:rsid w:val="00C573CF"/>
    <w:rsid w:val="00C57F96"/>
    <w:rsid w:val="00C60B0B"/>
    <w:rsid w:val="00C614D4"/>
    <w:rsid w:val="00C6177C"/>
    <w:rsid w:val="00C62B2A"/>
    <w:rsid w:val="00C62BDA"/>
    <w:rsid w:val="00C6363E"/>
    <w:rsid w:val="00C637FC"/>
    <w:rsid w:val="00C6393F"/>
    <w:rsid w:val="00C63A4E"/>
    <w:rsid w:val="00C63EE7"/>
    <w:rsid w:val="00C63F40"/>
    <w:rsid w:val="00C63F68"/>
    <w:rsid w:val="00C64CDF"/>
    <w:rsid w:val="00C64E55"/>
    <w:rsid w:val="00C64E90"/>
    <w:rsid w:val="00C64FA1"/>
    <w:rsid w:val="00C650EA"/>
    <w:rsid w:val="00C652B8"/>
    <w:rsid w:val="00C65855"/>
    <w:rsid w:val="00C661D8"/>
    <w:rsid w:val="00C66BC0"/>
    <w:rsid w:val="00C66DE4"/>
    <w:rsid w:val="00C673F4"/>
    <w:rsid w:val="00C67E01"/>
    <w:rsid w:val="00C67E71"/>
    <w:rsid w:val="00C70045"/>
    <w:rsid w:val="00C706DD"/>
    <w:rsid w:val="00C70A00"/>
    <w:rsid w:val="00C70B0F"/>
    <w:rsid w:val="00C70BB6"/>
    <w:rsid w:val="00C710A6"/>
    <w:rsid w:val="00C71388"/>
    <w:rsid w:val="00C71792"/>
    <w:rsid w:val="00C71A37"/>
    <w:rsid w:val="00C71BD5"/>
    <w:rsid w:val="00C726D6"/>
    <w:rsid w:val="00C72841"/>
    <w:rsid w:val="00C73268"/>
    <w:rsid w:val="00C7336F"/>
    <w:rsid w:val="00C7342A"/>
    <w:rsid w:val="00C73733"/>
    <w:rsid w:val="00C73DE5"/>
    <w:rsid w:val="00C73EFA"/>
    <w:rsid w:val="00C74D0A"/>
    <w:rsid w:val="00C74E09"/>
    <w:rsid w:val="00C74ECA"/>
    <w:rsid w:val="00C75085"/>
    <w:rsid w:val="00C75110"/>
    <w:rsid w:val="00C75CDC"/>
    <w:rsid w:val="00C7638D"/>
    <w:rsid w:val="00C76B06"/>
    <w:rsid w:val="00C7758C"/>
    <w:rsid w:val="00C77D90"/>
    <w:rsid w:val="00C77DE3"/>
    <w:rsid w:val="00C8002A"/>
    <w:rsid w:val="00C809C5"/>
    <w:rsid w:val="00C80D56"/>
    <w:rsid w:val="00C80F29"/>
    <w:rsid w:val="00C810C5"/>
    <w:rsid w:val="00C816D8"/>
    <w:rsid w:val="00C81FA7"/>
    <w:rsid w:val="00C82017"/>
    <w:rsid w:val="00C8205E"/>
    <w:rsid w:val="00C82114"/>
    <w:rsid w:val="00C82745"/>
    <w:rsid w:val="00C828C3"/>
    <w:rsid w:val="00C82AA1"/>
    <w:rsid w:val="00C82F40"/>
    <w:rsid w:val="00C83044"/>
    <w:rsid w:val="00C835AD"/>
    <w:rsid w:val="00C836C5"/>
    <w:rsid w:val="00C837F1"/>
    <w:rsid w:val="00C83899"/>
    <w:rsid w:val="00C83A21"/>
    <w:rsid w:val="00C83D81"/>
    <w:rsid w:val="00C840B2"/>
    <w:rsid w:val="00C847FC"/>
    <w:rsid w:val="00C851EE"/>
    <w:rsid w:val="00C85278"/>
    <w:rsid w:val="00C858AE"/>
    <w:rsid w:val="00C865C8"/>
    <w:rsid w:val="00C8663B"/>
    <w:rsid w:val="00C86698"/>
    <w:rsid w:val="00C86B1B"/>
    <w:rsid w:val="00C86C3F"/>
    <w:rsid w:val="00C86DA3"/>
    <w:rsid w:val="00C86DF2"/>
    <w:rsid w:val="00C871C5"/>
    <w:rsid w:val="00C87760"/>
    <w:rsid w:val="00C87B42"/>
    <w:rsid w:val="00C902BA"/>
    <w:rsid w:val="00C90877"/>
    <w:rsid w:val="00C90B0A"/>
    <w:rsid w:val="00C90B7C"/>
    <w:rsid w:val="00C912A3"/>
    <w:rsid w:val="00C91579"/>
    <w:rsid w:val="00C91B7C"/>
    <w:rsid w:val="00C91C5E"/>
    <w:rsid w:val="00C92270"/>
    <w:rsid w:val="00C92769"/>
    <w:rsid w:val="00C927AD"/>
    <w:rsid w:val="00C9285D"/>
    <w:rsid w:val="00C92BBB"/>
    <w:rsid w:val="00C92D63"/>
    <w:rsid w:val="00C93199"/>
    <w:rsid w:val="00C93A56"/>
    <w:rsid w:val="00C93BBE"/>
    <w:rsid w:val="00C93D04"/>
    <w:rsid w:val="00C9401A"/>
    <w:rsid w:val="00C94C2D"/>
    <w:rsid w:val="00C94D30"/>
    <w:rsid w:val="00C9533C"/>
    <w:rsid w:val="00C95753"/>
    <w:rsid w:val="00C95BEA"/>
    <w:rsid w:val="00C95C2D"/>
    <w:rsid w:val="00C95DC7"/>
    <w:rsid w:val="00C961F3"/>
    <w:rsid w:val="00C962FB"/>
    <w:rsid w:val="00C968B5"/>
    <w:rsid w:val="00C97267"/>
    <w:rsid w:val="00C9758E"/>
    <w:rsid w:val="00C97850"/>
    <w:rsid w:val="00C97E05"/>
    <w:rsid w:val="00CA0020"/>
    <w:rsid w:val="00CA0634"/>
    <w:rsid w:val="00CA098F"/>
    <w:rsid w:val="00CA0EFB"/>
    <w:rsid w:val="00CA0F70"/>
    <w:rsid w:val="00CA13F7"/>
    <w:rsid w:val="00CA14F6"/>
    <w:rsid w:val="00CA15A6"/>
    <w:rsid w:val="00CA1BBE"/>
    <w:rsid w:val="00CA1CBB"/>
    <w:rsid w:val="00CA1F31"/>
    <w:rsid w:val="00CA2076"/>
    <w:rsid w:val="00CA2333"/>
    <w:rsid w:val="00CA2879"/>
    <w:rsid w:val="00CA2CAE"/>
    <w:rsid w:val="00CA302F"/>
    <w:rsid w:val="00CA311C"/>
    <w:rsid w:val="00CA32E2"/>
    <w:rsid w:val="00CA3FD6"/>
    <w:rsid w:val="00CA4567"/>
    <w:rsid w:val="00CA4586"/>
    <w:rsid w:val="00CA4910"/>
    <w:rsid w:val="00CA4E18"/>
    <w:rsid w:val="00CA513C"/>
    <w:rsid w:val="00CA52C5"/>
    <w:rsid w:val="00CA5734"/>
    <w:rsid w:val="00CA5AC8"/>
    <w:rsid w:val="00CA5F18"/>
    <w:rsid w:val="00CA5F3D"/>
    <w:rsid w:val="00CA652B"/>
    <w:rsid w:val="00CA6CBD"/>
    <w:rsid w:val="00CA6DBD"/>
    <w:rsid w:val="00CA72A7"/>
    <w:rsid w:val="00CA74E6"/>
    <w:rsid w:val="00CA7B71"/>
    <w:rsid w:val="00CA7D48"/>
    <w:rsid w:val="00CA7DE1"/>
    <w:rsid w:val="00CB0D6C"/>
    <w:rsid w:val="00CB0D6D"/>
    <w:rsid w:val="00CB1078"/>
    <w:rsid w:val="00CB12E1"/>
    <w:rsid w:val="00CB1493"/>
    <w:rsid w:val="00CB16B6"/>
    <w:rsid w:val="00CB1761"/>
    <w:rsid w:val="00CB1882"/>
    <w:rsid w:val="00CB1885"/>
    <w:rsid w:val="00CB20E5"/>
    <w:rsid w:val="00CB220D"/>
    <w:rsid w:val="00CB244B"/>
    <w:rsid w:val="00CB24CF"/>
    <w:rsid w:val="00CB2661"/>
    <w:rsid w:val="00CB27E6"/>
    <w:rsid w:val="00CB297A"/>
    <w:rsid w:val="00CB2BFD"/>
    <w:rsid w:val="00CB2CF6"/>
    <w:rsid w:val="00CB2F70"/>
    <w:rsid w:val="00CB3229"/>
    <w:rsid w:val="00CB350B"/>
    <w:rsid w:val="00CB35DF"/>
    <w:rsid w:val="00CB3909"/>
    <w:rsid w:val="00CB3EBA"/>
    <w:rsid w:val="00CB4075"/>
    <w:rsid w:val="00CB4339"/>
    <w:rsid w:val="00CB4D4B"/>
    <w:rsid w:val="00CB4DE2"/>
    <w:rsid w:val="00CB591E"/>
    <w:rsid w:val="00CB645B"/>
    <w:rsid w:val="00CB72AF"/>
    <w:rsid w:val="00CC015A"/>
    <w:rsid w:val="00CC03A4"/>
    <w:rsid w:val="00CC0501"/>
    <w:rsid w:val="00CC059E"/>
    <w:rsid w:val="00CC0B20"/>
    <w:rsid w:val="00CC111C"/>
    <w:rsid w:val="00CC1C1C"/>
    <w:rsid w:val="00CC2418"/>
    <w:rsid w:val="00CC2486"/>
    <w:rsid w:val="00CC40DE"/>
    <w:rsid w:val="00CC45D3"/>
    <w:rsid w:val="00CC4A9B"/>
    <w:rsid w:val="00CC4C69"/>
    <w:rsid w:val="00CC4D0E"/>
    <w:rsid w:val="00CC5548"/>
    <w:rsid w:val="00CC5C2C"/>
    <w:rsid w:val="00CC5EC3"/>
    <w:rsid w:val="00CC5F52"/>
    <w:rsid w:val="00CC5FEA"/>
    <w:rsid w:val="00CC608C"/>
    <w:rsid w:val="00CC65C4"/>
    <w:rsid w:val="00CC6A4C"/>
    <w:rsid w:val="00CC6E37"/>
    <w:rsid w:val="00CC7454"/>
    <w:rsid w:val="00CC775C"/>
    <w:rsid w:val="00CC7E81"/>
    <w:rsid w:val="00CD095D"/>
    <w:rsid w:val="00CD11F1"/>
    <w:rsid w:val="00CD161A"/>
    <w:rsid w:val="00CD18CF"/>
    <w:rsid w:val="00CD1923"/>
    <w:rsid w:val="00CD1C01"/>
    <w:rsid w:val="00CD1C0F"/>
    <w:rsid w:val="00CD294E"/>
    <w:rsid w:val="00CD2E25"/>
    <w:rsid w:val="00CD31C9"/>
    <w:rsid w:val="00CD3296"/>
    <w:rsid w:val="00CD3338"/>
    <w:rsid w:val="00CD33EC"/>
    <w:rsid w:val="00CD3432"/>
    <w:rsid w:val="00CD3814"/>
    <w:rsid w:val="00CD40B9"/>
    <w:rsid w:val="00CD4369"/>
    <w:rsid w:val="00CD48B7"/>
    <w:rsid w:val="00CD4969"/>
    <w:rsid w:val="00CD49F1"/>
    <w:rsid w:val="00CD4AB0"/>
    <w:rsid w:val="00CD4BBD"/>
    <w:rsid w:val="00CD4FB1"/>
    <w:rsid w:val="00CD5205"/>
    <w:rsid w:val="00CD52CC"/>
    <w:rsid w:val="00CD53C7"/>
    <w:rsid w:val="00CD542D"/>
    <w:rsid w:val="00CD583E"/>
    <w:rsid w:val="00CD5CFD"/>
    <w:rsid w:val="00CD60F4"/>
    <w:rsid w:val="00CD610A"/>
    <w:rsid w:val="00CD64E6"/>
    <w:rsid w:val="00CD66F2"/>
    <w:rsid w:val="00CD675C"/>
    <w:rsid w:val="00CD696E"/>
    <w:rsid w:val="00CD6974"/>
    <w:rsid w:val="00CD6DFF"/>
    <w:rsid w:val="00CD750A"/>
    <w:rsid w:val="00CD7921"/>
    <w:rsid w:val="00CD7B10"/>
    <w:rsid w:val="00CD7DFE"/>
    <w:rsid w:val="00CE07B6"/>
    <w:rsid w:val="00CE1A93"/>
    <w:rsid w:val="00CE1F2C"/>
    <w:rsid w:val="00CE20ED"/>
    <w:rsid w:val="00CE2108"/>
    <w:rsid w:val="00CE21A1"/>
    <w:rsid w:val="00CE2F74"/>
    <w:rsid w:val="00CE36FD"/>
    <w:rsid w:val="00CE3B9D"/>
    <w:rsid w:val="00CE3DC3"/>
    <w:rsid w:val="00CE439E"/>
    <w:rsid w:val="00CE47DD"/>
    <w:rsid w:val="00CE4A3B"/>
    <w:rsid w:val="00CE5584"/>
    <w:rsid w:val="00CE5673"/>
    <w:rsid w:val="00CE58A5"/>
    <w:rsid w:val="00CE5A0E"/>
    <w:rsid w:val="00CE6083"/>
    <w:rsid w:val="00CE609E"/>
    <w:rsid w:val="00CE60E0"/>
    <w:rsid w:val="00CE62E5"/>
    <w:rsid w:val="00CE73F1"/>
    <w:rsid w:val="00CE7459"/>
    <w:rsid w:val="00CE76F9"/>
    <w:rsid w:val="00CE778B"/>
    <w:rsid w:val="00CF0217"/>
    <w:rsid w:val="00CF0615"/>
    <w:rsid w:val="00CF0668"/>
    <w:rsid w:val="00CF0866"/>
    <w:rsid w:val="00CF22AB"/>
    <w:rsid w:val="00CF2883"/>
    <w:rsid w:val="00CF3167"/>
    <w:rsid w:val="00CF31DC"/>
    <w:rsid w:val="00CF3401"/>
    <w:rsid w:val="00CF3417"/>
    <w:rsid w:val="00CF3DC2"/>
    <w:rsid w:val="00CF4206"/>
    <w:rsid w:val="00CF42DB"/>
    <w:rsid w:val="00CF495B"/>
    <w:rsid w:val="00CF502A"/>
    <w:rsid w:val="00CF52B7"/>
    <w:rsid w:val="00CF5809"/>
    <w:rsid w:val="00CF5AE4"/>
    <w:rsid w:val="00CF5E8B"/>
    <w:rsid w:val="00CF61F8"/>
    <w:rsid w:val="00CF64A2"/>
    <w:rsid w:val="00CF68EA"/>
    <w:rsid w:val="00CF6DBC"/>
    <w:rsid w:val="00CF6F2A"/>
    <w:rsid w:val="00CF6FAD"/>
    <w:rsid w:val="00CF7005"/>
    <w:rsid w:val="00CF738A"/>
    <w:rsid w:val="00CF7B6E"/>
    <w:rsid w:val="00D00255"/>
    <w:rsid w:val="00D0043F"/>
    <w:rsid w:val="00D00E32"/>
    <w:rsid w:val="00D011DF"/>
    <w:rsid w:val="00D01ADD"/>
    <w:rsid w:val="00D01BF3"/>
    <w:rsid w:val="00D01F53"/>
    <w:rsid w:val="00D02140"/>
    <w:rsid w:val="00D0221D"/>
    <w:rsid w:val="00D028B7"/>
    <w:rsid w:val="00D02FF8"/>
    <w:rsid w:val="00D03168"/>
    <w:rsid w:val="00D031AE"/>
    <w:rsid w:val="00D046A6"/>
    <w:rsid w:val="00D04953"/>
    <w:rsid w:val="00D04A77"/>
    <w:rsid w:val="00D04C61"/>
    <w:rsid w:val="00D05BB8"/>
    <w:rsid w:val="00D06364"/>
    <w:rsid w:val="00D06405"/>
    <w:rsid w:val="00D06606"/>
    <w:rsid w:val="00D0672F"/>
    <w:rsid w:val="00D068A3"/>
    <w:rsid w:val="00D0697C"/>
    <w:rsid w:val="00D06FA6"/>
    <w:rsid w:val="00D06FEB"/>
    <w:rsid w:val="00D0702F"/>
    <w:rsid w:val="00D07678"/>
    <w:rsid w:val="00D07686"/>
    <w:rsid w:val="00D076A7"/>
    <w:rsid w:val="00D076D7"/>
    <w:rsid w:val="00D07BCD"/>
    <w:rsid w:val="00D10154"/>
    <w:rsid w:val="00D1057F"/>
    <w:rsid w:val="00D107B8"/>
    <w:rsid w:val="00D10909"/>
    <w:rsid w:val="00D10B7E"/>
    <w:rsid w:val="00D10BDD"/>
    <w:rsid w:val="00D10CF6"/>
    <w:rsid w:val="00D11647"/>
    <w:rsid w:val="00D11794"/>
    <w:rsid w:val="00D117DB"/>
    <w:rsid w:val="00D11EA6"/>
    <w:rsid w:val="00D1270D"/>
    <w:rsid w:val="00D12997"/>
    <w:rsid w:val="00D12C5D"/>
    <w:rsid w:val="00D13108"/>
    <w:rsid w:val="00D13B68"/>
    <w:rsid w:val="00D14110"/>
    <w:rsid w:val="00D141A6"/>
    <w:rsid w:val="00D14403"/>
    <w:rsid w:val="00D149AC"/>
    <w:rsid w:val="00D14CD1"/>
    <w:rsid w:val="00D154A2"/>
    <w:rsid w:val="00D158E8"/>
    <w:rsid w:val="00D15CDD"/>
    <w:rsid w:val="00D15E1B"/>
    <w:rsid w:val="00D16080"/>
    <w:rsid w:val="00D1613B"/>
    <w:rsid w:val="00D163E7"/>
    <w:rsid w:val="00D16404"/>
    <w:rsid w:val="00D1667B"/>
    <w:rsid w:val="00D1674F"/>
    <w:rsid w:val="00D167DF"/>
    <w:rsid w:val="00D16B58"/>
    <w:rsid w:val="00D16E67"/>
    <w:rsid w:val="00D1723E"/>
    <w:rsid w:val="00D172DD"/>
    <w:rsid w:val="00D17372"/>
    <w:rsid w:val="00D178C6"/>
    <w:rsid w:val="00D17DC6"/>
    <w:rsid w:val="00D17EDA"/>
    <w:rsid w:val="00D209B0"/>
    <w:rsid w:val="00D20AD9"/>
    <w:rsid w:val="00D213A5"/>
    <w:rsid w:val="00D219DA"/>
    <w:rsid w:val="00D21B48"/>
    <w:rsid w:val="00D21BEF"/>
    <w:rsid w:val="00D21E85"/>
    <w:rsid w:val="00D21F5F"/>
    <w:rsid w:val="00D22029"/>
    <w:rsid w:val="00D22727"/>
    <w:rsid w:val="00D22912"/>
    <w:rsid w:val="00D22C4C"/>
    <w:rsid w:val="00D22EBA"/>
    <w:rsid w:val="00D23663"/>
    <w:rsid w:val="00D241E4"/>
    <w:rsid w:val="00D24F09"/>
    <w:rsid w:val="00D2574E"/>
    <w:rsid w:val="00D2576C"/>
    <w:rsid w:val="00D25B63"/>
    <w:rsid w:val="00D25C6B"/>
    <w:rsid w:val="00D25E81"/>
    <w:rsid w:val="00D26128"/>
    <w:rsid w:val="00D267B0"/>
    <w:rsid w:val="00D267E0"/>
    <w:rsid w:val="00D26B69"/>
    <w:rsid w:val="00D26DE6"/>
    <w:rsid w:val="00D26DEF"/>
    <w:rsid w:val="00D2758C"/>
    <w:rsid w:val="00D27887"/>
    <w:rsid w:val="00D27A2C"/>
    <w:rsid w:val="00D27B77"/>
    <w:rsid w:val="00D27CB5"/>
    <w:rsid w:val="00D27D1A"/>
    <w:rsid w:val="00D27F96"/>
    <w:rsid w:val="00D3018C"/>
    <w:rsid w:val="00D3037E"/>
    <w:rsid w:val="00D30436"/>
    <w:rsid w:val="00D307C7"/>
    <w:rsid w:val="00D307FA"/>
    <w:rsid w:val="00D30920"/>
    <w:rsid w:val="00D3118F"/>
    <w:rsid w:val="00D31219"/>
    <w:rsid w:val="00D314D4"/>
    <w:rsid w:val="00D315D0"/>
    <w:rsid w:val="00D31EC9"/>
    <w:rsid w:val="00D3229A"/>
    <w:rsid w:val="00D3290D"/>
    <w:rsid w:val="00D3299C"/>
    <w:rsid w:val="00D32CC5"/>
    <w:rsid w:val="00D33AC3"/>
    <w:rsid w:val="00D33DCE"/>
    <w:rsid w:val="00D343C5"/>
    <w:rsid w:val="00D347C8"/>
    <w:rsid w:val="00D34808"/>
    <w:rsid w:val="00D3508C"/>
    <w:rsid w:val="00D35D20"/>
    <w:rsid w:val="00D36869"/>
    <w:rsid w:val="00D37ABC"/>
    <w:rsid w:val="00D37C50"/>
    <w:rsid w:val="00D4073F"/>
    <w:rsid w:val="00D408F0"/>
    <w:rsid w:val="00D412EF"/>
    <w:rsid w:val="00D4197F"/>
    <w:rsid w:val="00D41B97"/>
    <w:rsid w:val="00D41C15"/>
    <w:rsid w:val="00D421AB"/>
    <w:rsid w:val="00D422ED"/>
    <w:rsid w:val="00D44620"/>
    <w:rsid w:val="00D44A1E"/>
    <w:rsid w:val="00D44B0C"/>
    <w:rsid w:val="00D452E2"/>
    <w:rsid w:val="00D45CB2"/>
    <w:rsid w:val="00D45E2A"/>
    <w:rsid w:val="00D46364"/>
    <w:rsid w:val="00D46561"/>
    <w:rsid w:val="00D4660D"/>
    <w:rsid w:val="00D46FC0"/>
    <w:rsid w:val="00D47046"/>
    <w:rsid w:val="00D4750C"/>
    <w:rsid w:val="00D4798D"/>
    <w:rsid w:val="00D47C5C"/>
    <w:rsid w:val="00D47FB7"/>
    <w:rsid w:val="00D508C6"/>
    <w:rsid w:val="00D51167"/>
    <w:rsid w:val="00D51B78"/>
    <w:rsid w:val="00D531D3"/>
    <w:rsid w:val="00D538EA"/>
    <w:rsid w:val="00D53950"/>
    <w:rsid w:val="00D53B22"/>
    <w:rsid w:val="00D5430F"/>
    <w:rsid w:val="00D555ED"/>
    <w:rsid w:val="00D56117"/>
    <w:rsid w:val="00D56235"/>
    <w:rsid w:val="00D5645F"/>
    <w:rsid w:val="00D567EC"/>
    <w:rsid w:val="00D568AF"/>
    <w:rsid w:val="00D57235"/>
    <w:rsid w:val="00D57735"/>
    <w:rsid w:val="00D57C32"/>
    <w:rsid w:val="00D57FDE"/>
    <w:rsid w:val="00D6043D"/>
    <w:rsid w:val="00D60595"/>
    <w:rsid w:val="00D605E7"/>
    <w:rsid w:val="00D609FB"/>
    <w:rsid w:val="00D612ED"/>
    <w:rsid w:val="00D61761"/>
    <w:rsid w:val="00D61EEF"/>
    <w:rsid w:val="00D6207B"/>
    <w:rsid w:val="00D62C45"/>
    <w:rsid w:val="00D62C50"/>
    <w:rsid w:val="00D62FE0"/>
    <w:rsid w:val="00D630CA"/>
    <w:rsid w:val="00D63231"/>
    <w:rsid w:val="00D633BC"/>
    <w:rsid w:val="00D63C2F"/>
    <w:rsid w:val="00D63C35"/>
    <w:rsid w:val="00D63E6C"/>
    <w:rsid w:val="00D64089"/>
    <w:rsid w:val="00D642A7"/>
    <w:rsid w:val="00D646DB"/>
    <w:rsid w:val="00D64CBC"/>
    <w:rsid w:val="00D64D2B"/>
    <w:rsid w:val="00D6513A"/>
    <w:rsid w:val="00D6522F"/>
    <w:rsid w:val="00D659B7"/>
    <w:rsid w:val="00D6619F"/>
    <w:rsid w:val="00D66547"/>
    <w:rsid w:val="00D665DA"/>
    <w:rsid w:val="00D672E0"/>
    <w:rsid w:val="00D67E9B"/>
    <w:rsid w:val="00D70936"/>
    <w:rsid w:val="00D70EDE"/>
    <w:rsid w:val="00D711B8"/>
    <w:rsid w:val="00D71881"/>
    <w:rsid w:val="00D719EF"/>
    <w:rsid w:val="00D71A40"/>
    <w:rsid w:val="00D71C21"/>
    <w:rsid w:val="00D72A24"/>
    <w:rsid w:val="00D72D11"/>
    <w:rsid w:val="00D73185"/>
    <w:rsid w:val="00D738F2"/>
    <w:rsid w:val="00D73C51"/>
    <w:rsid w:val="00D7421A"/>
    <w:rsid w:val="00D7445A"/>
    <w:rsid w:val="00D746E3"/>
    <w:rsid w:val="00D74A47"/>
    <w:rsid w:val="00D74E7A"/>
    <w:rsid w:val="00D74EF2"/>
    <w:rsid w:val="00D755B9"/>
    <w:rsid w:val="00D756B3"/>
    <w:rsid w:val="00D760BB"/>
    <w:rsid w:val="00D7687C"/>
    <w:rsid w:val="00D76D0E"/>
    <w:rsid w:val="00D76DD8"/>
    <w:rsid w:val="00D76E02"/>
    <w:rsid w:val="00D76EBF"/>
    <w:rsid w:val="00D770A2"/>
    <w:rsid w:val="00D77448"/>
    <w:rsid w:val="00D77C0C"/>
    <w:rsid w:val="00D80AC7"/>
    <w:rsid w:val="00D80C03"/>
    <w:rsid w:val="00D80C43"/>
    <w:rsid w:val="00D813FA"/>
    <w:rsid w:val="00D814B8"/>
    <w:rsid w:val="00D8164E"/>
    <w:rsid w:val="00D816B4"/>
    <w:rsid w:val="00D819EC"/>
    <w:rsid w:val="00D81C9C"/>
    <w:rsid w:val="00D8233F"/>
    <w:rsid w:val="00D82405"/>
    <w:rsid w:val="00D826FD"/>
    <w:rsid w:val="00D83156"/>
    <w:rsid w:val="00D83299"/>
    <w:rsid w:val="00D83ABA"/>
    <w:rsid w:val="00D83DDD"/>
    <w:rsid w:val="00D84019"/>
    <w:rsid w:val="00D842A8"/>
    <w:rsid w:val="00D84CFA"/>
    <w:rsid w:val="00D84E9C"/>
    <w:rsid w:val="00D85107"/>
    <w:rsid w:val="00D851F5"/>
    <w:rsid w:val="00D8547F"/>
    <w:rsid w:val="00D854BF"/>
    <w:rsid w:val="00D85986"/>
    <w:rsid w:val="00D85A0B"/>
    <w:rsid w:val="00D85CA0"/>
    <w:rsid w:val="00D86223"/>
    <w:rsid w:val="00D863DE"/>
    <w:rsid w:val="00D864DC"/>
    <w:rsid w:val="00D86979"/>
    <w:rsid w:val="00D869B2"/>
    <w:rsid w:val="00D8708A"/>
    <w:rsid w:val="00D87280"/>
    <w:rsid w:val="00D90177"/>
    <w:rsid w:val="00D90740"/>
    <w:rsid w:val="00D916C5"/>
    <w:rsid w:val="00D918FC"/>
    <w:rsid w:val="00D920CD"/>
    <w:rsid w:val="00D921EB"/>
    <w:rsid w:val="00D922D7"/>
    <w:rsid w:val="00D92B88"/>
    <w:rsid w:val="00D92E6A"/>
    <w:rsid w:val="00D93831"/>
    <w:rsid w:val="00D93E09"/>
    <w:rsid w:val="00D93EDD"/>
    <w:rsid w:val="00D93F3E"/>
    <w:rsid w:val="00D95936"/>
    <w:rsid w:val="00D95D62"/>
    <w:rsid w:val="00D96426"/>
    <w:rsid w:val="00D9648C"/>
    <w:rsid w:val="00D967F1"/>
    <w:rsid w:val="00D96C5E"/>
    <w:rsid w:val="00D96CCB"/>
    <w:rsid w:val="00D96D53"/>
    <w:rsid w:val="00D971F3"/>
    <w:rsid w:val="00D97460"/>
    <w:rsid w:val="00D97766"/>
    <w:rsid w:val="00D9791E"/>
    <w:rsid w:val="00D979E1"/>
    <w:rsid w:val="00D97B5C"/>
    <w:rsid w:val="00DA00EF"/>
    <w:rsid w:val="00DA0114"/>
    <w:rsid w:val="00DA1270"/>
    <w:rsid w:val="00DA1C08"/>
    <w:rsid w:val="00DA21CB"/>
    <w:rsid w:val="00DA24CD"/>
    <w:rsid w:val="00DA3127"/>
    <w:rsid w:val="00DA38CD"/>
    <w:rsid w:val="00DA3983"/>
    <w:rsid w:val="00DA39EF"/>
    <w:rsid w:val="00DA3EAF"/>
    <w:rsid w:val="00DA42F4"/>
    <w:rsid w:val="00DA4EAB"/>
    <w:rsid w:val="00DA526F"/>
    <w:rsid w:val="00DA548A"/>
    <w:rsid w:val="00DA57B7"/>
    <w:rsid w:val="00DA6229"/>
    <w:rsid w:val="00DA67F0"/>
    <w:rsid w:val="00DA6B74"/>
    <w:rsid w:val="00DA6EB6"/>
    <w:rsid w:val="00DA7154"/>
    <w:rsid w:val="00DA7BF2"/>
    <w:rsid w:val="00DA7FB9"/>
    <w:rsid w:val="00DB0341"/>
    <w:rsid w:val="00DB0CD1"/>
    <w:rsid w:val="00DB114A"/>
    <w:rsid w:val="00DB1677"/>
    <w:rsid w:val="00DB1803"/>
    <w:rsid w:val="00DB1AC7"/>
    <w:rsid w:val="00DB1D7C"/>
    <w:rsid w:val="00DB2BC1"/>
    <w:rsid w:val="00DB3175"/>
    <w:rsid w:val="00DB31A1"/>
    <w:rsid w:val="00DB3560"/>
    <w:rsid w:val="00DB35ED"/>
    <w:rsid w:val="00DB3C21"/>
    <w:rsid w:val="00DB3E66"/>
    <w:rsid w:val="00DB3E89"/>
    <w:rsid w:val="00DB4CC0"/>
    <w:rsid w:val="00DB4DDA"/>
    <w:rsid w:val="00DB50B9"/>
    <w:rsid w:val="00DB543E"/>
    <w:rsid w:val="00DB5634"/>
    <w:rsid w:val="00DB5C62"/>
    <w:rsid w:val="00DB6758"/>
    <w:rsid w:val="00DB6AB9"/>
    <w:rsid w:val="00DB7119"/>
    <w:rsid w:val="00DB735C"/>
    <w:rsid w:val="00DB7959"/>
    <w:rsid w:val="00DB7B4D"/>
    <w:rsid w:val="00DB7C61"/>
    <w:rsid w:val="00DC01F5"/>
    <w:rsid w:val="00DC06D1"/>
    <w:rsid w:val="00DC07B7"/>
    <w:rsid w:val="00DC08C4"/>
    <w:rsid w:val="00DC0ACC"/>
    <w:rsid w:val="00DC13E3"/>
    <w:rsid w:val="00DC1436"/>
    <w:rsid w:val="00DC173A"/>
    <w:rsid w:val="00DC174F"/>
    <w:rsid w:val="00DC1CC3"/>
    <w:rsid w:val="00DC2662"/>
    <w:rsid w:val="00DC2765"/>
    <w:rsid w:val="00DC37D1"/>
    <w:rsid w:val="00DC4136"/>
    <w:rsid w:val="00DC4655"/>
    <w:rsid w:val="00DC4768"/>
    <w:rsid w:val="00DC483C"/>
    <w:rsid w:val="00DC4B3E"/>
    <w:rsid w:val="00DC4BCB"/>
    <w:rsid w:val="00DC5003"/>
    <w:rsid w:val="00DC53AA"/>
    <w:rsid w:val="00DC566F"/>
    <w:rsid w:val="00DC5851"/>
    <w:rsid w:val="00DC5A48"/>
    <w:rsid w:val="00DC5D95"/>
    <w:rsid w:val="00DC6454"/>
    <w:rsid w:val="00DC6966"/>
    <w:rsid w:val="00DC74D4"/>
    <w:rsid w:val="00DC74E7"/>
    <w:rsid w:val="00DC753F"/>
    <w:rsid w:val="00DD06B4"/>
    <w:rsid w:val="00DD0B16"/>
    <w:rsid w:val="00DD0DE5"/>
    <w:rsid w:val="00DD0F23"/>
    <w:rsid w:val="00DD10E4"/>
    <w:rsid w:val="00DD11EA"/>
    <w:rsid w:val="00DD1411"/>
    <w:rsid w:val="00DD19A1"/>
    <w:rsid w:val="00DD20A6"/>
    <w:rsid w:val="00DD22EB"/>
    <w:rsid w:val="00DD27C9"/>
    <w:rsid w:val="00DD29A7"/>
    <w:rsid w:val="00DD2D47"/>
    <w:rsid w:val="00DD2F7E"/>
    <w:rsid w:val="00DD3073"/>
    <w:rsid w:val="00DD3942"/>
    <w:rsid w:val="00DD3FF5"/>
    <w:rsid w:val="00DD4208"/>
    <w:rsid w:val="00DD5C91"/>
    <w:rsid w:val="00DD5DAD"/>
    <w:rsid w:val="00DD5E93"/>
    <w:rsid w:val="00DD62DB"/>
    <w:rsid w:val="00DD6778"/>
    <w:rsid w:val="00DD6D13"/>
    <w:rsid w:val="00DD7365"/>
    <w:rsid w:val="00DD7BEE"/>
    <w:rsid w:val="00DD7DA4"/>
    <w:rsid w:val="00DE0652"/>
    <w:rsid w:val="00DE068C"/>
    <w:rsid w:val="00DE0BC0"/>
    <w:rsid w:val="00DE100E"/>
    <w:rsid w:val="00DE1016"/>
    <w:rsid w:val="00DE122A"/>
    <w:rsid w:val="00DE1306"/>
    <w:rsid w:val="00DE169F"/>
    <w:rsid w:val="00DE1748"/>
    <w:rsid w:val="00DE1B47"/>
    <w:rsid w:val="00DE1E4E"/>
    <w:rsid w:val="00DE238B"/>
    <w:rsid w:val="00DE2BC8"/>
    <w:rsid w:val="00DE34F7"/>
    <w:rsid w:val="00DE380D"/>
    <w:rsid w:val="00DE43AA"/>
    <w:rsid w:val="00DE4C3E"/>
    <w:rsid w:val="00DE4D15"/>
    <w:rsid w:val="00DE4E38"/>
    <w:rsid w:val="00DE524D"/>
    <w:rsid w:val="00DE599C"/>
    <w:rsid w:val="00DE5EC1"/>
    <w:rsid w:val="00DE67AA"/>
    <w:rsid w:val="00DE69F1"/>
    <w:rsid w:val="00DE6EB9"/>
    <w:rsid w:val="00DF0297"/>
    <w:rsid w:val="00DF1136"/>
    <w:rsid w:val="00DF16D1"/>
    <w:rsid w:val="00DF170A"/>
    <w:rsid w:val="00DF1773"/>
    <w:rsid w:val="00DF1811"/>
    <w:rsid w:val="00DF184C"/>
    <w:rsid w:val="00DF1B49"/>
    <w:rsid w:val="00DF2347"/>
    <w:rsid w:val="00DF2553"/>
    <w:rsid w:val="00DF2881"/>
    <w:rsid w:val="00DF2AB0"/>
    <w:rsid w:val="00DF2B18"/>
    <w:rsid w:val="00DF2B4C"/>
    <w:rsid w:val="00DF2FAB"/>
    <w:rsid w:val="00DF32BA"/>
    <w:rsid w:val="00DF3B22"/>
    <w:rsid w:val="00DF3EAD"/>
    <w:rsid w:val="00DF4016"/>
    <w:rsid w:val="00DF45AA"/>
    <w:rsid w:val="00DF476D"/>
    <w:rsid w:val="00DF4A1D"/>
    <w:rsid w:val="00DF4B89"/>
    <w:rsid w:val="00DF4E23"/>
    <w:rsid w:val="00DF50E9"/>
    <w:rsid w:val="00DF515C"/>
    <w:rsid w:val="00DF57B0"/>
    <w:rsid w:val="00DF5BB8"/>
    <w:rsid w:val="00DF6654"/>
    <w:rsid w:val="00DF6903"/>
    <w:rsid w:val="00DF6AE0"/>
    <w:rsid w:val="00DF6E5C"/>
    <w:rsid w:val="00DF7064"/>
    <w:rsid w:val="00DF7200"/>
    <w:rsid w:val="00DF7A54"/>
    <w:rsid w:val="00DF7B64"/>
    <w:rsid w:val="00E00688"/>
    <w:rsid w:val="00E00A25"/>
    <w:rsid w:val="00E00AEA"/>
    <w:rsid w:val="00E00BD8"/>
    <w:rsid w:val="00E00D3D"/>
    <w:rsid w:val="00E00DC7"/>
    <w:rsid w:val="00E00FE9"/>
    <w:rsid w:val="00E01255"/>
    <w:rsid w:val="00E01400"/>
    <w:rsid w:val="00E01A32"/>
    <w:rsid w:val="00E02799"/>
    <w:rsid w:val="00E0285C"/>
    <w:rsid w:val="00E030CE"/>
    <w:rsid w:val="00E04708"/>
    <w:rsid w:val="00E04978"/>
    <w:rsid w:val="00E0516B"/>
    <w:rsid w:val="00E05529"/>
    <w:rsid w:val="00E06103"/>
    <w:rsid w:val="00E065CC"/>
    <w:rsid w:val="00E06679"/>
    <w:rsid w:val="00E06A96"/>
    <w:rsid w:val="00E06B2E"/>
    <w:rsid w:val="00E06C83"/>
    <w:rsid w:val="00E07529"/>
    <w:rsid w:val="00E075C7"/>
    <w:rsid w:val="00E1021B"/>
    <w:rsid w:val="00E10858"/>
    <w:rsid w:val="00E10D2D"/>
    <w:rsid w:val="00E1112C"/>
    <w:rsid w:val="00E114CA"/>
    <w:rsid w:val="00E11598"/>
    <w:rsid w:val="00E11629"/>
    <w:rsid w:val="00E11A16"/>
    <w:rsid w:val="00E11AE1"/>
    <w:rsid w:val="00E11FF7"/>
    <w:rsid w:val="00E12279"/>
    <w:rsid w:val="00E12E30"/>
    <w:rsid w:val="00E132C3"/>
    <w:rsid w:val="00E13359"/>
    <w:rsid w:val="00E13645"/>
    <w:rsid w:val="00E13752"/>
    <w:rsid w:val="00E1390C"/>
    <w:rsid w:val="00E1456D"/>
    <w:rsid w:val="00E14DE1"/>
    <w:rsid w:val="00E14E5B"/>
    <w:rsid w:val="00E15149"/>
    <w:rsid w:val="00E15469"/>
    <w:rsid w:val="00E15997"/>
    <w:rsid w:val="00E15B2C"/>
    <w:rsid w:val="00E15F42"/>
    <w:rsid w:val="00E15F48"/>
    <w:rsid w:val="00E16124"/>
    <w:rsid w:val="00E175A7"/>
    <w:rsid w:val="00E17A87"/>
    <w:rsid w:val="00E20252"/>
    <w:rsid w:val="00E203A3"/>
    <w:rsid w:val="00E20B01"/>
    <w:rsid w:val="00E20B2C"/>
    <w:rsid w:val="00E20D3A"/>
    <w:rsid w:val="00E20E52"/>
    <w:rsid w:val="00E21222"/>
    <w:rsid w:val="00E21BAB"/>
    <w:rsid w:val="00E222D9"/>
    <w:rsid w:val="00E22CBF"/>
    <w:rsid w:val="00E22D2F"/>
    <w:rsid w:val="00E2320A"/>
    <w:rsid w:val="00E234FC"/>
    <w:rsid w:val="00E23556"/>
    <w:rsid w:val="00E23A6D"/>
    <w:rsid w:val="00E248AC"/>
    <w:rsid w:val="00E24C40"/>
    <w:rsid w:val="00E25031"/>
    <w:rsid w:val="00E253A6"/>
    <w:rsid w:val="00E25424"/>
    <w:rsid w:val="00E256FF"/>
    <w:rsid w:val="00E25A12"/>
    <w:rsid w:val="00E25D2A"/>
    <w:rsid w:val="00E2651A"/>
    <w:rsid w:val="00E266D1"/>
    <w:rsid w:val="00E26BF1"/>
    <w:rsid w:val="00E270A0"/>
    <w:rsid w:val="00E2713B"/>
    <w:rsid w:val="00E27636"/>
    <w:rsid w:val="00E30055"/>
    <w:rsid w:val="00E301E6"/>
    <w:rsid w:val="00E307BB"/>
    <w:rsid w:val="00E31AC1"/>
    <w:rsid w:val="00E31B4B"/>
    <w:rsid w:val="00E3241D"/>
    <w:rsid w:val="00E32D3D"/>
    <w:rsid w:val="00E332F8"/>
    <w:rsid w:val="00E334E1"/>
    <w:rsid w:val="00E337D7"/>
    <w:rsid w:val="00E33AF7"/>
    <w:rsid w:val="00E33AFD"/>
    <w:rsid w:val="00E33D91"/>
    <w:rsid w:val="00E33FCD"/>
    <w:rsid w:val="00E3402D"/>
    <w:rsid w:val="00E342AA"/>
    <w:rsid w:val="00E34C5C"/>
    <w:rsid w:val="00E3500C"/>
    <w:rsid w:val="00E3545D"/>
    <w:rsid w:val="00E35E14"/>
    <w:rsid w:val="00E35E93"/>
    <w:rsid w:val="00E368AA"/>
    <w:rsid w:val="00E36FDB"/>
    <w:rsid w:val="00E378FE"/>
    <w:rsid w:val="00E37CAA"/>
    <w:rsid w:val="00E37D06"/>
    <w:rsid w:val="00E37E30"/>
    <w:rsid w:val="00E37E3A"/>
    <w:rsid w:val="00E37E46"/>
    <w:rsid w:val="00E400C1"/>
    <w:rsid w:val="00E40DB2"/>
    <w:rsid w:val="00E40EDD"/>
    <w:rsid w:val="00E410B8"/>
    <w:rsid w:val="00E412AB"/>
    <w:rsid w:val="00E414DA"/>
    <w:rsid w:val="00E41631"/>
    <w:rsid w:val="00E41858"/>
    <w:rsid w:val="00E41893"/>
    <w:rsid w:val="00E41E9C"/>
    <w:rsid w:val="00E42086"/>
    <w:rsid w:val="00E4238F"/>
    <w:rsid w:val="00E425C1"/>
    <w:rsid w:val="00E42770"/>
    <w:rsid w:val="00E43163"/>
    <w:rsid w:val="00E431C8"/>
    <w:rsid w:val="00E435F9"/>
    <w:rsid w:val="00E43A22"/>
    <w:rsid w:val="00E44838"/>
    <w:rsid w:val="00E44E92"/>
    <w:rsid w:val="00E45546"/>
    <w:rsid w:val="00E455B1"/>
    <w:rsid w:val="00E456AC"/>
    <w:rsid w:val="00E45D68"/>
    <w:rsid w:val="00E45E8E"/>
    <w:rsid w:val="00E46242"/>
    <w:rsid w:val="00E464CA"/>
    <w:rsid w:val="00E4698F"/>
    <w:rsid w:val="00E46E24"/>
    <w:rsid w:val="00E46F27"/>
    <w:rsid w:val="00E4784B"/>
    <w:rsid w:val="00E500BF"/>
    <w:rsid w:val="00E50573"/>
    <w:rsid w:val="00E50BB2"/>
    <w:rsid w:val="00E50BBE"/>
    <w:rsid w:val="00E50DE5"/>
    <w:rsid w:val="00E51252"/>
    <w:rsid w:val="00E5237B"/>
    <w:rsid w:val="00E525E0"/>
    <w:rsid w:val="00E526AC"/>
    <w:rsid w:val="00E52C60"/>
    <w:rsid w:val="00E5311C"/>
    <w:rsid w:val="00E53715"/>
    <w:rsid w:val="00E54332"/>
    <w:rsid w:val="00E54922"/>
    <w:rsid w:val="00E54A0A"/>
    <w:rsid w:val="00E54D10"/>
    <w:rsid w:val="00E551C6"/>
    <w:rsid w:val="00E5569E"/>
    <w:rsid w:val="00E55CEA"/>
    <w:rsid w:val="00E55D8D"/>
    <w:rsid w:val="00E561AB"/>
    <w:rsid w:val="00E5640E"/>
    <w:rsid w:val="00E56848"/>
    <w:rsid w:val="00E575BB"/>
    <w:rsid w:val="00E57C51"/>
    <w:rsid w:val="00E6048C"/>
    <w:rsid w:val="00E604CE"/>
    <w:rsid w:val="00E609C9"/>
    <w:rsid w:val="00E60A6B"/>
    <w:rsid w:val="00E60F04"/>
    <w:rsid w:val="00E6103E"/>
    <w:rsid w:val="00E61317"/>
    <w:rsid w:val="00E61927"/>
    <w:rsid w:val="00E61A6D"/>
    <w:rsid w:val="00E61B3A"/>
    <w:rsid w:val="00E61EA7"/>
    <w:rsid w:val="00E61F75"/>
    <w:rsid w:val="00E62634"/>
    <w:rsid w:val="00E62A55"/>
    <w:rsid w:val="00E62C4C"/>
    <w:rsid w:val="00E63606"/>
    <w:rsid w:val="00E637E3"/>
    <w:rsid w:val="00E63D4D"/>
    <w:rsid w:val="00E63E9D"/>
    <w:rsid w:val="00E63F04"/>
    <w:rsid w:val="00E64674"/>
    <w:rsid w:val="00E64F2F"/>
    <w:rsid w:val="00E656F0"/>
    <w:rsid w:val="00E65AE7"/>
    <w:rsid w:val="00E65F5C"/>
    <w:rsid w:val="00E66834"/>
    <w:rsid w:val="00E66D10"/>
    <w:rsid w:val="00E66F37"/>
    <w:rsid w:val="00E66FF9"/>
    <w:rsid w:val="00E67833"/>
    <w:rsid w:val="00E702DF"/>
    <w:rsid w:val="00E703E7"/>
    <w:rsid w:val="00E712DC"/>
    <w:rsid w:val="00E71474"/>
    <w:rsid w:val="00E71763"/>
    <w:rsid w:val="00E71C91"/>
    <w:rsid w:val="00E72069"/>
    <w:rsid w:val="00E725B2"/>
    <w:rsid w:val="00E72671"/>
    <w:rsid w:val="00E72DB8"/>
    <w:rsid w:val="00E735DE"/>
    <w:rsid w:val="00E737CA"/>
    <w:rsid w:val="00E73C44"/>
    <w:rsid w:val="00E73F81"/>
    <w:rsid w:val="00E742AB"/>
    <w:rsid w:val="00E746E1"/>
    <w:rsid w:val="00E746FF"/>
    <w:rsid w:val="00E74DFE"/>
    <w:rsid w:val="00E76B28"/>
    <w:rsid w:val="00E76D13"/>
    <w:rsid w:val="00E76DC0"/>
    <w:rsid w:val="00E76E1E"/>
    <w:rsid w:val="00E77062"/>
    <w:rsid w:val="00E771C1"/>
    <w:rsid w:val="00E77562"/>
    <w:rsid w:val="00E77B6D"/>
    <w:rsid w:val="00E804C0"/>
    <w:rsid w:val="00E80701"/>
    <w:rsid w:val="00E80C29"/>
    <w:rsid w:val="00E80DC1"/>
    <w:rsid w:val="00E813B7"/>
    <w:rsid w:val="00E814EE"/>
    <w:rsid w:val="00E81A0D"/>
    <w:rsid w:val="00E81ADC"/>
    <w:rsid w:val="00E81FBE"/>
    <w:rsid w:val="00E81FFC"/>
    <w:rsid w:val="00E823F3"/>
    <w:rsid w:val="00E825D7"/>
    <w:rsid w:val="00E82A21"/>
    <w:rsid w:val="00E83510"/>
    <w:rsid w:val="00E8364B"/>
    <w:rsid w:val="00E837AE"/>
    <w:rsid w:val="00E84017"/>
    <w:rsid w:val="00E84C45"/>
    <w:rsid w:val="00E84F94"/>
    <w:rsid w:val="00E85CCC"/>
    <w:rsid w:val="00E863F4"/>
    <w:rsid w:val="00E868E4"/>
    <w:rsid w:val="00E86DB8"/>
    <w:rsid w:val="00E872CB"/>
    <w:rsid w:val="00E878BB"/>
    <w:rsid w:val="00E90AC4"/>
    <w:rsid w:val="00E911DD"/>
    <w:rsid w:val="00E913F7"/>
    <w:rsid w:val="00E91731"/>
    <w:rsid w:val="00E919A4"/>
    <w:rsid w:val="00E91A3E"/>
    <w:rsid w:val="00E91B9C"/>
    <w:rsid w:val="00E91F7D"/>
    <w:rsid w:val="00E921F6"/>
    <w:rsid w:val="00E92358"/>
    <w:rsid w:val="00E9246E"/>
    <w:rsid w:val="00E92ABF"/>
    <w:rsid w:val="00E92AC1"/>
    <w:rsid w:val="00E92D46"/>
    <w:rsid w:val="00E942E7"/>
    <w:rsid w:val="00E94475"/>
    <w:rsid w:val="00E94B82"/>
    <w:rsid w:val="00E94D05"/>
    <w:rsid w:val="00E9518E"/>
    <w:rsid w:val="00E95367"/>
    <w:rsid w:val="00E9542F"/>
    <w:rsid w:val="00E956C6"/>
    <w:rsid w:val="00E95768"/>
    <w:rsid w:val="00E95898"/>
    <w:rsid w:val="00E95AB0"/>
    <w:rsid w:val="00E95B75"/>
    <w:rsid w:val="00E962CB"/>
    <w:rsid w:val="00E9662B"/>
    <w:rsid w:val="00E96825"/>
    <w:rsid w:val="00E970A6"/>
    <w:rsid w:val="00E973BC"/>
    <w:rsid w:val="00E97438"/>
    <w:rsid w:val="00E97605"/>
    <w:rsid w:val="00E97F69"/>
    <w:rsid w:val="00EA0235"/>
    <w:rsid w:val="00EA04B6"/>
    <w:rsid w:val="00EA07C3"/>
    <w:rsid w:val="00EA1385"/>
    <w:rsid w:val="00EA16E5"/>
    <w:rsid w:val="00EA1826"/>
    <w:rsid w:val="00EA19DF"/>
    <w:rsid w:val="00EA1B34"/>
    <w:rsid w:val="00EA2DE3"/>
    <w:rsid w:val="00EA3915"/>
    <w:rsid w:val="00EA3A0A"/>
    <w:rsid w:val="00EA3B5F"/>
    <w:rsid w:val="00EA3B60"/>
    <w:rsid w:val="00EA3F05"/>
    <w:rsid w:val="00EA4071"/>
    <w:rsid w:val="00EA4235"/>
    <w:rsid w:val="00EA4409"/>
    <w:rsid w:val="00EA4607"/>
    <w:rsid w:val="00EA495D"/>
    <w:rsid w:val="00EA4C72"/>
    <w:rsid w:val="00EA5438"/>
    <w:rsid w:val="00EA5455"/>
    <w:rsid w:val="00EA54DC"/>
    <w:rsid w:val="00EA585E"/>
    <w:rsid w:val="00EA5DB4"/>
    <w:rsid w:val="00EA5F67"/>
    <w:rsid w:val="00EA603B"/>
    <w:rsid w:val="00EA6183"/>
    <w:rsid w:val="00EA63E9"/>
    <w:rsid w:val="00EA68FE"/>
    <w:rsid w:val="00EA7A35"/>
    <w:rsid w:val="00EA7A8B"/>
    <w:rsid w:val="00EB08A0"/>
    <w:rsid w:val="00EB0D07"/>
    <w:rsid w:val="00EB0FBA"/>
    <w:rsid w:val="00EB111B"/>
    <w:rsid w:val="00EB1774"/>
    <w:rsid w:val="00EB1E40"/>
    <w:rsid w:val="00EB2094"/>
    <w:rsid w:val="00EB23B8"/>
    <w:rsid w:val="00EB23C5"/>
    <w:rsid w:val="00EB2410"/>
    <w:rsid w:val="00EB2ECC"/>
    <w:rsid w:val="00EB35BF"/>
    <w:rsid w:val="00EB35ED"/>
    <w:rsid w:val="00EB37C1"/>
    <w:rsid w:val="00EB3B23"/>
    <w:rsid w:val="00EB3D09"/>
    <w:rsid w:val="00EB412B"/>
    <w:rsid w:val="00EB4D35"/>
    <w:rsid w:val="00EB59D4"/>
    <w:rsid w:val="00EB6365"/>
    <w:rsid w:val="00EB6B5C"/>
    <w:rsid w:val="00EB6F4C"/>
    <w:rsid w:val="00EB7285"/>
    <w:rsid w:val="00EB7315"/>
    <w:rsid w:val="00EB74C6"/>
    <w:rsid w:val="00EB7574"/>
    <w:rsid w:val="00EC0062"/>
    <w:rsid w:val="00EC0100"/>
    <w:rsid w:val="00EC018B"/>
    <w:rsid w:val="00EC0534"/>
    <w:rsid w:val="00EC0E3D"/>
    <w:rsid w:val="00EC11A0"/>
    <w:rsid w:val="00EC1268"/>
    <w:rsid w:val="00EC1F3A"/>
    <w:rsid w:val="00EC1F8A"/>
    <w:rsid w:val="00EC2588"/>
    <w:rsid w:val="00EC2BD1"/>
    <w:rsid w:val="00EC2CB5"/>
    <w:rsid w:val="00EC2CCC"/>
    <w:rsid w:val="00EC31EB"/>
    <w:rsid w:val="00EC3277"/>
    <w:rsid w:val="00EC33C2"/>
    <w:rsid w:val="00EC4148"/>
    <w:rsid w:val="00EC430C"/>
    <w:rsid w:val="00EC4512"/>
    <w:rsid w:val="00EC47E2"/>
    <w:rsid w:val="00EC4893"/>
    <w:rsid w:val="00EC4DD7"/>
    <w:rsid w:val="00EC546B"/>
    <w:rsid w:val="00EC5670"/>
    <w:rsid w:val="00EC5BD3"/>
    <w:rsid w:val="00EC5C0D"/>
    <w:rsid w:val="00EC5EF1"/>
    <w:rsid w:val="00EC5FEB"/>
    <w:rsid w:val="00EC68EF"/>
    <w:rsid w:val="00EC69A0"/>
    <w:rsid w:val="00EC6BB2"/>
    <w:rsid w:val="00EC6EE7"/>
    <w:rsid w:val="00EC6F85"/>
    <w:rsid w:val="00EC6FB4"/>
    <w:rsid w:val="00EC719C"/>
    <w:rsid w:val="00EC763E"/>
    <w:rsid w:val="00EC7F61"/>
    <w:rsid w:val="00EC7FF6"/>
    <w:rsid w:val="00ED10D0"/>
    <w:rsid w:val="00ED137C"/>
    <w:rsid w:val="00ED14F9"/>
    <w:rsid w:val="00ED1A46"/>
    <w:rsid w:val="00ED1C51"/>
    <w:rsid w:val="00ED26D3"/>
    <w:rsid w:val="00ED26D5"/>
    <w:rsid w:val="00ED3050"/>
    <w:rsid w:val="00ED36B4"/>
    <w:rsid w:val="00ED4259"/>
    <w:rsid w:val="00ED47E5"/>
    <w:rsid w:val="00ED4BAE"/>
    <w:rsid w:val="00ED4E5A"/>
    <w:rsid w:val="00ED5633"/>
    <w:rsid w:val="00ED65DD"/>
    <w:rsid w:val="00ED6817"/>
    <w:rsid w:val="00ED6A03"/>
    <w:rsid w:val="00ED6FB7"/>
    <w:rsid w:val="00ED7470"/>
    <w:rsid w:val="00ED75FC"/>
    <w:rsid w:val="00ED7C74"/>
    <w:rsid w:val="00ED7F72"/>
    <w:rsid w:val="00ED7FBF"/>
    <w:rsid w:val="00EE0188"/>
    <w:rsid w:val="00EE05BF"/>
    <w:rsid w:val="00EE13B5"/>
    <w:rsid w:val="00EE1843"/>
    <w:rsid w:val="00EE1BBD"/>
    <w:rsid w:val="00EE1DA0"/>
    <w:rsid w:val="00EE263F"/>
    <w:rsid w:val="00EE28CD"/>
    <w:rsid w:val="00EE37A8"/>
    <w:rsid w:val="00EE3A3D"/>
    <w:rsid w:val="00EE3A86"/>
    <w:rsid w:val="00EE3EC4"/>
    <w:rsid w:val="00EE4045"/>
    <w:rsid w:val="00EE42FA"/>
    <w:rsid w:val="00EE47B6"/>
    <w:rsid w:val="00EE5092"/>
    <w:rsid w:val="00EE5594"/>
    <w:rsid w:val="00EE593D"/>
    <w:rsid w:val="00EE607F"/>
    <w:rsid w:val="00EE65D5"/>
    <w:rsid w:val="00EE6833"/>
    <w:rsid w:val="00EE6ACB"/>
    <w:rsid w:val="00EE6AF5"/>
    <w:rsid w:val="00EE705D"/>
    <w:rsid w:val="00EE74E2"/>
    <w:rsid w:val="00EE774B"/>
    <w:rsid w:val="00EE79CE"/>
    <w:rsid w:val="00EE7B0E"/>
    <w:rsid w:val="00EF0032"/>
    <w:rsid w:val="00EF0717"/>
    <w:rsid w:val="00EF0833"/>
    <w:rsid w:val="00EF0B51"/>
    <w:rsid w:val="00EF0E4B"/>
    <w:rsid w:val="00EF15D1"/>
    <w:rsid w:val="00EF1687"/>
    <w:rsid w:val="00EF1BAF"/>
    <w:rsid w:val="00EF1DC2"/>
    <w:rsid w:val="00EF201E"/>
    <w:rsid w:val="00EF260D"/>
    <w:rsid w:val="00EF28E2"/>
    <w:rsid w:val="00EF2B94"/>
    <w:rsid w:val="00EF2C6A"/>
    <w:rsid w:val="00EF3033"/>
    <w:rsid w:val="00EF3632"/>
    <w:rsid w:val="00EF4911"/>
    <w:rsid w:val="00EF5A0D"/>
    <w:rsid w:val="00EF5D8A"/>
    <w:rsid w:val="00EF5DE3"/>
    <w:rsid w:val="00EF6B8A"/>
    <w:rsid w:val="00EF7AF6"/>
    <w:rsid w:val="00F00061"/>
    <w:rsid w:val="00F0019D"/>
    <w:rsid w:val="00F00ADD"/>
    <w:rsid w:val="00F00B84"/>
    <w:rsid w:val="00F01B98"/>
    <w:rsid w:val="00F01D67"/>
    <w:rsid w:val="00F020E4"/>
    <w:rsid w:val="00F02210"/>
    <w:rsid w:val="00F02416"/>
    <w:rsid w:val="00F02663"/>
    <w:rsid w:val="00F02D9A"/>
    <w:rsid w:val="00F0327F"/>
    <w:rsid w:val="00F033EF"/>
    <w:rsid w:val="00F03411"/>
    <w:rsid w:val="00F03468"/>
    <w:rsid w:val="00F03C55"/>
    <w:rsid w:val="00F03ECE"/>
    <w:rsid w:val="00F0452D"/>
    <w:rsid w:val="00F049BB"/>
    <w:rsid w:val="00F05280"/>
    <w:rsid w:val="00F05298"/>
    <w:rsid w:val="00F0529A"/>
    <w:rsid w:val="00F05574"/>
    <w:rsid w:val="00F059EA"/>
    <w:rsid w:val="00F05A1C"/>
    <w:rsid w:val="00F05AD1"/>
    <w:rsid w:val="00F0611B"/>
    <w:rsid w:val="00F0613C"/>
    <w:rsid w:val="00F06C66"/>
    <w:rsid w:val="00F07592"/>
    <w:rsid w:val="00F1148C"/>
    <w:rsid w:val="00F11BF7"/>
    <w:rsid w:val="00F11CAA"/>
    <w:rsid w:val="00F11E34"/>
    <w:rsid w:val="00F1238B"/>
    <w:rsid w:val="00F12425"/>
    <w:rsid w:val="00F12671"/>
    <w:rsid w:val="00F12BDE"/>
    <w:rsid w:val="00F12C00"/>
    <w:rsid w:val="00F12EB0"/>
    <w:rsid w:val="00F12F31"/>
    <w:rsid w:val="00F132B1"/>
    <w:rsid w:val="00F133F7"/>
    <w:rsid w:val="00F13507"/>
    <w:rsid w:val="00F1471A"/>
    <w:rsid w:val="00F14AB3"/>
    <w:rsid w:val="00F14BD9"/>
    <w:rsid w:val="00F14D56"/>
    <w:rsid w:val="00F14EB7"/>
    <w:rsid w:val="00F15268"/>
    <w:rsid w:val="00F1528F"/>
    <w:rsid w:val="00F155F4"/>
    <w:rsid w:val="00F156DD"/>
    <w:rsid w:val="00F158C9"/>
    <w:rsid w:val="00F15AE6"/>
    <w:rsid w:val="00F15F73"/>
    <w:rsid w:val="00F15F87"/>
    <w:rsid w:val="00F1656F"/>
    <w:rsid w:val="00F16675"/>
    <w:rsid w:val="00F166E8"/>
    <w:rsid w:val="00F16B89"/>
    <w:rsid w:val="00F1736B"/>
    <w:rsid w:val="00F173B8"/>
    <w:rsid w:val="00F1746F"/>
    <w:rsid w:val="00F17535"/>
    <w:rsid w:val="00F17C46"/>
    <w:rsid w:val="00F20147"/>
    <w:rsid w:val="00F2085D"/>
    <w:rsid w:val="00F216C9"/>
    <w:rsid w:val="00F2195E"/>
    <w:rsid w:val="00F21D0B"/>
    <w:rsid w:val="00F22121"/>
    <w:rsid w:val="00F221EE"/>
    <w:rsid w:val="00F22286"/>
    <w:rsid w:val="00F224B4"/>
    <w:rsid w:val="00F22615"/>
    <w:rsid w:val="00F229A5"/>
    <w:rsid w:val="00F231A8"/>
    <w:rsid w:val="00F232B0"/>
    <w:rsid w:val="00F23531"/>
    <w:rsid w:val="00F240D7"/>
    <w:rsid w:val="00F244D3"/>
    <w:rsid w:val="00F25CE9"/>
    <w:rsid w:val="00F2710E"/>
    <w:rsid w:val="00F27363"/>
    <w:rsid w:val="00F27432"/>
    <w:rsid w:val="00F274FA"/>
    <w:rsid w:val="00F27B3C"/>
    <w:rsid w:val="00F27BD1"/>
    <w:rsid w:val="00F27F50"/>
    <w:rsid w:val="00F30277"/>
    <w:rsid w:val="00F30372"/>
    <w:rsid w:val="00F3064C"/>
    <w:rsid w:val="00F31127"/>
    <w:rsid w:val="00F31408"/>
    <w:rsid w:val="00F31467"/>
    <w:rsid w:val="00F318FE"/>
    <w:rsid w:val="00F323D2"/>
    <w:rsid w:val="00F328A2"/>
    <w:rsid w:val="00F32992"/>
    <w:rsid w:val="00F32D11"/>
    <w:rsid w:val="00F32ED4"/>
    <w:rsid w:val="00F332FA"/>
    <w:rsid w:val="00F33666"/>
    <w:rsid w:val="00F33866"/>
    <w:rsid w:val="00F33D1C"/>
    <w:rsid w:val="00F345B7"/>
    <w:rsid w:val="00F345FA"/>
    <w:rsid w:val="00F3460D"/>
    <w:rsid w:val="00F346CD"/>
    <w:rsid w:val="00F3475A"/>
    <w:rsid w:val="00F34E1A"/>
    <w:rsid w:val="00F35277"/>
    <w:rsid w:val="00F354E5"/>
    <w:rsid w:val="00F355F4"/>
    <w:rsid w:val="00F35724"/>
    <w:rsid w:val="00F358EE"/>
    <w:rsid w:val="00F35B68"/>
    <w:rsid w:val="00F35BB1"/>
    <w:rsid w:val="00F35FF3"/>
    <w:rsid w:val="00F361C7"/>
    <w:rsid w:val="00F36265"/>
    <w:rsid w:val="00F367AC"/>
    <w:rsid w:val="00F37357"/>
    <w:rsid w:val="00F373E9"/>
    <w:rsid w:val="00F405CA"/>
    <w:rsid w:val="00F41163"/>
    <w:rsid w:val="00F42010"/>
    <w:rsid w:val="00F421E4"/>
    <w:rsid w:val="00F42386"/>
    <w:rsid w:val="00F426EA"/>
    <w:rsid w:val="00F42879"/>
    <w:rsid w:val="00F428C6"/>
    <w:rsid w:val="00F428FF"/>
    <w:rsid w:val="00F42B4C"/>
    <w:rsid w:val="00F42D05"/>
    <w:rsid w:val="00F432A6"/>
    <w:rsid w:val="00F433C8"/>
    <w:rsid w:val="00F43EA9"/>
    <w:rsid w:val="00F44149"/>
    <w:rsid w:val="00F44491"/>
    <w:rsid w:val="00F44550"/>
    <w:rsid w:val="00F445C5"/>
    <w:rsid w:val="00F44711"/>
    <w:rsid w:val="00F449E3"/>
    <w:rsid w:val="00F451BF"/>
    <w:rsid w:val="00F45512"/>
    <w:rsid w:val="00F45970"/>
    <w:rsid w:val="00F4658A"/>
    <w:rsid w:val="00F46974"/>
    <w:rsid w:val="00F46C34"/>
    <w:rsid w:val="00F46F65"/>
    <w:rsid w:val="00F47333"/>
    <w:rsid w:val="00F47D49"/>
    <w:rsid w:val="00F47DDA"/>
    <w:rsid w:val="00F50207"/>
    <w:rsid w:val="00F5023E"/>
    <w:rsid w:val="00F50ABC"/>
    <w:rsid w:val="00F50DC1"/>
    <w:rsid w:val="00F5183B"/>
    <w:rsid w:val="00F51FD4"/>
    <w:rsid w:val="00F523AB"/>
    <w:rsid w:val="00F5256A"/>
    <w:rsid w:val="00F52C8A"/>
    <w:rsid w:val="00F52D0F"/>
    <w:rsid w:val="00F52EA2"/>
    <w:rsid w:val="00F53193"/>
    <w:rsid w:val="00F5424B"/>
    <w:rsid w:val="00F545B4"/>
    <w:rsid w:val="00F54A3A"/>
    <w:rsid w:val="00F54AAC"/>
    <w:rsid w:val="00F54D2A"/>
    <w:rsid w:val="00F5525A"/>
    <w:rsid w:val="00F5529B"/>
    <w:rsid w:val="00F552B0"/>
    <w:rsid w:val="00F5551D"/>
    <w:rsid w:val="00F55B28"/>
    <w:rsid w:val="00F5642D"/>
    <w:rsid w:val="00F56F5F"/>
    <w:rsid w:val="00F57156"/>
    <w:rsid w:val="00F5754A"/>
    <w:rsid w:val="00F5762B"/>
    <w:rsid w:val="00F6002F"/>
    <w:rsid w:val="00F60346"/>
    <w:rsid w:val="00F60BBE"/>
    <w:rsid w:val="00F60BD1"/>
    <w:rsid w:val="00F61D01"/>
    <w:rsid w:val="00F62378"/>
    <w:rsid w:val="00F62D69"/>
    <w:rsid w:val="00F62E81"/>
    <w:rsid w:val="00F6303C"/>
    <w:rsid w:val="00F63119"/>
    <w:rsid w:val="00F63556"/>
    <w:rsid w:val="00F635D6"/>
    <w:rsid w:val="00F635FD"/>
    <w:rsid w:val="00F6365F"/>
    <w:rsid w:val="00F6376A"/>
    <w:rsid w:val="00F63A72"/>
    <w:rsid w:val="00F63C4E"/>
    <w:rsid w:val="00F63F1D"/>
    <w:rsid w:val="00F64152"/>
    <w:rsid w:val="00F6467E"/>
    <w:rsid w:val="00F64AAD"/>
    <w:rsid w:val="00F64B06"/>
    <w:rsid w:val="00F64B30"/>
    <w:rsid w:val="00F64CD2"/>
    <w:rsid w:val="00F6505A"/>
    <w:rsid w:val="00F65143"/>
    <w:rsid w:val="00F65577"/>
    <w:rsid w:val="00F6585C"/>
    <w:rsid w:val="00F65C17"/>
    <w:rsid w:val="00F65E82"/>
    <w:rsid w:val="00F65F4C"/>
    <w:rsid w:val="00F661C1"/>
    <w:rsid w:val="00F66883"/>
    <w:rsid w:val="00F67712"/>
    <w:rsid w:val="00F67A95"/>
    <w:rsid w:val="00F70674"/>
    <w:rsid w:val="00F708A8"/>
    <w:rsid w:val="00F708AE"/>
    <w:rsid w:val="00F71032"/>
    <w:rsid w:val="00F71E12"/>
    <w:rsid w:val="00F722C8"/>
    <w:rsid w:val="00F72497"/>
    <w:rsid w:val="00F724EA"/>
    <w:rsid w:val="00F72CA5"/>
    <w:rsid w:val="00F7303E"/>
    <w:rsid w:val="00F7311B"/>
    <w:rsid w:val="00F73977"/>
    <w:rsid w:val="00F73C9F"/>
    <w:rsid w:val="00F73CF2"/>
    <w:rsid w:val="00F7484D"/>
    <w:rsid w:val="00F74C24"/>
    <w:rsid w:val="00F74FA5"/>
    <w:rsid w:val="00F751A2"/>
    <w:rsid w:val="00F751DF"/>
    <w:rsid w:val="00F753F0"/>
    <w:rsid w:val="00F754AC"/>
    <w:rsid w:val="00F75D31"/>
    <w:rsid w:val="00F76152"/>
    <w:rsid w:val="00F76CD3"/>
    <w:rsid w:val="00F76E2E"/>
    <w:rsid w:val="00F77789"/>
    <w:rsid w:val="00F80020"/>
    <w:rsid w:val="00F8004C"/>
    <w:rsid w:val="00F8010E"/>
    <w:rsid w:val="00F80ED3"/>
    <w:rsid w:val="00F81002"/>
    <w:rsid w:val="00F8119D"/>
    <w:rsid w:val="00F81649"/>
    <w:rsid w:val="00F81A59"/>
    <w:rsid w:val="00F81E1C"/>
    <w:rsid w:val="00F81FF5"/>
    <w:rsid w:val="00F82700"/>
    <w:rsid w:val="00F8293A"/>
    <w:rsid w:val="00F82B25"/>
    <w:rsid w:val="00F82D77"/>
    <w:rsid w:val="00F8368C"/>
    <w:rsid w:val="00F83845"/>
    <w:rsid w:val="00F84E39"/>
    <w:rsid w:val="00F85025"/>
    <w:rsid w:val="00F8592E"/>
    <w:rsid w:val="00F860F1"/>
    <w:rsid w:val="00F863B4"/>
    <w:rsid w:val="00F86A2D"/>
    <w:rsid w:val="00F86B9B"/>
    <w:rsid w:val="00F8727D"/>
    <w:rsid w:val="00F87304"/>
    <w:rsid w:val="00F87421"/>
    <w:rsid w:val="00F876FB"/>
    <w:rsid w:val="00F8788B"/>
    <w:rsid w:val="00F87924"/>
    <w:rsid w:val="00F905DF"/>
    <w:rsid w:val="00F909E3"/>
    <w:rsid w:val="00F90A1B"/>
    <w:rsid w:val="00F90A20"/>
    <w:rsid w:val="00F90C12"/>
    <w:rsid w:val="00F90DD7"/>
    <w:rsid w:val="00F912C7"/>
    <w:rsid w:val="00F914E3"/>
    <w:rsid w:val="00F91519"/>
    <w:rsid w:val="00F915E7"/>
    <w:rsid w:val="00F91940"/>
    <w:rsid w:val="00F92259"/>
    <w:rsid w:val="00F92BD8"/>
    <w:rsid w:val="00F93484"/>
    <w:rsid w:val="00F93498"/>
    <w:rsid w:val="00F93E38"/>
    <w:rsid w:val="00F9401B"/>
    <w:rsid w:val="00F9438B"/>
    <w:rsid w:val="00F949A9"/>
    <w:rsid w:val="00F94E97"/>
    <w:rsid w:val="00F950F5"/>
    <w:rsid w:val="00F9513D"/>
    <w:rsid w:val="00F95374"/>
    <w:rsid w:val="00F954A4"/>
    <w:rsid w:val="00F95665"/>
    <w:rsid w:val="00F95915"/>
    <w:rsid w:val="00F96309"/>
    <w:rsid w:val="00F96449"/>
    <w:rsid w:val="00F968C0"/>
    <w:rsid w:val="00F96C29"/>
    <w:rsid w:val="00F96C7D"/>
    <w:rsid w:val="00F9730D"/>
    <w:rsid w:val="00F97754"/>
    <w:rsid w:val="00F978EC"/>
    <w:rsid w:val="00FA028F"/>
    <w:rsid w:val="00FA02AE"/>
    <w:rsid w:val="00FA04E1"/>
    <w:rsid w:val="00FA0AF2"/>
    <w:rsid w:val="00FA1001"/>
    <w:rsid w:val="00FA1113"/>
    <w:rsid w:val="00FA11F6"/>
    <w:rsid w:val="00FA14F1"/>
    <w:rsid w:val="00FA169E"/>
    <w:rsid w:val="00FA1E42"/>
    <w:rsid w:val="00FA21A7"/>
    <w:rsid w:val="00FA2699"/>
    <w:rsid w:val="00FA2BE2"/>
    <w:rsid w:val="00FA322A"/>
    <w:rsid w:val="00FA3732"/>
    <w:rsid w:val="00FA375D"/>
    <w:rsid w:val="00FA3B49"/>
    <w:rsid w:val="00FA3BC6"/>
    <w:rsid w:val="00FA3C1C"/>
    <w:rsid w:val="00FA3E63"/>
    <w:rsid w:val="00FA40CB"/>
    <w:rsid w:val="00FA43D3"/>
    <w:rsid w:val="00FA4541"/>
    <w:rsid w:val="00FA46CF"/>
    <w:rsid w:val="00FA4D5B"/>
    <w:rsid w:val="00FA4FE6"/>
    <w:rsid w:val="00FA517D"/>
    <w:rsid w:val="00FA5792"/>
    <w:rsid w:val="00FA6049"/>
    <w:rsid w:val="00FA614E"/>
    <w:rsid w:val="00FA6439"/>
    <w:rsid w:val="00FA6A67"/>
    <w:rsid w:val="00FA6E96"/>
    <w:rsid w:val="00FA7B57"/>
    <w:rsid w:val="00FA7DC3"/>
    <w:rsid w:val="00FB0082"/>
    <w:rsid w:val="00FB071F"/>
    <w:rsid w:val="00FB0854"/>
    <w:rsid w:val="00FB09B8"/>
    <w:rsid w:val="00FB0B8B"/>
    <w:rsid w:val="00FB13E9"/>
    <w:rsid w:val="00FB1FC8"/>
    <w:rsid w:val="00FB210F"/>
    <w:rsid w:val="00FB2C0F"/>
    <w:rsid w:val="00FB2F32"/>
    <w:rsid w:val="00FB3694"/>
    <w:rsid w:val="00FB385F"/>
    <w:rsid w:val="00FB4142"/>
    <w:rsid w:val="00FB46E2"/>
    <w:rsid w:val="00FB48C6"/>
    <w:rsid w:val="00FB4BBD"/>
    <w:rsid w:val="00FB4C4C"/>
    <w:rsid w:val="00FB5221"/>
    <w:rsid w:val="00FB522C"/>
    <w:rsid w:val="00FB52E6"/>
    <w:rsid w:val="00FB5535"/>
    <w:rsid w:val="00FB5848"/>
    <w:rsid w:val="00FB5F62"/>
    <w:rsid w:val="00FB5F66"/>
    <w:rsid w:val="00FB641A"/>
    <w:rsid w:val="00FB699F"/>
    <w:rsid w:val="00FB69A5"/>
    <w:rsid w:val="00FB6C92"/>
    <w:rsid w:val="00FB742E"/>
    <w:rsid w:val="00FB7A4E"/>
    <w:rsid w:val="00FB7B0D"/>
    <w:rsid w:val="00FC00DA"/>
    <w:rsid w:val="00FC020A"/>
    <w:rsid w:val="00FC0601"/>
    <w:rsid w:val="00FC077A"/>
    <w:rsid w:val="00FC0811"/>
    <w:rsid w:val="00FC0B8B"/>
    <w:rsid w:val="00FC0F3F"/>
    <w:rsid w:val="00FC10F9"/>
    <w:rsid w:val="00FC19BD"/>
    <w:rsid w:val="00FC2227"/>
    <w:rsid w:val="00FC281F"/>
    <w:rsid w:val="00FC2C85"/>
    <w:rsid w:val="00FC3A13"/>
    <w:rsid w:val="00FC3EF4"/>
    <w:rsid w:val="00FC4154"/>
    <w:rsid w:val="00FC429A"/>
    <w:rsid w:val="00FC5043"/>
    <w:rsid w:val="00FC58D4"/>
    <w:rsid w:val="00FC6387"/>
    <w:rsid w:val="00FC649D"/>
    <w:rsid w:val="00FC69DE"/>
    <w:rsid w:val="00FC6C39"/>
    <w:rsid w:val="00FC6C48"/>
    <w:rsid w:val="00FC6DB3"/>
    <w:rsid w:val="00FC7294"/>
    <w:rsid w:val="00FD019F"/>
    <w:rsid w:val="00FD0ADB"/>
    <w:rsid w:val="00FD0BD7"/>
    <w:rsid w:val="00FD0E2F"/>
    <w:rsid w:val="00FD1185"/>
    <w:rsid w:val="00FD2791"/>
    <w:rsid w:val="00FD385B"/>
    <w:rsid w:val="00FD3DE8"/>
    <w:rsid w:val="00FD3E3E"/>
    <w:rsid w:val="00FD3F5F"/>
    <w:rsid w:val="00FD4665"/>
    <w:rsid w:val="00FD58DE"/>
    <w:rsid w:val="00FD5A6C"/>
    <w:rsid w:val="00FD5B39"/>
    <w:rsid w:val="00FD5E6A"/>
    <w:rsid w:val="00FD5FCB"/>
    <w:rsid w:val="00FD64D7"/>
    <w:rsid w:val="00FD6852"/>
    <w:rsid w:val="00FD6D13"/>
    <w:rsid w:val="00FD71C7"/>
    <w:rsid w:val="00FD736A"/>
    <w:rsid w:val="00FD7A08"/>
    <w:rsid w:val="00FD7F26"/>
    <w:rsid w:val="00FE042A"/>
    <w:rsid w:val="00FE0B39"/>
    <w:rsid w:val="00FE0B7D"/>
    <w:rsid w:val="00FE195F"/>
    <w:rsid w:val="00FE1B51"/>
    <w:rsid w:val="00FE1FF1"/>
    <w:rsid w:val="00FE2B51"/>
    <w:rsid w:val="00FE3F65"/>
    <w:rsid w:val="00FE4725"/>
    <w:rsid w:val="00FE48DB"/>
    <w:rsid w:val="00FE4DF0"/>
    <w:rsid w:val="00FE4FBB"/>
    <w:rsid w:val="00FE533D"/>
    <w:rsid w:val="00FE5733"/>
    <w:rsid w:val="00FE5C7D"/>
    <w:rsid w:val="00FE6377"/>
    <w:rsid w:val="00FE63C9"/>
    <w:rsid w:val="00FE6550"/>
    <w:rsid w:val="00FE676A"/>
    <w:rsid w:val="00FE6A9E"/>
    <w:rsid w:val="00FE71FF"/>
    <w:rsid w:val="00FE7332"/>
    <w:rsid w:val="00FE73B6"/>
    <w:rsid w:val="00FE7935"/>
    <w:rsid w:val="00FE7A76"/>
    <w:rsid w:val="00FE7F16"/>
    <w:rsid w:val="00FF083A"/>
    <w:rsid w:val="00FF09A2"/>
    <w:rsid w:val="00FF0BE7"/>
    <w:rsid w:val="00FF0FEF"/>
    <w:rsid w:val="00FF140D"/>
    <w:rsid w:val="00FF1616"/>
    <w:rsid w:val="00FF1BE2"/>
    <w:rsid w:val="00FF229A"/>
    <w:rsid w:val="00FF2323"/>
    <w:rsid w:val="00FF262A"/>
    <w:rsid w:val="00FF3811"/>
    <w:rsid w:val="00FF3D57"/>
    <w:rsid w:val="00FF3E4D"/>
    <w:rsid w:val="00FF4222"/>
    <w:rsid w:val="00FF42BC"/>
    <w:rsid w:val="00FF4A5D"/>
    <w:rsid w:val="00FF544E"/>
    <w:rsid w:val="00FF5B07"/>
    <w:rsid w:val="00FF64FA"/>
    <w:rsid w:val="00FF6819"/>
    <w:rsid w:val="00FF777B"/>
    <w:rsid w:val="00FF77E6"/>
    <w:rsid w:val="011148BB"/>
    <w:rsid w:val="01114D39"/>
    <w:rsid w:val="01417BB2"/>
    <w:rsid w:val="01446436"/>
    <w:rsid w:val="015856E0"/>
    <w:rsid w:val="0166603F"/>
    <w:rsid w:val="01762850"/>
    <w:rsid w:val="017E3CAD"/>
    <w:rsid w:val="019D1EB7"/>
    <w:rsid w:val="01AF7EBB"/>
    <w:rsid w:val="01C8061B"/>
    <w:rsid w:val="01C82C88"/>
    <w:rsid w:val="01D23BA0"/>
    <w:rsid w:val="01E14190"/>
    <w:rsid w:val="01F30198"/>
    <w:rsid w:val="020C020E"/>
    <w:rsid w:val="023D030B"/>
    <w:rsid w:val="02453868"/>
    <w:rsid w:val="0248254F"/>
    <w:rsid w:val="026F6CC9"/>
    <w:rsid w:val="0283006E"/>
    <w:rsid w:val="02AE39B6"/>
    <w:rsid w:val="02BF1624"/>
    <w:rsid w:val="02C93804"/>
    <w:rsid w:val="02CC61D1"/>
    <w:rsid w:val="02D62F14"/>
    <w:rsid w:val="02DF016E"/>
    <w:rsid w:val="02F01968"/>
    <w:rsid w:val="02FA6F68"/>
    <w:rsid w:val="02FD3102"/>
    <w:rsid w:val="030B1E07"/>
    <w:rsid w:val="03320837"/>
    <w:rsid w:val="033274C1"/>
    <w:rsid w:val="033E4ACC"/>
    <w:rsid w:val="035743AC"/>
    <w:rsid w:val="035C507C"/>
    <w:rsid w:val="03995EAC"/>
    <w:rsid w:val="03A547BE"/>
    <w:rsid w:val="03AE5AB4"/>
    <w:rsid w:val="03BE3F1C"/>
    <w:rsid w:val="03FD69ED"/>
    <w:rsid w:val="04161153"/>
    <w:rsid w:val="04285D38"/>
    <w:rsid w:val="043D5716"/>
    <w:rsid w:val="0472627C"/>
    <w:rsid w:val="04752719"/>
    <w:rsid w:val="047533FE"/>
    <w:rsid w:val="04832245"/>
    <w:rsid w:val="048612EC"/>
    <w:rsid w:val="04997CC1"/>
    <w:rsid w:val="04B15176"/>
    <w:rsid w:val="04E53DB1"/>
    <w:rsid w:val="04F259CE"/>
    <w:rsid w:val="04F57DB5"/>
    <w:rsid w:val="04F94411"/>
    <w:rsid w:val="04FF36B3"/>
    <w:rsid w:val="05160E91"/>
    <w:rsid w:val="05186FD3"/>
    <w:rsid w:val="05455F85"/>
    <w:rsid w:val="054928B7"/>
    <w:rsid w:val="055A7723"/>
    <w:rsid w:val="05A80213"/>
    <w:rsid w:val="05D54408"/>
    <w:rsid w:val="05ED3C9B"/>
    <w:rsid w:val="06121F2E"/>
    <w:rsid w:val="06122787"/>
    <w:rsid w:val="062301F6"/>
    <w:rsid w:val="064966E1"/>
    <w:rsid w:val="06557ACB"/>
    <w:rsid w:val="065631E5"/>
    <w:rsid w:val="06566FA2"/>
    <w:rsid w:val="066A354C"/>
    <w:rsid w:val="0688430C"/>
    <w:rsid w:val="06B166D4"/>
    <w:rsid w:val="06BC3DC2"/>
    <w:rsid w:val="07004781"/>
    <w:rsid w:val="075B0A77"/>
    <w:rsid w:val="076D6D5A"/>
    <w:rsid w:val="07791E46"/>
    <w:rsid w:val="077955A3"/>
    <w:rsid w:val="077D78FA"/>
    <w:rsid w:val="07846033"/>
    <w:rsid w:val="07875B79"/>
    <w:rsid w:val="07AA214D"/>
    <w:rsid w:val="07D12F9B"/>
    <w:rsid w:val="07FC6052"/>
    <w:rsid w:val="07FD46C2"/>
    <w:rsid w:val="080B385E"/>
    <w:rsid w:val="080C0A1C"/>
    <w:rsid w:val="0819581A"/>
    <w:rsid w:val="08210B00"/>
    <w:rsid w:val="0837035A"/>
    <w:rsid w:val="083A4ADB"/>
    <w:rsid w:val="085079E7"/>
    <w:rsid w:val="086223FD"/>
    <w:rsid w:val="086E3041"/>
    <w:rsid w:val="08805492"/>
    <w:rsid w:val="0881096D"/>
    <w:rsid w:val="08820765"/>
    <w:rsid w:val="088B4AB4"/>
    <w:rsid w:val="088B7558"/>
    <w:rsid w:val="089C2058"/>
    <w:rsid w:val="08B96F26"/>
    <w:rsid w:val="08DA6D08"/>
    <w:rsid w:val="08F4797D"/>
    <w:rsid w:val="09070AB9"/>
    <w:rsid w:val="09466DE8"/>
    <w:rsid w:val="095E6130"/>
    <w:rsid w:val="09624361"/>
    <w:rsid w:val="09794479"/>
    <w:rsid w:val="09985231"/>
    <w:rsid w:val="09AD1543"/>
    <w:rsid w:val="09D713FB"/>
    <w:rsid w:val="09ED53C6"/>
    <w:rsid w:val="0A0B496A"/>
    <w:rsid w:val="0A1921AD"/>
    <w:rsid w:val="0A243F86"/>
    <w:rsid w:val="0A404E85"/>
    <w:rsid w:val="0A47716D"/>
    <w:rsid w:val="0A5C3585"/>
    <w:rsid w:val="0A6C3DF9"/>
    <w:rsid w:val="0A734F3C"/>
    <w:rsid w:val="0A7C0518"/>
    <w:rsid w:val="0AE316BA"/>
    <w:rsid w:val="0AF31E7B"/>
    <w:rsid w:val="0B041CC8"/>
    <w:rsid w:val="0B18572F"/>
    <w:rsid w:val="0B441FCB"/>
    <w:rsid w:val="0B5662CE"/>
    <w:rsid w:val="0B5C7206"/>
    <w:rsid w:val="0B6A3AF5"/>
    <w:rsid w:val="0B7B6146"/>
    <w:rsid w:val="0BA53C84"/>
    <w:rsid w:val="0BB0342D"/>
    <w:rsid w:val="0BB64677"/>
    <w:rsid w:val="0BBC3691"/>
    <w:rsid w:val="0BBD177D"/>
    <w:rsid w:val="0BD12F6E"/>
    <w:rsid w:val="0BDC7E03"/>
    <w:rsid w:val="0BDF30BE"/>
    <w:rsid w:val="0BEB4A1B"/>
    <w:rsid w:val="0C0B40F6"/>
    <w:rsid w:val="0C0E436A"/>
    <w:rsid w:val="0C163888"/>
    <w:rsid w:val="0C1A1AD9"/>
    <w:rsid w:val="0C37216E"/>
    <w:rsid w:val="0C3921D3"/>
    <w:rsid w:val="0C3C426C"/>
    <w:rsid w:val="0C90115E"/>
    <w:rsid w:val="0CC3149E"/>
    <w:rsid w:val="0CD92C10"/>
    <w:rsid w:val="0CED3A99"/>
    <w:rsid w:val="0D2462B7"/>
    <w:rsid w:val="0D2866D7"/>
    <w:rsid w:val="0D5517EA"/>
    <w:rsid w:val="0D6E3FF8"/>
    <w:rsid w:val="0D8112CF"/>
    <w:rsid w:val="0D811DCC"/>
    <w:rsid w:val="0D9265BE"/>
    <w:rsid w:val="0DA47D03"/>
    <w:rsid w:val="0DDB5A75"/>
    <w:rsid w:val="0DE176E9"/>
    <w:rsid w:val="0DE618E5"/>
    <w:rsid w:val="0DF94DF6"/>
    <w:rsid w:val="0E0170D4"/>
    <w:rsid w:val="0E196C9D"/>
    <w:rsid w:val="0E3363BC"/>
    <w:rsid w:val="0E4D60AF"/>
    <w:rsid w:val="0E55543F"/>
    <w:rsid w:val="0EB11544"/>
    <w:rsid w:val="0EBD6866"/>
    <w:rsid w:val="0EC6630B"/>
    <w:rsid w:val="0ED14C5A"/>
    <w:rsid w:val="0F07105F"/>
    <w:rsid w:val="0F134FF7"/>
    <w:rsid w:val="0F2258EE"/>
    <w:rsid w:val="0F232586"/>
    <w:rsid w:val="0F336CE2"/>
    <w:rsid w:val="0F527DD9"/>
    <w:rsid w:val="0F5D3F4F"/>
    <w:rsid w:val="0F7D1E13"/>
    <w:rsid w:val="0F9C582C"/>
    <w:rsid w:val="0FC8193E"/>
    <w:rsid w:val="0FC919E3"/>
    <w:rsid w:val="0FDC5B0F"/>
    <w:rsid w:val="0FEB7026"/>
    <w:rsid w:val="0FED5D57"/>
    <w:rsid w:val="10046CE5"/>
    <w:rsid w:val="10310362"/>
    <w:rsid w:val="10491042"/>
    <w:rsid w:val="105C4AEA"/>
    <w:rsid w:val="1082321B"/>
    <w:rsid w:val="10884012"/>
    <w:rsid w:val="109A33BD"/>
    <w:rsid w:val="109D234C"/>
    <w:rsid w:val="10AE3F37"/>
    <w:rsid w:val="10B4018F"/>
    <w:rsid w:val="10C1612B"/>
    <w:rsid w:val="110C4862"/>
    <w:rsid w:val="11122F4E"/>
    <w:rsid w:val="11214C50"/>
    <w:rsid w:val="11250D28"/>
    <w:rsid w:val="11325BE8"/>
    <w:rsid w:val="113F4790"/>
    <w:rsid w:val="11632EFC"/>
    <w:rsid w:val="117C7F73"/>
    <w:rsid w:val="118952C1"/>
    <w:rsid w:val="11AE3079"/>
    <w:rsid w:val="11C10D01"/>
    <w:rsid w:val="11C8641B"/>
    <w:rsid w:val="11D144C4"/>
    <w:rsid w:val="11D76F9D"/>
    <w:rsid w:val="11FD2C94"/>
    <w:rsid w:val="12036C7C"/>
    <w:rsid w:val="1207773A"/>
    <w:rsid w:val="12234CAC"/>
    <w:rsid w:val="122A4A02"/>
    <w:rsid w:val="123A58B6"/>
    <w:rsid w:val="125233B3"/>
    <w:rsid w:val="12585934"/>
    <w:rsid w:val="125E00E4"/>
    <w:rsid w:val="1270619E"/>
    <w:rsid w:val="12711B17"/>
    <w:rsid w:val="12850E18"/>
    <w:rsid w:val="128C14B8"/>
    <w:rsid w:val="12986D2F"/>
    <w:rsid w:val="12BF7962"/>
    <w:rsid w:val="130B6DDD"/>
    <w:rsid w:val="131217B4"/>
    <w:rsid w:val="133B0B00"/>
    <w:rsid w:val="133D4BDE"/>
    <w:rsid w:val="13410D90"/>
    <w:rsid w:val="134174E4"/>
    <w:rsid w:val="13483A77"/>
    <w:rsid w:val="13BF158E"/>
    <w:rsid w:val="13EF1E05"/>
    <w:rsid w:val="13EF6A4B"/>
    <w:rsid w:val="13FC3A9E"/>
    <w:rsid w:val="141137BE"/>
    <w:rsid w:val="14296067"/>
    <w:rsid w:val="142D57A2"/>
    <w:rsid w:val="143E296A"/>
    <w:rsid w:val="14632BC7"/>
    <w:rsid w:val="147A7466"/>
    <w:rsid w:val="14AF79EA"/>
    <w:rsid w:val="14C21791"/>
    <w:rsid w:val="14E31C7F"/>
    <w:rsid w:val="14FC588C"/>
    <w:rsid w:val="15586AD0"/>
    <w:rsid w:val="155A586F"/>
    <w:rsid w:val="157E503E"/>
    <w:rsid w:val="15990FE7"/>
    <w:rsid w:val="15AE6643"/>
    <w:rsid w:val="15BD7F3A"/>
    <w:rsid w:val="15C4071C"/>
    <w:rsid w:val="15CC780C"/>
    <w:rsid w:val="15DA1DF0"/>
    <w:rsid w:val="15EE0BA4"/>
    <w:rsid w:val="166009B4"/>
    <w:rsid w:val="1666016B"/>
    <w:rsid w:val="16732BAC"/>
    <w:rsid w:val="16795D2F"/>
    <w:rsid w:val="168430EC"/>
    <w:rsid w:val="16BB340E"/>
    <w:rsid w:val="16E66094"/>
    <w:rsid w:val="16F2389F"/>
    <w:rsid w:val="16FB709F"/>
    <w:rsid w:val="172C324B"/>
    <w:rsid w:val="177E2873"/>
    <w:rsid w:val="178331CA"/>
    <w:rsid w:val="17847B30"/>
    <w:rsid w:val="178C0399"/>
    <w:rsid w:val="178F4670"/>
    <w:rsid w:val="17965822"/>
    <w:rsid w:val="179733A1"/>
    <w:rsid w:val="179942A5"/>
    <w:rsid w:val="179F245D"/>
    <w:rsid w:val="17BC345F"/>
    <w:rsid w:val="17BE64D3"/>
    <w:rsid w:val="17D15426"/>
    <w:rsid w:val="17D56113"/>
    <w:rsid w:val="17D87D72"/>
    <w:rsid w:val="17F34819"/>
    <w:rsid w:val="18446861"/>
    <w:rsid w:val="186C7DDB"/>
    <w:rsid w:val="18863DC4"/>
    <w:rsid w:val="188D672E"/>
    <w:rsid w:val="18A7276B"/>
    <w:rsid w:val="18D80835"/>
    <w:rsid w:val="18E85DD9"/>
    <w:rsid w:val="18EF3253"/>
    <w:rsid w:val="190B1DF2"/>
    <w:rsid w:val="191617B4"/>
    <w:rsid w:val="19333C21"/>
    <w:rsid w:val="1953607F"/>
    <w:rsid w:val="19876D9C"/>
    <w:rsid w:val="19921327"/>
    <w:rsid w:val="1999604A"/>
    <w:rsid w:val="199E0F04"/>
    <w:rsid w:val="19B004D2"/>
    <w:rsid w:val="19BE3717"/>
    <w:rsid w:val="19C56166"/>
    <w:rsid w:val="19C92961"/>
    <w:rsid w:val="19DB0C9B"/>
    <w:rsid w:val="19E0533A"/>
    <w:rsid w:val="19E954F7"/>
    <w:rsid w:val="19EE0136"/>
    <w:rsid w:val="19EE2F6A"/>
    <w:rsid w:val="19F9259A"/>
    <w:rsid w:val="19FE02AA"/>
    <w:rsid w:val="1A326BC8"/>
    <w:rsid w:val="1A3E297D"/>
    <w:rsid w:val="1A4D7CFC"/>
    <w:rsid w:val="1A7774F3"/>
    <w:rsid w:val="1A807D42"/>
    <w:rsid w:val="1AB30723"/>
    <w:rsid w:val="1ACD695A"/>
    <w:rsid w:val="1AD15C37"/>
    <w:rsid w:val="1AD95810"/>
    <w:rsid w:val="1ADE7637"/>
    <w:rsid w:val="1AF449E9"/>
    <w:rsid w:val="1B255895"/>
    <w:rsid w:val="1B2850B8"/>
    <w:rsid w:val="1B54144D"/>
    <w:rsid w:val="1B575120"/>
    <w:rsid w:val="1B5B7121"/>
    <w:rsid w:val="1B6779E4"/>
    <w:rsid w:val="1BC84825"/>
    <w:rsid w:val="1BD76914"/>
    <w:rsid w:val="1BF0469D"/>
    <w:rsid w:val="1C053A25"/>
    <w:rsid w:val="1C3810AE"/>
    <w:rsid w:val="1C3A69C3"/>
    <w:rsid w:val="1C5F3E4D"/>
    <w:rsid w:val="1C641448"/>
    <w:rsid w:val="1C6624BB"/>
    <w:rsid w:val="1C8F4059"/>
    <w:rsid w:val="1CA10B0A"/>
    <w:rsid w:val="1CA4214E"/>
    <w:rsid w:val="1CA64C0B"/>
    <w:rsid w:val="1CC8504B"/>
    <w:rsid w:val="1CCC48F1"/>
    <w:rsid w:val="1CE64E94"/>
    <w:rsid w:val="1CF709F9"/>
    <w:rsid w:val="1D0732A6"/>
    <w:rsid w:val="1D1D4C21"/>
    <w:rsid w:val="1D5568A0"/>
    <w:rsid w:val="1D891734"/>
    <w:rsid w:val="1D8A50B6"/>
    <w:rsid w:val="1DA11799"/>
    <w:rsid w:val="1DBA0019"/>
    <w:rsid w:val="1DCB2A18"/>
    <w:rsid w:val="1DF355F2"/>
    <w:rsid w:val="1E3321B3"/>
    <w:rsid w:val="1E5B591D"/>
    <w:rsid w:val="1E9169D0"/>
    <w:rsid w:val="1EAC5EF7"/>
    <w:rsid w:val="1ED805FF"/>
    <w:rsid w:val="1EDC2A0A"/>
    <w:rsid w:val="1EF122B4"/>
    <w:rsid w:val="1F3D22A0"/>
    <w:rsid w:val="1F3E2F37"/>
    <w:rsid w:val="1F6B1C28"/>
    <w:rsid w:val="1F8304A6"/>
    <w:rsid w:val="1F9C1840"/>
    <w:rsid w:val="1FB4064B"/>
    <w:rsid w:val="1FCB5603"/>
    <w:rsid w:val="1FE81528"/>
    <w:rsid w:val="1FEC2B45"/>
    <w:rsid w:val="1FF54C74"/>
    <w:rsid w:val="1FFB68D4"/>
    <w:rsid w:val="203630FA"/>
    <w:rsid w:val="2071487E"/>
    <w:rsid w:val="20793A39"/>
    <w:rsid w:val="20806536"/>
    <w:rsid w:val="209B6410"/>
    <w:rsid w:val="20CD5848"/>
    <w:rsid w:val="20DF1C85"/>
    <w:rsid w:val="20F54386"/>
    <w:rsid w:val="210B495A"/>
    <w:rsid w:val="210C5C98"/>
    <w:rsid w:val="211F71FC"/>
    <w:rsid w:val="21404978"/>
    <w:rsid w:val="214F21EB"/>
    <w:rsid w:val="21513C48"/>
    <w:rsid w:val="217D44F6"/>
    <w:rsid w:val="21867A05"/>
    <w:rsid w:val="21931AB4"/>
    <w:rsid w:val="21AB2EE8"/>
    <w:rsid w:val="21B3475E"/>
    <w:rsid w:val="21BC3FD9"/>
    <w:rsid w:val="22001B99"/>
    <w:rsid w:val="223875FB"/>
    <w:rsid w:val="22671A15"/>
    <w:rsid w:val="22741525"/>
    <w:rsid w:val="227855A0"/>
    <w:rsid w:val="22895913"/>
    <w:rsid w:val="22A607D1"/>
    <w:rsid w:val="22F865DD"/>
    <w:rsid w:val="22FE1233"/>
    <w:rsid w:val="23014DDE"/>
    <w:rsid w:val="231529DC"/>
    <w:rsid w:val="23302BF3"/>
    <w:rsid w:val="235D10FB"/>
    <w:rsid w:val="23670C0F"/>
    <w:rsid w:val="23C126BC"/>
    <w:rsid w:val="23C46BF4"/>
    <w:rsid w:val="23CE4732"/>
    <w:rsid w:val="23D62797"/>
    <w:rsid w:val="23F21244"/>
    <w:rsid w:val="242C4E00"/>
    <w:rsid w:val="243F6D48"/>
    <w:rsid w:val="2463233F"/>
    <w:rsid w:val="246573A4"/>
    <w:rsid w:val="246A6892"/>
    <w:rsid w:val="246F2FBD"/>
    <w:rsid w:val="24A47151"/>
    <w:rsid w:val="250746C8"/>
    <w:rsid w:val="251A34C2"/>
    <w:rsid w:val="25264EFD"/>
    <w:rsid w:val="25292459"/>
    <w:rsid w:val="252B2917"/>
    <w:rsid w:val="252B6C30"/>
    <w:rsid w:val="252D35D4"/>
    <w:rsid w:val="25612FC5"/>
    <w:rsid w:val="25697435"/>
    <w:rsid w:val="25864557"/>
    <w:rsid w:val="25B61762"/>
    <w:rsid w:val="25D60650"/>
    <w:rsid w:val="25D61CF2"/>
    <w:rsid w:val="2606757C"/>
    <w:rsid w:val="26130848"/>
    <w:rsid w:val="261D0203"/>
    <w:rsid w:val="261D0B69"/>
    <w:rsid w:val="2626107A"/>
    <w:rsid w:val="265C3D0C"/>
    <w:rsid w:val="26763310"/>
    <w:rsid w:val="267B2E3B"/>
    <w:rsid w:val="26AE4320"/>
    <w:rsid w:val="26DD0AB0"/>
    <w:rsid w:val="26E24075"/>
    <w:rsid w:val="26F71B71"/>
    <w:rsid w:val="26FF64E5"/>
    <w:rsid w:val="27054447"/>
    <w:rsid w:val="270E114A"/>
    <w:rsid w:val="27410F25"/>
    <w:rsid w:val="27506CF0"/>
    <w:rsid w:val="27652278"/>
    <w:rsid w:val="276F02F5"/>
    <w:rsid w:val="2770669A"/>
    <w:rsid w:val="277A23B0"/>
    <w:rsid w:val="283D710D"/>
    <w:rsid w:val="28501538"/>
    <w:rsid w:val="285C0A8F"/>
    <w:rsid w:val="287517B4"/>
    <w:rsid w:val="28864661"/>
    <w:rsid w:val="28864A36"/>
    <w:rsid w:val="288935A0"/>
    <w:rsid w:val="2896542A"/>
    <w:rsid w:val="28AA5F06"/>
    <w:rsid w:val="28C33EDF"/>
    <w:rsid w:val="28C75216"/>
    <w:rsid w:val="28E56ECF"/>
    <w:rsid w:val="28EC318F"/>
    <w:rsid w:val="28F7347C"/>
    <w:rsid w:val="292F5F6D"/>
    <w:rsid w:val="2936454C"/>
    <w:rsid w:val="295806EF"/>
    <w:rsid w:val="29671656"/>
    <w:rsid w:val="29741A43"/>
    <w:rsid w:val="2975666E"/>
    <w:rsid w:val="29782597"/>
    <w:rsid w:val="29834AAB"/>
    <w:rsid w:val="298D4C22"/>
    <w:rsid w:val="298F5C7D"/>
    <w:rsid w:val="29F2675E"/>
    <w:rsid w:val="2A1D15F0"/>
    <w:rsid w:val="2A7360F5"/>
    <w:rsid w:val="2A914B10"/>
    <w:rsid w:val="2AA34D84"/>
    <w:rsid w:val="2AB10B5F"/>
    <w:rsid w:val="2AB15D4C"/>
    <w:rsid w:val="2AB9690A"/>
    <w:rsid w:val="2ACA29F9"/>
    <w:rsid w:val="2AD615DB"/>
    <w:rsid w:val="2AE54911"/>
    <w:rsid w:val="2AFE2E4D"/>
    <w:rsid w:val="2B0275E9"/>
    <w:rsid w:val="2B285603"/>
    <w:rsid w:val="2B38362E"/>
    <w:rsid w:val="2B47468D"/>
    <w:rsid w:val="2B5F3031"/>
    <w:rsid w:val="2BB260B9"/>
    <w:rsid w:val="2BC04CCD"/>
    <w:rsid w:val="2BE601BD"/>
    <w:rsid w:val="2BF91687"/>
    <w:rsid w:val="2BFA6C80"/>
    <w:rsid w:val="2C0D6FB4"/>
    <w:rsid w:val="2C2E636C"/>
    <w:rsid w:val="2C4B615A"/>
    <w:rsid w:val="2C5D79DE"/>
    <w:rsid w:val="2C7D612B"/>
    <w:rsid w:val="2C89597F"/>
    <w:rsid w:val="2C8B3FE3"/>
    <w:rsid w:val="2C974D89"/>
    <w:rsid w:val="2CA57482"/>
    <w:rsid w:val="2CBA0A54"/>
    <w:rsid w:val="2CBA657D"/>
    <w:rsid w:val="2CD27DF2"/>
    <w:rsid w:val="2CF55C2B"/>
    <w:rsid w:val="2CFC1977"/>
    <w:rsid w:val="2D1F68FD"/>
    <w:rsid w:val="2D4322B7"/>
    <w:rsid w:val="2D453646"/>
    <w:rsid w:val="2D727FAF"/>
    <w:rsid w:val="2D746E27"/>
    <w:rsid w:val="2D99212D"/>
    <w:rsid w:val="2DC13644"/>
    <w:rsid w:val="2E037E06"/>
    <w:rsid w:val="2E0713DC"/>
    <w:rsid w:val="2E2D6231"/>
    <w:rsid w:val="2E5F6DD8"/>
    <w:rsid w:val="2E7A3F35"/>
    <w:rsid w:val="2E7D6A2F"/>
    <w:rsid w:val="2E832C08"/>
    <w:rsid w:val="2E890500"/>
    <w:rsid w:val="2E986E0E"/>
    <w:rsid w:val="2E9F462A"/>
    <w:rsid w:val="2EB36D97"/>
    <w:rsid w:val="2EC237A2"/>
    <w:rsid w:val="2EEC50A7"/>
    <w:rsid w:val="2F35441D"/>
    <w:rsid w:val="2F472A4F"/>
    <w:rsid w:val="2F7605A6"/>
    <w:rsid w:val="2F835940"/>
    <w:rsid w:val="2FB23C63"/>
    <w:rsid w:val="2FB57658"/>
    <w:rsid w:val="2FB757B6"/>
    <w:rsid w:val="2FC30F83"/>
    <w:rsid w:val="30170D1C"/>
    <w:rsid w:val="302C6D34"/>
    <w:rsid w:val="30306EB7"/>
    <w:rsid w:val="305B10B8"/>
    <w:rsid w:val="30654C44"/>
    <w:rsid w:val="306A2752"/>
    <w:rsid w:val="3079252B"/>
    <w:rsid w:val="308900D0"/>
    <w:rsid w:val="309007F3"/>
    <w:rsid w:val="30956F18"/>
    <w:rsid w:val="30977755"/>
    <w:rsid w:val="30C75963"/>
    <w:rsid w:val="30E87FB6"/>
    <w:rsid w:val="31070368"/>
    <w:rsid w:val="3115663D"/>
    <w:rsid w:val="313D4EEB"/>
    <w:rsid w:val="31CA74A2"/>
    <w:rsid w:val="31F97C4C"/>
    <w:rsid w:val="31FF0456"/>
    <w:rsid w:val="320F6953"/>
    <w:rsid w:val="320F730C"/>
    <w:rsid w:val="32244F31"/>
    <w:rsid w:val="32273512"/>
    <w:rsid w:val="323C5847"/>
    <w:rsid w:val="323E349E"/>
    <w:rsid w:val="32475520"/>
    <w:rsid w:val="325E0FCD"/>
    <w:rsid w:val="329504DA"/>
    <w:rsid w:val="32A4206E"/>
    <w:rsid w:val="32A861F9"/>
    <w:rsid w:val="32B231BB"/>
    <w:rsid w:val="32BF371B"/>
    <w:rsid w:val="32F87C90"/>
    <w:rsid w:val="33107CAB"/>
    <w:rsid w:val="333A572A"/>
    <w:rsid w:val="333F09D2"/>
    <w:rsid w:val="33417556"/>
    <w:rsid w:val="334D2830"/>
    <w:rsid w:val="33524C1D"/>
    <w:rsid w:val="33574E77"/>
    <w:rsid w:val="335B7976"/>
    <w:rsid w:val="33736088"/>
    <w:rsid w:val="33994D91"/>
    <w:rsid w:val="339B0710"/>
    <w:rsid w:val="33A7075C"/>
    <w:rsid w:val="33B348B2"/>
    <w:rsid w:val="33BB340B"/>
    <w:rsid w:val="33CE316C"/>
    <w:rsid w:val="33DC6110"/>
    <w:rsid w:val="34163EB8"/>
    <w:rsid w:val="343D6C19"/>
    <w:rsid w:val="34421901"/>
    <w:rsid w:val="34610A7F"/>
    <w:rsid w:val="347849A6"/>
    <w:rsid w:val="34953D9D"/>
    <w:rsid w:val="349A0B3F"/>
    <w:rsid w:val="349D22F2"/>
    <w:rsid w:val="349F017A"/>
    <w:rsid w:val="34BE4930"/>
    <w:rsid w:val="34BF2DD7"/>
    <w:rsid w:val="34D26808"/>
    <w:rsid w:val="34FD1652"/>
    <w:rsid w:val="3512165C"/>
    <w:rsid w:val="35303334"/>
    <w:rsid w:val="353C7E0D"/>
    <w:rsid w:val="35963C59"/>
    <w:rsid w:val="35C57FA3"/>
    <w:rsid w:val="35CC0BB0"/>
    <w:rsid w:val="35D902A0"/>
    <w:rsid w:val="35E87C65"/>
    <w:rsid w:val="362A489E"/>
    <w:rsid w:val="362C6120"/>
    <w:rsid w:val="36400B79"/>
    <w:rsid w:val="36490CC1"/>
    <w:rsid w:val="36560BF6"/>
    <w:rsid w:val="366824C6"/>
    <w:rsid w:val="366B2ABB"/>
    <w:rsid w:val="367A69C6"/>
    <w:rsid w:val="36A55F29"/>
    <w:rsid w:val="36B63CAF"/>
    <w:rsid w:val="36C57490"/>
    <w:rsid w:val="36E11DAF"/>
    <w:rsid w:val="371556BE"/>
    <w:rsid w:val="37160012"/>
    <w:rsid w:val="371B0B41"/>
    <w:rsid w:val="371C0CC8"/>
    <w:rsid w:val="37406701"/>
    <w:rsid w:val="376B7224"/>
    <w:rsid w:val="37811598"/>
    <w:rsid w:val="379C5844"/>
    <w:rsid w:val="37AA101E"/>
    <w:rsid w:val="37E76ED4"/>
    <w:rsid w:val="37F66F1E"/>
    <w:rsid w:val="38102038"/>
    <w:rsid w:val="38127025"/>
    <w:rsid w:val="38303451"/>
    <w:rsid w:val="38351984"/>
    <w:rsid w:val="384D531A"/>
    <w:rsid w:val="385F67CE"/>
    <w:rsid w:val="38907820"/>
    <w:rsid w:val="38A758DC"/>
    <w:rsid w:val="38AE01BE"/>
    <w:rsid w:val="38C81F42"/>
    <w:rsid w:val="38D303B1"/>
    <w:rsid w:val="39127B28"/>
    <w:rsid w:val="3919323D"/>
    <w:rsid w:val="391D62E4"/>
    <w:rsid w:val="39227407"/>
    <w:rsid w:val="394E6CEB"/>
    <w:rsid w:val="397D7CEF"/>
    <w:rsid w:val="39A33531"/>
    <w:rsid w:val="39AA0802"/>
    <w:rsid w:val="39CE1967"/>
    <w:rsid w:val="39D53C90"/>
    <w:rsid w:val="39EA3CE7"/>
    <w:rsid w:val="39EB5796"/>
    <w:rsid w:val="3A1A31C0"/>
    <w:rsid w:val="3A1A6584"/>
    <w:rsid w:val="3A1C163F"/>
    <w:rsid w:val="3A2B3E7E"/>
    <w:rsid w:val="3A37661E"/>
    <w:rsid w:val="3A4750A8"/>
    <w:rsid w:val="3A5D560F"/>
    <w:rsid w:val="3A6D7F2F"/>
    <w:rsid w:val="3A6F16E8"/>
    <w:rsid w:val="3A707310"/>
    <w:rsid w:val="3A927246"/>
    <w:rsid w:val="3A952971"/>
    <w:rsid w:val="3AD261BD"/>
    <w:rsid w:val="3AE062DB"/>
    <w:rsid w:val="3AED1425"/>
    <w:rsid w:val="3AF15879"/>
    <w:rsid w:val="3AF64490"/>
    <w:rsid w:val="3B0842EE"/>
    <w:rsid w:val="3B562D5B"/>
    <w:rsid w:val="3B5826F4"/>
    <w:rsid w:val="3B5F7757"/>
    <w:rsid w:val="3B601284"/>
    <w:rsid w:val="3B777B5C"/>
    <w:rsid w:val="3B781CE6"/>
    <w:rsid w:val="3B7E626E"/>
    <w:rsid w:val="3B864260"/>
    <w:rsid w:val="3B992AE9"/>
    <w:rsid w:val="3BB7795D"/>
    <w:rsid w:val="3BBA7A0B"/>
    <w:rsid w:val="3BD340AA"/>
    <w:rsid w:val="3BEF5818"/>
    <w:rsid w:val="3BF86FCE"/>
    <w:rsid w:val="3C1B4E11"/>
    <w:rsid w:val="3C326DE4"/>
    <w:rsid w:val="3C4A2058"/>
    <w:rsid w:val="3C4A4D54"/>
    <w:rsid w:val="3C606703"/>
    <w:rsid w:val="3C6B4B85"/>
    <w:rsid w:val="3C7C0C73"/>
    <w:rsid w:val="3C7E0BCE"/>
    <w:rsid w:val="3CCF7B48"/>
    <w:rsid w:val="3D0D1FE7"/>
    <w:rsid w:val="3D175921"/>
    <w:rsid w:val="3D7026A8"/>
    <w:rsid w:val="3D8A7FAC"/>
    <w:rsid w:val="3DA101E4"/>
    <w:rsid w:val="3DA573B8"/>
    <w:rsid w:val="3DC9403B"/>
    <w:rsid w:val="3DCA4642"/>
    <w:rsid w:val="3DCB3CC7"/>
    <w:rsid w:val="3DD97C96"/>
    <w:rsid w:val="3DD97E35"/>
    <w:rsid w:val="3DE33EE1"/>
    <w:rsid w:val="3DEB7343"/>
    <w:rsid w:val="3DEC3E27"/>
    <w:rsid w:val="3DFE09FD"/>
    <w:rsid w:val="3E094286"/>
    <w:rsid w:val="3E234B30"/>
    <w:rsid w:val="3E347FA2"/>
    <w:rsid w:val="3E5369DA"/>
    <w:rsid w:val="3E5E4259"/>
    <w:rsid w:val="3E6C15E8"/>
    <w:rsid w:val="3E6F4462"/>
    <w:rsid w:val="3E724B92"/>
    <w:rsid w:val="3E882217"/>
    <w:rsid w:val="3ED953B5"/>
    <w:rsid w:val="3EEB47D6"/>
    <w:rsid w:val="3F1823DD"/>
    <w:rsid w:val="3F2318D6"/>
    <w:rsid w:val="3F2A32A1"/>
    <w:rsid w:val="3F5E5646"/>
    <w:rsid w:val="3F7016B2"/>
    <w:rsid w:val="3F85577F"/>
    <w:rsid w:val="3FAC2277"/>
    <w:rsid w:val="3FDC3BA9"/>
    <w:rsid w:val="3FFA50F5"/>
    <w:rsid w:val="400D238C"/>
    <w:rsid w:val="40307D04"/>
    <w:rsid w:val="40367275"/>
    <w:rsid w:val="40463AF3"/>
    <w:rsid w:val="40683F8C"/>
    <w:rsid w:val="40760679"/>
    <w:rsid w:val="407D5838"/>
    <w:rsid w:val="4081484F"/>
    <w:rsid w:val="408C2EBF"/>
    <w:rsid w:val="409071A9"/>
    <w:rsid w:val="40973DB5"/>
    <w:rsid w:val="40C742C9"/>
    <w:rsid w:val="40F74F09"/>
    <w:rsid w:val="41013598"/>
    <w:rsid w:val="410C18DB"/>
    <w:rsid w:val="41142BCE"/>
    <w:rsid w:val="41501D84"/>
    <w:rsid w:val="41690665"/>
    <w:rsid w:val="418276A0"/>
    <w:rsid w:val="41934418"/>
    <w:rsid w:val="41C22E06"/>
    <w:rsid w:val="41D412D7"/>
    <w:rsid w:val="41D83F8B"/>
    <w:rsid w:val="41E96564"/>
    <w:rsid w:val="42290FC3"/>
    <w:rsid w:val="4230026A"/>
    <w:rsid w:val="42306CE2"/>
    <w:rsid w:val="426154D2"/>
    <w:rsid w:val="427C79AD"/>
    <w:rsid w:val="429E13A0"/>
    <w:rsid w:val="429F28E1"/>
    <w:rsid w:val="42A05B8C"/>
    <w:rsid w:val="42CD1C1B"/>
    <w:rsid w:val="42F0130B"/>
    <w:rsid w:val="42F143AF"/>
    <w:rsid w:val="431C1ECD"/>
    <w:rsid w:val="432D7605"/>
    <w:rsid w:val="435A5BFD"/>
    <w:rsid w:val="43806408"/>
    <w:rsid w:val="438A7C88"/>
    <w:rsid w:val="438C04FF"/>
    <w:rsid w:val="438C0C73"/>
    <w:rsid w:val="438E7887"/>
    <w:rsid w:val="43970E10"/>
    <w:rsid w:val="43996E4C"/>
    <w:rsid w:val="43AB4786"/>
    <w:rsid w:val="43DD3946"/>
    <w:rsid w:val="43E338A8"/>
    <w:rsid w:val="44314799"/>
    <w:rsid w:val="44594F2B"/>
    <w:rsid w:val="447B1635"/>
    <w:rsid w:val="4492389E"/>
    <w:rsid w:val="44B26287"/>
    <w:rsid w:val="44D461EC"/>
    <w:rsid w:val="44E01F09"/>
    <w:rsid w:val="44E079D3"/>
    <w:rsid w:val="44F40FC5"/>
    <w:rsid w:val="4501470C"/>
    <w:rsid w:val="45327016"/>
    <w:rsid w:val="454C6D12"/>
    <w:rsid w:val="45676414"/>
    <w:rsid w:val="456A296C"/>
    <w:rsid w:val="456C2B47"/>
    <w:rsid w:val="45754378"/>
    <w:rsid w:val="459110DF"/>
    <w:rsid w:val="45DB050C"/>
    <w:rsid w:val="45F756E8"/>
    <w:rsid w:val="46041001"/>
    <w:rsid w:val="460E154F"/>
    <w:rsid w:val="46376D99"/>
    <w:rsid w:val="46422B83"/>
    <w:rsid w:val="46595CA3"/>
    <w:rsid w:val="4662714B"/>
    <w:rsid w:val="46857093"/>
    <w:rsid w:val="46BE2F1C"/>
    <w:rsid w:val="46C64752"/>
    <w:rsid w:val="46C769A2"/>
    <w:rsid w:val="46E13AD6"/>
    <w:rsid w:val="46FF4C5B"/>
    <w:rsid w:val="472C13B9"/>
    <w:rsid w:val="475257A8"/>
    <w:rsid w:val="477B390A"/>
    <w:rsid w:val="477B7A56"/>
    <w:rsid w:val="47A9308D"/>
    <w:rsid w:val="47B31D76"/>
    <w:rsid w:val="47B423B0"/>
    <w:rsid w:val="47BB0055"/>
    <w:rsid w:val="47DE2E58"/>
    <w:rsid w:val="47F06F35"/>
    <w:rsid w:val="48290D94"/>
    <w:rsid w:val="482C0792"/>
    <w:rsid w:val="483A16FB"/>
    <w:rsid w:val="483E4CDC"/>
    <w:rsid w:val="484B4D5A"/>
    <w:rsid w:val="484B7424"/>
    <w:rsid w:val="485C664B"/>
    <w:rsid w:val="48772346"/>
    <w:rsid w:val="488E51AA"/>
    <w:rsid w:val="48C443B1"/>
    <w:rsid w:val="48F005A0"/>
    <w:rsid w:val="490B09DF"/>
    <w:rsid w:val="490E5E3C"/>
    <w:rsid w:val="490F7DB7"/>
    <w:rsid w:val="491475C1"/>
    <w:rsid w:val="493F22E2"/>
    <w:rsid w:val="4951405F"/>
    <w:rsid w:val="49555134"/>
    <w:rsid w:val="4963110B"/>
    <w:rsid w:val="49865F11"/>
    <w:rsid w:val="49901FD9"/>
    <w:rsid w:val="499022E6"/>
    <w:rsid w:val="49B20BA5"/>
    <w:rsid w:val="49BE39DC"/>
    <w:rsid w:val="49BF7652"/>
    <w:rsid w:val="49CA0A83"/>
    <w:rsid w:val="49CC048E"/>
    <w:rsid w:val="49E40FF1"/>
    <w:rsid w:val="49F469E9"/>
    <w:rsid w:val="4A184153"/>
    <w:rsid w:val="4A4551EF"/>
    <w:rsid w:val="4A564339"/>
    <w:rsid w:val="4A6E2E48"/>
    <w:rsid w:val="4A824D36"/>
    <w:rsid w:val="4A897C3A"/>
    <w:rsid w:val="4AA16E69"/>
    <w:rsid w:val="4AC03CE4"/>
    <w:rsid w:val="4B23312E"/>
    <w:rsid w:val="4B4952A8"/>
    <w:rsid w:val="4B536847"/>
    <w:rsid w:val="4B61073F"/>
    <w:rsid w:val="4B8D076E"/>
    <w:rsid w:val="4BAB415F"/>
    <w:rsid w:val="4BCA699D"/>
    <w:rsid w:val="4C0C54DE"/>
    <w:rsid w:val="4C4D298E"/>
    <w:rsid w:val="4C5015BE"/>
    <w:rsid w:val="4C6C3D64"/>
    <w:rsid w:val="4CA22DC4"/>
    <w:rsid w:val="4CB21CB7"/>
    <w:rsid w:val="4CB72863"/>
    <w:rsid w:val="4CED5AD0"/>
    <w:rsid w:val="4D110BDC"/>
    <w:rsid w:val="4D142675"/>
    <w:rsid w:val="4D1730F9"/>
    <w:rsid w:val="4D1C340C"/>
    <w:rsid w:val="4D4374DA"/>
    <w:rsid w:val="4D6F4BF2"/>
    <w:rsid w:val="4D786D09"/>
    <w:rsid w:val="4D8D4862"/>
    <w:rsid w:val="4D933D85"/>
    <w:rsid w:val="4D9E19AD"/>
    <w:rsid w:val="4DC351A6"/>
    <w:rsid w:val="4DD62F12"/>
    <w:rsid w:val="4E027E4A"/>
    <w:rsid w:val="4E051DF1"/>
    <w:rsid w:val="4E057516"/>
    <w:rsid w:val="4E14694A"/>
    <w:rsid w:val="4E20283C"/>
    <w:rsid w:val="4E20522B"/>
    <w:rsid w:val="4E2F0903"/>
    <w:rsid w:val="4E630E47"/>
    <w:rsid w:val="4E6A2E3D"/>
    <w:rsid w:val="4E703FA4"/>
    <w:rsid w:val="4E794186"/>
    <w:rsid w:val="4E8506FB"/>
    <w:rsid w:val="4EA6214F"/>
    <w:rsid w:val="4EA70578"/>
    <w:rsid w:val="4ED7455B"/>
    <w:rsid w:val="4F0F1616"/>
    <w:rsid w:val="4F113692"/>
    <w:rsid w:val="4F2B7281"/>
    <w:rsid w:val="4F6D0E4E"/>
    <w:rsid w:val="4F9E4F5F"/>
    <w:rsid w:val="4FA37ADA"/>
    <w:rsid w:val="4FBB7906"/>
    <w:rsid w:val="4FC4351D"/>
    <w:rsid w:val="50036906"/>
    <w:rsid w:val="500C40F3"/>
    <w:rsid w:val="5042669B"/>
    <w:rsid w:val="50542E9C"/>
    <w:rsid w:val="508E577D"/>
    <w:rsid w:val="50AA0661"/>
    <w:rsid w:val="50D63B1A"/>
    <w:rsid w:val="50DC7570"/>
    <w:rsid w:val="50F51541"/>
    <w:rsid w:val="50F54EBA"/>
    <w:rsid w:val="50F57394"/>
    <w:rsid w:val="50F86D5D"/>
    <w:rsid w:val="51280695"/>
    <w:rsid w:val="512B6E7F"/>
    <w:rsid w:val="51395C4F"/>
    <w:rsid w:val="5163552A"/>
    <w:rsid w:val="51795AFE"/>
    <w:rsid w:val="51843D2A"/>
    <w:rsid w:val="51A13D19"/>
    <w:rsid w:val="51B2612E"/>
    <w:rsid w:val="51D8383B"/>
    <w:rsid w:val="51EC05EE"/>
    <w:rsid w:val="51F138C9"/>
    <w:rsid w:val="51F917F2"/>
    <w:rsid w:val="521D7217"/>
    <w:rsid w:val="5237320E"/>
    <w:rsid w:val="5240351D"/>
    <w:rsid w:val="52621B6A"/>
    <w:rsid w:val="529A6116"/>
    <w:rsid w:val="52B93F70"/>
    <w:rsid w:val="52F61F8D"/>
    <w:rsid w:val="52FE7ACF"/>
    <w:rsid w:val="53052B26"/>
    <w:rsid w:val="531F0503"/>
    <w:rsid w:val="532225F8"/>
    <w:rsid w:val="53372E59"/>
    <w:rsid w:val="53521357"/>
    <w:rsid w:val="53540FB2"/>
    <w:rsid w:val="537566B5"/>
    <w:rsid w:val="538263F2"/>
    <w:rsid w:val="53862183"/>
    <w:rsid w:val="538C26CE"/>
    <w:rsid w:val="5392349E"/>
    <w:rsid w:val="539A01F6"/>
    <w:rsid w:val="539F270E"/>
    <w:rsid w:val="53BE4CE0"/>
    <w:rsid w:val="53F90D18"/>
    <w:rsid w:val="54653024"/>
    <w:rsid w:val="54701DCE"/>
    <w:rsid w:val="547E703D"/>
    <w:rsid w:val="549A63C0"/>
    <w:rsid w:val="54BB7C47"/>
    <w:rsid w:val="54E33BBE"/>
    <w:rsid w:val="54EC1482"/>
    <w:rsid w:val="550B0F23"/>
    <w:rsid w:val="55113057"/>
    <w:rsid w:val="55265A9F"/>
    <w:rsid w:val="5528330E"/>
    <w:rsid w:val="55486223"/>
    <w:rsid w:val="554F6A61"/>
    <w:rsid w:val="555A37CF"/>
    <w:rsid w:val="556E5650"/>
    <w:rsid w:val="55743CF7"/>
    <w:rsid w:val="5583297B"/>
    <w:rsid w:val="55836015"/>
    <w:rsid w:val="55BA5481"/>
    <w:rsid w:val="55D35048"/>
    <w:rsid w:val="55E34CA6"/>
    <w:rsid w:val="55FA574A"/>
    <w:rsid w:val="56233E6A"/>
    <w:rsid w:val="5630780A"/>
    <w:rsid w:val="566B4AE2"/>
    <w:rsid w:val="56894C7E"/>
    <w:rsid w:val="569634CA"/>
    <w:rsid w:val="56976881"/>
    <w:rsid w:val="56A40896"/>
    <w:rsid w:val="56A50563"/>
    <w:rsid w:val="56AD7B23"/>
    <w:rsid w:val="56AE20CA"/>
    <w:rsid w:val="56B22C34"/>
    <w:rsid w:val="56E71684"/>
    <w:rsid w:val="574A0FDC"/>
    <w:rsid w:val="57565832"/>
    <w:rsid w:val="577B4BDC"/>
    <w:rsid w:val="578B00DA"/>
    <w:rsid w:val="57D30A9F"/>
    <w:rsid w:val="57FC4F52"/>
    <w:rsid w:val="580805D6"/>
    <w:rsid w:val="582A70B4"/>
    <w:rsid w:val="5841525F"/>
    <w:rsid w:val="58446CD9"/>
    <w:rsid w:val="58464F1F"/>
    <w:rsid w:val="58501E9A"/>
    <w:rsid w:val="586F3AEE"/>
    <w:rsid w:val="587C4C35"/>
    <w:rsid w:val="587C5305"/>
    <w:rsid w:val="587E4E7F"/>
    <w:rsid w:val="588F1214"/>
    <w:rsid w:val="589E4DB3"/>
    <w:rsid w:val="589E60A9"/>
    <w:rsid w:val="58C33262"/>
    <w:rsid w:val="58C364A5"/>
    <w:rsid w:val="58C6720B"/>
    <w:rsid w:val="58DF3D9A"/>
    <w:rsid w:val="58E12BB4"/>
    <w:rsid w:val="58EF737C"/>
    <w:rsid w:val="58FB3C38"/>
    <w:rsid w:val="59137676"/>
    <w:rsid w:val="59384716"/>
    <w:rsid w:val="59696C37"/>
    <w:rsid w:val="59837008"/>
    <w:rsid w:val="599421AF"/>
    <w:rsid w:val="59CE5ADC"/>
    <w:rsid w:val="59E1266E"/>
    <w:rsid w:val="59F23F7E"/>
    <w:rsid w:val="59F43118"/>
    <w:rsid w:val="59F67F35"/>
    <w:rsid w:val="59FF3762"/>
    <w:rsid w:val="5A291BC8"/>
    <w:rsid w:val="5A7A2614"/>
    <w:rsid w:val="5A8361FF"/>
    <w:rsid w:val="5ABE6438"/>
    <w:rsid w:val="5AC46E0D"/>
    <w:rsid w:val="5AD25357"/>
    <w:rsid w:val="5AE030C6"/>
    <w:rsid w:val="5B047D28"/>
    <w:rsid w:val="5B0964A7"/>
    <w:rsid w:val="5B4551E6"/>
    <w:rsid w:val="5B692FD8"/>
    <w:rsid w:val="5B6B0662"/>
    <w:rsid w:val="5B7A1106"/>
    <w:rsid w:val="5B8D00E1"/>
    <w:rsid w:val="5B8F7ED7"/>
    <w:rsid w:val="5BA64F6F"/>
    <w:rsid w:val="5BD11E64"/>
    <w:rsid w:val="5C061FAD"/>
    <w:rsid w:val="5C0A3A0B"/>
    <w:rsid w:val="5C2565DA"/>
    <w:rsid w:val="5C3079D0"/>
    <w:rsid w:val="5C320397"/>
    <w:rsid w:val="5C3B07CF"/>
    <w:rsid w:val="5C42310C"/>
    <w:rsid w:val="5C5464FE"/>
    <w:rsid w:val="5C5A4B42"/>
    <w:rsid w:val="5CA816DA"/>
    <w:rsid w:val="5CAD79C8"/>
    <w:rsid w:val="5CB576AE"/>
    <w:rsid w:val="5CB60088"/>
    <w:rsid w:val="5CE451BB"/>
    <w:rsid w:val="5CE77D90"/>
    <w:rsid w:val="5CEC6D7D"/>
    <w:rsid w:val="5D103889"/>
    <w:rsid w:val="5D1544A2"/>
    <w:rsid w:val="5D16452F"/>
    <w:rsid w:val="5D422F22"/>
    <w:rsid w:val="5D4A7C23"/>
    <w:rsid w:val="5D6F25F8"/>
    <w:rsid w:val="5D724798"/>
    <w:rsid w:val="5D751AFA"/>
    <w:rsid w:val="5D8D4289"/>
    <w:rsid w:val="5DAA53A4"/>
    <w:rsid w:val="5DBD74A6"/>
    <w:rsid w:val="5DBE3338"/>
    <w:rsid w:val="5E0F2423"/>
    <w:rsid w:val="5E123412"/>
    <w:rsid w:val="5E1D5C95"/>
    <w:rsid w:val="5E1F35C8"/>
    <w:rsid w:val="5E433155"/>
    <w:rsid w:val="5E444E78"/>
    <w:rsid w:val="5E4F1377"/>
    <w:rsid w:val="5E4F6745"/>
    <w:rsid w:val="5E52463B"/>
    <w:rsid w:val="5E612697"/>
    <w:rsid w:val="5E65106E"/>
    <w:rsid w:val="5E7218A8"/>
    <w:rsid w:val="5EBF17E4"/>
    <w:rsid w:val="5ECC701D"/>
    <w:rsid w:val="5EDF43B1"/>
    <w:rsid w:val="5EEE3BED"/>
    <w:rsid w:val="5F0E2420"/>
    <w:rsid w:val="5F0F5E65"/>
    <w:rsid w:val="5F292790"/>
    <w:rsid w:val="5F34511D"/>
    <w:rsid w:val="5F5221C6"/>
    <w:rsid w:val="5F5B7C15"/>
    <w:rsid w:val="5F600D95"/>
    <w:rsid w:val="5F6D5D6F"/>
    <w:rsid w:val="5F8B64F3"/>
    <w:rsid w:val="5FBA4BE9"/>
    <w:rsid w:val="5FD87347"/>
    <w:rsid w:val="5FF94FFB"/>
    <w:rsid w:val="60035096"/>
    <w:rsid w:val="603D3AD2"/>
    <w:rsid w:val="603D787B"/>
    <w:rsid w:val="605269B4"/>
    <w:rsid w:val="60576FFA"/>
    <w:rsid w:val="606A3EB6"/>
    <w:rsid w:val="609A04B4"/>
    <w:rsid w:val="609D648E"/>
    <w:rsid w:val="60A05FCF"/>
    <w:rsid w:val="60C37962"/>
    <w:rsid w:val="60DF6AA1"/>
    <w:rsid w:val="60E90212"/>
    <w:rsid w:val="61295C3D"/>
    <w:rsid w:val="614E0ED3"/>
    <w:rsid w:val="61542CC5"/>
    <w:rsid w:val="6157305D"/>
    <w:rsid w:val="618750B0"/>
    <w:rsid w:val="61B97D10"/>
    <w:rsid w:val="61DD6D85"/>
    <w:rsid w:val="61DE58A6"/>
    <w:rsid w:val="61E912E5"/>
    <w:rsid w:val="61FC11F4"/>
    <w:rsid w:val="623518FA"/>
    <w:rsid w:val="62395FE2"/>
    <w:rsid w:val="62537BC9"/>
    <w:rsid w:val="6258531E"/>
    <w:rsid w:val="626D1A28"/>
    <w:rsid w:val="62806451"/>
    <w:rsid w:val="62BB1A34"/>
    <w:rsid w:val="62BB52C4"/>
    <w:rsid w:val="62BF6A3E"/>
    <w:rsid w:val="62F3528B"/>
    <w:rsid w:val="6307467D"/>
    <w:rsid w:val="630D2C41"/>
    <w:rsid w:val="63367071"/>
    <w:rsid w:val="63574025"/>
    <w:rsid w:val="63582B26"/>
    <w:rsid w:val="637D4B55"/>
    <w:rsid w:val="638577A4"/>
    <w:rsid w:val="63945412"/>
    <w:rsid w:val="63A67280"/>
    <w:rsid w:val="63B1636D"/>
    <w:rsid w:val="63DD206C"/>
    <w:rsid w:val="64053D7B"/>
    <w:rsid w:val="641B0012"/>
    <w:rsid w:val="641E6435"/>
    <w:rsid w:val="64233C59"/>
    <w:rsid w:val="642B503B"/>
    <w:rsid w:val="64397765"/>
    <w:rsid w:val="645077B3"/>
    <w:rsid w:val="64935B0D"/>
    <w:rsid w:val="64E85C9E"/>
    <w:rsid w:val="64FC1C4E"/>
    <w:rsid w:val="65117952"/>
    <w:rsid w:val="65441B78"/>
    <w:rsid w:val="655149F5"/>
    <w:rsid w:val="655C329C"/>
    <w:rsid w:val="65647FC8"/>
    <w:rsid w:val="656E64C0"/>
    <w:rsid w:val="656F578F"/>
    <w:rsid w:val="65733134"/>
    <w:rsid w:val="659066A5"/>
    <w:rsid w:val="65A51CAA"/>
    <w:rsid w:val="65AA297B"/>
    <w:rsid w:val="65AB6924"/>
    <w:rsid w:val="65BC7721"/>
    <w:rsid w:val="65D143D0"/>
    <w:rsid w:val="65DA19E7"/>
    <w:rsid w:val="65DF2151"/>
    <w:rsid w:val="65E409A7"/>
    <w:rsid w:val="66050673"/>
    <w:rsid w:val="662A6D56"/>
    <w:rsid w:val="66333B1D"/>
    <w:rsid w:val="663E2DA0"/>
    <w:rsid w:val="666B6D06"/>
    <w:rsid w:val="666D406B"/>
    <w:rsid w:val="669968B1"/>
    <w:rsid w:val="66ED2009"/>
    <w:rsid w:val="67337D1C"/>
    <w:rsid w:val="67464E3C"/>
    <w:rsid w:val="675C3AE6"/>
    <w:rsid w:val="675F4E38"/>
    <w:rsid w:val="6760310A"/>
    <w:rsid w:val="67763743"/>
    <w:rsid w:val="67897784"/>
    <w:rsid w:val="67B266CC"/>
    <w:rsid w:val="67B878EA"/>
    <w:rsid w:val="67C52776"/>
    <w:rsid w:val="67C83B5A"/>
    <w:rsid w:val="67D12952"/>
    <w:rsid w:val="67E80F4D"/>
    <w:rsid w:val="68053F82"/>
    <w:rsid w:val="68301730"/>
    <w:rsid w:val="68301C40"/>
    <w:rsid w:val="68664484"/>
    <w:rsid w:val="687B3308"/>
    <w:rsid w:val="68814C48"/>
    <w:rsid w:val="688923DD"/>
    <w:rsid w:val="689041E1"/>
    <w:rsid w:val="68B11D34"/>
    <w:rsid w:val="68BD5926"/>
    <w:rsid w:val="68E00168"/>
    <w:rsid w:val="691855F9"/>
    <w:rsid w:val="691C7CE7"/>
    <w:rsid w:val="69236225"/>
    <w:rsid w:val="6928060C"/>
    <w:rsid w:val="69382055"/>
    <w:rsid w:val="699947AD"/>
    <w:rsid w:val="69B1547B"/>
    <w:rsid w:val="69BD239B"/>
    <w:rsid w:val="69EA7483"/>
    <w:rsid w:val="6A1A2BF9"/>
    <w:rsid w:val="6A3200EC"/>
    <w:rsid w:val="6A353875"/>
    <w:rsid w:val="6A4D09DA"/>
    <w:rsid w:val="6A780B0E"/>
    <w:rsid w:val="6A7C1743"/>
    <w:rsid w:val="6A972EB3"/>
    <w:rsid w:val="6AE13C10"/>
    <w:rsid w:val="6B364168"/>
    <w:rsid w:val="6B4F491C"/>
    <w:rsid w:val="6B53718C"/>
    <w:rsid w:val="6B595828"/>
    <w:rsid w:val="6B6C3FD2"/>
    <w:rsid w:val="6B99345E"/>
    <w:rsid w:val="6BC10BDB"/>
    <w:rsid w:val="6BC34582"/>
    <w:rsid w:val="6BDC793A"/>
    <w:rsid w:val="6BF31F8B"/>
    <w:rsid w:val="6BF5177C"/>
    <w:rsid w:val="6C3D770D"/>
    <w:rsid w:val="6C463F5E"/>
    <w:rsid w:val="6C666CC6"/>
    <w:rsid w:val="6C786B52"/>
    <w:rsid w:val="6C800E3A"/>
    <w:rsid w:val="6C9F34B2"/>
    <w:rsid w:val="6CBB3C1F"/>
    <w:rsid w:val="6CD622E6"/>
    <w:rsid w:val="6CD67C59"/>
    <w:rsid w:val="6CF05DEF"/>
    <w:rsid w:val="6CFF7D01"/>
    <w:rsid w:val="6D13058B"/>
    <w:rsid w:val="6D1A3721"/>
    <w:rsid w:val="6D2B7105"/>
    <w:rsid w:val="6D3A41F4"/>
    <w:rsid w:val="6D570EFA"/>
    <w:rsid w:val="6D695367"/>
    <w:rsid w:val="6D700CC6"/>
    <w:rsid w:val="6D78396E"/>
    <w:rsid w:val="6DA77B6C"/>
    <w:rsid w:val="6DBC2ABA"/>
    <w:rsid w:val="6DD61215"/>
    <w:rsid w:val="6DDD38A2"/>
    <w:rsid w:val="6E227A5A"/>
    <w:rsid w:val="6E7346AC"/>
    <w:rsid w:val="6E803B74"/>
    <w:rsid w:val="6ED97FC9"/>
    <w:rsid w:val="6F153844"/>
    <w:rsid w:val="6F342442"/>
    <w:rsid w:val="6F343D34"/>
    <w:rsid w:val="6F410C11"/>
    <w:rsid w:val="6F6B25B2"/>
    <w:rsid w:val="6F7C48F8"/>
    <w:rsid w:val="6FB2083E"/>
    <w:rsid w:val="6FC25C19"/>
    <w:rsid w:val="6FF724CC"/>
    <w:rsid w:val="6FF77CFF"/>
    <w:rsid w:val="6FF958E2"/>
    <w:rsid w:val="700857B0"/>
    <w:rsid w:val="70204ADB"/>
    <w:rsid w:val="703972CF"/>
    <w:rsid w:val="704903E5"/>
    <w:rsid w:val="704F18B1"/>
    <w:rsid w:val="70544DC3"/>
    <w:rsid w:val="70907FA9"/>
    <w:rsid w:val="709538E2"/>
    <w:rsid w:val="70D316A7"/>
    <w:rsid w:val="70F57A18"/>
    <w:rsid w:val="71213C16"/>
    <w:rsid w:val="71442667"/>
    <w:rsid w:val="715B69B3"/>
    <w:rsid w:val="717462AF"/>
    <w:rsid w:val="7183572E"/>
    <w:rsid w:val="71857196"/>
    <w:rsid w:val="71AB1ED7"/>
    <w:rsid w:val="71AE01F2"/>
    <w:rsid w:val="71B3383A"/>
    <w:rsid w:val="71DB1DAF"/>
    <w:rsid w:val="71DD13F8"/>
    <w:rsid w:val="72011912"/>
    <w:rsid w:val="720C1101"/>
    <w:rsid w:val="72467C1F"/>
    <w:rsid w:val="725976F3"/>
    <w:rsid w:val="726A0A7C"/>
    <w:rsid w:val="727A5BCA"/>
    <w:rsid w:val="729C77B8"/>
    <w:rsid w:val="72A22748"/>
    <w:rsid w:val="72AA3142"/>
    <w:rsid w:val="72DF0689"/>
    <w:rsid w:val="72ED2942"/>
    <w:rsid w:val="730404D6"/>
    <w:rsid w:val="73381787"/>
    <w:rsid w:val="73695D2B"/>
    <w:rsid w:val="736B7A41"/>
    <w:rsid w:val="73806150"/>
    <w:rsid w:val="73972D89"/>
    <w:rsid w:val="7399020E"/>
    <w:rsid w:val="73AF3801"/>
    <w:rsid w:val="73CE756D"/>
    <w:rsid w:val="73D6597C"/>
    <w:rsid w:val="73ED55C8"/>
    <w:rsid w:val="73FD2C29"/>
    <w:rsid w:val="74176866"/>
    <w:rsid w:val="741C78A1"/>
    <w:rsid w:val="742B6F9F"/>
    <w:rsid w:val="743C6D44"/>
    <w:rsid w:val="744E07CE"/>
    <w:rsid w:val="74615EF8"/>
    <w:rsid w:val="74667FD7"/>
    <w:rsid w:val="748F26AC"/>
    <w:rsid w:val="749961C9"/>
    <w:rsid w:val="74996712"/>
    <w:rsid w:val="74B22205"/>
    <w:rsid w:val="74B27097"/>
    <w:rsid w:val="752B3932"/>
    <w:rsid w:val="75321710"/>
    <w:rsid w:val="753B6CAE"/>
    <w:rsid w:val="753D0D7A"/>
    <w:rsid w:val="75565BD5"/>
    <w:rsid w:val="75727456"/>
    <w:rsid w:val="757B0F73"/>
    <w:rsid w:val="75B25376"/>
    <w:rsid w:val="75B31CF5"/>
    <w:rsid w:val="76005B9C"/>
    <w:rsid w:val="76291F8A"/>
    <w:rsid w:val="76442BCA"/>
    <w:rsid w:val="765B0F3B"/>
    <w:rsid w:val="766E031D"/>
    <w:rsid w:val="76860818"/>
    <w:rsid w:val="768B622F"/>
    <w:rsid w:val="76922E26"/>
    <w:rsid w:val="769F3C9B"/>
    <w:rsid w:val="76C5393B"/>
    <w:rsid w:val="76E648E4"/>
    <w:rsid w:val="77420534"/>
    <w:rsid w:val="777B2FDC"/>
    <w:rsid w:val="777C5090"/>
    <w:rsid w:val="7797435F"/>
    <w:rsid w:val="77A5529E"/>
    <w:rsid w:val="77B10F21"/>
    <w:rsid w:val="77B24AAD"/>
    <w:rsid w:val="77D81847"/>
    <w:rsid w:val="77F53679"/>
    <w:rsid w:val="78233125"/>
    <w:rsid w:val="782754A6"/>
    <w:rsid w:val="784B3EE0"/>
    <w:rsid w:val="786151B9"/>
    <w:rsid w:val="787425C2"/>
    <w:rsid w:val="78855B43"/>
    <w:rsid w:val="78894C4E"/>
    <w:rsid w:val="78A13DB9"/>
    <w:rsid w:val="78C53135"/>
    <w:rsid w:val="78DB67CD"/>
    <w:rsid w:val="78DC2573"/>
    <w:rsid w:val="78EA481B"/>
    <w:rsid w:val="7907120B"/>
    <w:rsid w:val="79182667"/>
    <w:rsid w:val="79473746"/>
    <w:rsid w:val="79596CEF"/>
    <w:rsid w:val="796131C1"/>
    <w:rsid w:val="7972387E"/>
    <w:rsid w:val="7990558B"/>
    <w:rsid w:val="79D0698F"/>
    <w:rsid w:val="7A057C20"/>
    <w:rsid w:val="7A097DE4"/>
    <w:rsid w:val="7A0E25F3"/>
    <w:rsid w:val="7A4034E2"/>
    <w:rsid w:val="7A493A36"/>
    <w:rsid w:val="7A4D4D4B"/>
    <w:rsid w:val="7A5B1ACD"/>
    <w:rsid w:val="7A7A608C"/>
    <w:rsid w:val="7A9C11E4"/>
    <w:rsid w:val="7AAC4A2C"/>
    <w:rsid w:val="7AB9442C"/>
    <w:rsid w:val="7ABD24A8"/>
    <w:rsid w:val="7ABD3215"/>
    <w:rsid w:val="7AE3071B"/>
    <w:rsid w:val="7AFC42A5"/>
    <w:rsid w:val="7B01710B"/>
    <w:rsid w:val="7B1C1284"/>
    <w:rsid w:val="7B2A2B75"/>
    <w:rsid w:val="7B2D6ADE"/>
    <w:rsid w:val="7B363F2E"/>
    <w:rsid w:val="7B4A52A6"/>
    <w:rsid w:val="7B6A633C"/>
    <w:rsid w:val="7B901B4B"/>
    <w:rsid w:val="7BB35188"/>
    <w:rsid w:val="7BD6067E"/>
    <w:rsid w:val="7BE02FF5"/>
    <w:rsid w:val="7BEB0A34"/>
    <w:rsid w:val="7C013F88"/>
    <w:rsid w:val="7C0E541D"/>
    <w:rsid w:val="7C1841DA"/>
    <w:rsid w:val="7C1F3025"/>
    <w:rsid w:val="7C24279E"/>
    <w:rsid w:val="7C2A1F85"/>
    <w:rsid w:val="7C3F2943"/>
    <w:rsid w:val="7C40093B"/>
    <w:rsid w:val="7C463125"/>
    <w:rsid w:val="7C6341E9"/>
    <w:rsid w:val="7C661FBE"/>
    <w:rsid w:val="7C71514F"/>
    <w:rsid w:val="7C781545"/>
    <w:rsid w:val="7C81686B"/>
    <w:rsid w:val="7CA019A0"/>
    <w:rsid w:val="7CA30C2B"/>
    <w:rsid w:val="7CB24112"/>
    <w:rsid w:val="7CB73E87"/>
    <w:rsid w:val="7CC54E48"/>
    <w:rsid w:val="7CF576BF"/>
    <w:rsid w:val="7D0D1121"/>
    <w:rsid w:val="7D134E0B"/>
    <w:rsid w:val="7D4869EB"/>
    <w:rsid w:val="7D580518"/>
    <w:rsid w:val="7D653A43"/>
    <w:rsid w:val="7D7707E4"/>
    <w:rsid w:val="7D986B75"/>
    <w:rsid w:val="7DBF07AF"/>
    <w:rsid w:val="7DC2049F"/>
    <w:rsid w:val="7DCA2A01"/>
    <w:rsid w:val="7DCE0F00"/>
    <w:rsid w:val="7DE508DC"/>
    <w:rsid w:val="7DF961F2"/>
    <w:rsid w:val="7E0050DE"/>
    <w:rsid w:val="7E194874"/>
    <w:rsid w:val="7E1E6887"/>
    <w:rsid w:val="7E405C39"/>
    <w:rsid w:val="7E4E4D10"/>
    <w:rsid w:val="7E8B75CE"/>
    <w:rsid w:val="7E8D7E49"/>
    <w:rsid w:val="7EA62136"/>
    <w:rsid w:val="7EB64DF2"/>
    <w:rsid w:val="7EE24B20"/>
    <w:rsid w:val="7EF57108"/>
    <w:rsid w:val="7F0D0B3F"/>
    <w:rsid w:val="7F0E6D45"/>
    <w:rsid w:val="7F10663E"/>
    <w:rsid w:val="7F1A00B4"/>
    <w:rsid w:val="7F395965"/>
    <w:rsid w:val="7F4329A9"/>
    <w:rsid w:val="7F5F4F5D"/>
    <w:rsid w:val="7F6443B5"/>
    <w:rsid w:val="7F673136"/>
    <w:rsid w:val="7F736048"/>
    <w:rsid w:val="7F81172B"/>
    <w:rsid w:val="7F8A7D91"/>
    <w:rsid w:val="7F922C94"/>
    <w:rsid w:val="7F9243C7"/>
    <w:rsid w:val="7F952317"/>
    <w:rsid w:val="7F96153F"/>
    <w:rsid w:val="7FA54E2E"/>
    <w:rsid w:val="7FF546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name="toc 1"/>
    <w:lsdException w:qFormat="1" w:unhideWhenUsed="0" w:uiPriority="39" w:semiHidden="0" w:name="toc 2"/>
    <w:lsdException w:qFormat="1" w:unhideWhenUsed="0" w:uiPriority="39" w:semiHidden="0" w:name="toc 3"/>
    <w:lsdException w:uiPriority="0" w:name="toc 4"/>
    <w:lsdException w:qFormat="1" w:unhideWhenUsed="0"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99"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6"/>
    <w:qFormat/>
    <w:uiPriority w:val="0"/>
    <w:pPr>
      <w:keepNext/>
      <w:keepLines/>
      <w:spacing w:before="340" w:after="330" w:line="578" w:lineRule="auto"/>
      <w:outlineLvl w:val="0"/>
    </w:pPr>
    <w:rPr>
      <w:b/>
      <w:bCs/>
      <w:kern w:val="44"/>
      <w:sz w:val="44"/>
      <w:szCs w:val="44"/>
    </w:rPr>
  </w:style>
  <w:style w:type="paragraph" w:styleId="2">
    <w:name w:val="heading 2"/>
    <w:basedOn w:val="1"/>
    <w:next w:val="3"/>
    <w:link w:val="57"/>
    <w:qFormat/>
    <w:uiPriority w:val="0"/>
    <w:pPr>
      <w:pageBreakBefore/>
      <w:snapToGrid w:val="0"/>
      <w:spacing w:line="360" w:lineRule="auto"/>
      <w:outlineLvl w:val="1"/>
    </w:pPr>
    <w:rPr>
      <w:b/>
      <w:color w:val="000000"/>
      <w:sz w:val="24"/>
    </w:rPr>
  </w:style>
  <w:style w:type="paragraph" w:styleId="5">
    <w:name w:val="heading 3"/>
    <w:basedOn w:val="1"/>
    <w:next w:val="1"/>
    <w:link w:val="58"/>
    <w:qFormat/>
    <w:uiPriority w:val="0"/>
    <w:pPr>
      <w:spacing w:line="415" w:lineRule="auto"/>
      <w:ind w:firstLine="480" w:firstLineChars="200"/>
      <w:outlineLvl w:val="2"/>
    </w:pPr>
    <w:rPr>
      <w:sz w:val="24"/>
    </w:rPr>
  </w:style>
  <w:style w:type="paragraph" w:styleId="6">
    <w:name w:val="heading 4"/>
    <w:basedOn w:val="1"/>
    <w:next w:val="1"/>
    <w:qFormat/>
    <w:uiPriority w:val="0"/>
    <w:pPr>
      <w:adjustRightInd w:val="0"/>
      <w:spacing w:line="460" w:lineRule="exact"/>
      <w:jc w:val="left"/>
      <w:textAlignment w:val="baseline"/>
      <w:outlineLvl w:val="3"/>
    </w:pPr>
    <w:rPr>
      <w:kern w:val="0"/>
      <w:sz w:val="24"/>
      <w:szCs w:val="20"/>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adjustRightInd w:val="0"/>
      <w:spacing w:line="460" w:lineRule="exact"/>
      <w:ind w:left="964" w:hanging="340"/>
      <w:jc w:val="left"/>
      <w:textAlignment w:val="baseline"/>
      <w:outlineLvl w:val="6"/>
    </w:pPr>
    <w:rPr>
      <w:kern w:val="0"/>
      <w:sz w:val="24"/>
      <w:szCs w:val="20"/>
    </w:rPr>
  </w:style>
  <w:style w:type="paragraph" w:styleId="10">
    <w:name w:val="heading 8"/>
    <w:basedOn w:val="1"/>
    <w:next w:val="1"/>
    <w:qFormat/>
    <w:uiPriority w:val="0"/>
    <w:pPr>
      <w:adjustRightInd w:val="0"/>
      <w:spacing w:line="460" w:lineRule="exact"/>
      <w:ind w:left="1021" w:hanging="284"/>
      <w:jc w:val="left"/>
      <w:textAlignment w:val="baseline"/>
      <w:outlineLvl w:val="7"/>
    </w:pPr>
    <w:rPr>
      <w:kern w:val="0"/>
      <w:sz w:val="24"/>
      <w:szCs w:val="20"/>
    </w:rPr>
  </w:style>
  <w:style w:type="paragraph" w:styleId="11">
    <w:name w:val="heading 9"/>
    <w:basedOn w:val="1"/>
    <w:next w:val="1"/>
    <w:qFormat/>
    <w:uiPriority w:val="0"/>
    <w:pPr>
      <w:keepNext/>
      <w:keepLines/>
      <w:adjustRightInd w:val="0"/>
      <w:spacing w:before="240" w:after="64" w:line="320" w:lineRule="atLeast"/>
      <w:jc w:val="lef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63"/>
    <w:qFormat/>
    <w:uiPriority w:val="0"/>
    <w:pPr>
      <w:ind w:firstLine="420"/>
    </w:pPr>
    <w:rPr>
      <w:szCs w:val="20"/>
    </w:rPr>
  </w:style>
  <w:style w:type="paragraph" w:styleId="12">
    <w:name w:val="caption"/>
    <w:basedOn w:val="1"/>
    <w:next w:val="1"/>
    <w:qFormat/>
    <w:uiPriority w:val="0"/>
    <w:pPr>
      <w:widowControl/>
      <w:jc w:val="center"/>
    </w:pPr>
    <w:rPr>
      <w:rFonts w:ascii="Arial" w:hAnsi="Arial" w:cs="Arial"/>
      <w:kern w:val="0"/>
      <w:sz w:val="24"/>
      <w:szCs w:val="20"/>
    </w:rPr>
  </w:style>
  <w:style w:type="paragraph" w:styleId="13">
    <w:name w:val="Document Map"/>
    <w:basedOn w:val="1"/>
    <w:link w:val="64"/>
    <w:semiHidden/>
    <w:qFormat/>
    <w:uiPriority w:val="99"/>
    <w:pPr>
      <w:shd w:val="clear" w:color="auto" w:fill="000080"/>
    </w:pPr>
  </w:style>
  <w:style w:type="paragraph" w:styleId="14">
    <w:name w:val="annotation text"/>
    <w:basedOn w:val="1"/>
    <w:link w:val="59"/>
    <w:qFormat/>
    <w:uiPriority w:val="99"/>
    <w:pPr>
      <w:jc w:val="left"/>
    </w:pPr>
  </w:style>
  <w:style w:type="paragraph" w:styleId="15">
    <w:name w:val="Body Text 3"/>
    <w:basedOn w:val="1"/>
    <w:qFormat/>
    <w:uiPriority w:val="0"/>
    <w:pPr>
      <w:spacing w:after="120"/>
    </w:pPr>
    <w:rPr>
      <w:sz w:val="16"/>
      <w:szCs w:val="16"/>
    </w:rPr>
  </w:style>
  <w:style w:type="paragraph" w:styleId="16">
    <w:name w:val="Body Text"/>
    <w:basedOn w:val="1"/>
    <w:next w:val="17"/>
    <w:link w:val="61"/>
    <w:qFormat/>
    <w:uiPriority w:val="0"/>
    <w:rPr>
      <w:b/>
      <w:bCs/>
      <w:sz w:val="24"/>
    </w:rPr>
  </w:style>
  <w:style w:type="paragraph" w:customStyle="1" w:styleId="17">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8">
    <w:name w:val="Body Text Indent"/>
    <w:basedOn w:val="1"/>
    <w:next w:val="1"/>
    <w:link w:val="65"/>
    <w:qFormat/>
    <w:uiPriority w:val="99"/>
    <w:pPr>
      <w:spacing w:line="360" w:lineRule="auto"/>
      <w:ind w:firstLine="482" w:firstLineChars="200"/>
    </w:pPr>
    <w:rPr>
      <w:b/>
      <w:bCs/>
      <w:sz w:val="24"/>
    </w:rPr>
  </w:style>
  <w:style w:type="paragraph" w:styleId="19">
    <w:name w:val="List Bullet 2"/>
    <w:basedOn w:val="1"/>
    <w:next w:val="20"/>
    <w:qFormat/>
    <w:uiPriority w:val="0"/>
    <w:pPr>
      <w:adjustRightInd w:val="0"/>
      <w:spacing w:line="340" w:lineRule="exact"/>
      <w:jc w:val="center"/>
      <w:textAlignment w:val="baseline"/>
    </w:pPr>
    <w:rPr>
      <w:sz w:val="24"/>
      <w:szCs w:val="20"/>
    </w:rPr>
  </w:style>
  <w:style w:type="paragraph" w:styleId="20">
    <w:name w:val="Body Text First Indent"/>
    <w:basedOn w:val="16"/>
    <w:next w:val="1"/>
    <w:link w:val="62"/>
    <w:qFormat/>
    <w:uiPriority w:val="99"/>
    <w:pPr>
      <w:spacing w:after="120"/>
      <w:ind w:firstLine="420"/>
    </w:pPr>
    <w:rPr>
      <w:b w:val="0"/>
      <w:bCs w:val="0"/>
      <w:sz w:val="21"/>
    </w:rPr>
  </w:style>
  <w:style w:type="paragraph" w:styleId="21">
    <w:name w:val="toc 5"/>
    <w:basedOn w:val="1"/>
    <w:next w:val="1"/>
    <w:semiHidden/>
    <w:qFormat/>
    <w:uiPriority w:val="0"/>
    <w:pPr>
      <w:adjustRightInd w:val="0"/>
      <w:spacing w:before="120" w:line="360" w:lineRule="auto"/>
      <w:ind w:firstLine="360" w:firstLineChars="150"/>
    </w:pPr>
    <w:rPr>
      <w:rFonts w:hAnsi="宋体"/>
      <w:sz w:val="24"/>
    </w:rPr>
  </w:style>
  <w:style w:type="paragraph" w:styleId="22">
    <w:name w:val="toc 3"/>
    <w:basedOn w:val="1"/>
    <w:next w:val="1"/>
    <w:qFormat/>
    <w:uiPriority w:val="39"/>
    <w:pPr>
      <w:tabs>
        <w:tab w:val="right" w:leader="dot" w:pos="8511"/>
      </w:tabs>
      <w:spacing w:line="360" w:lineRule="auto"/>
      <w:ind w:firstLine="643"/>
      <w:jc w:val="center"/>
    </w:pPr>
    <w:rPr>
      <w:rFonts w:ascii="Arial" w:hAnsi="Arial" w:cs="Arial"/>
      <w:b/>
      <w:sz w:val="32"/>
      <w:szCs w:val="32"/>
    </w:rPr>
  </w:style>
  <w:style w:type="paragraph" w:styleId="23">
    <w:name w:val="Plain Text"/>
    <w:basedOn w:val="1"/>
    <w:next w:val="24"/>
    <w:link w:val="66"/>
    <w:qFormat/>
    <w:uiPriority w:val="99"/>
    <w:rPr>
      <w:rFonts w:ascii="宋体" w:hAnsi="Courier New"/>
      <w:sz w:val="20"/>
      <w:szCs w:val="20"/>
    </w:rPr>
  </w:style>
  <w:style w:type="paragraph" w:styleId="24">
    <w:name w:val="toc 1"/>
    <w:basedOn w:val="1"/>
    <w:next w:val="1"/>
    <w:semiHidden/>
    <w:qFormat/>
    <w:uiPriority w:val="39"/>
    <w:pPr>
      <w:tabs>
        <w:tab w:val="right" w:leader="dot" w:pos="8606"/>
      </w:tabs>
      <w:spacing w:line="300" w:lineRule="auto"/>
    </w:pPr>
    <w:rPr>
      <w:b/>
      <w:szCs w:val="44"/>
    </w:rPr>
  </w:style>
  <w:style w:type="paragraph" w:styleId="25">
    <w:name w:val="Date"/>
    <w:basedOn w:val="1"/>
    <w:next w:val="1"/>
    <w:link w:val="67"/>
    <w:qFormat/>
    <w:uiPriority w:val="99"/>
    <w:rPr>
      <w:rFonts w:ascii="楷体_GB2312" w:eastAsia="楷体_GB2312"/>
      <w:sz w:val="28"/>
      <w:szCs w:val="20"/>
    </w:rPr>
  </w:style>
  <w:style w:type="paragraph" w:styleId="26">
    <w:name w:val="Body Text Indent 2"/>
    <w:basedOn w:val="1"/>
    <w:link w:val="68"/>
    <w:qFormat/>
    <w:uiPriority w:val="0"/>
    <w:pPr>
      <w:spacing w:line="360" w:lineRule="auto"/>
      <w:ind w:firstLine="480" w:firstLineChars="200"/>
    </w:pPr>
    <w:rPr>
      <w:sz w:val="24"/>
    </w:rPr>
  </w:style>
  <w:style w:type="paragraph" w:styleId="27">
    <w:name w:val="Balloon Text"/>
    <w:basedOn w:val="1"/>
    <w:link w:val="69"/>
    <w:semiHidden/>
    <w:qFormat/>
    <w:uiPriority w:val="99"/>
    <w:rPr>
      <w:sz w:val="18"/>
      <w:szCs w:val="18"/>
    </w:rPr>
  </w:style>
  <w:style w:type="paragraph" w:styleId="28">
    <w:name w:val="footer"/>
    <w:basedOn w:val="1"/>
    <w:link w:val="70"/>
    <w:qFormat/>
    <w:uiPriority w:val="99"/>
    <w:pPr>
      <w:tabs>
        <w:tab w:val="center" w:pos="4153"/>
        <w:tab w:val="right" w:pos="8306"/>
      </w:tabs>
      <w:snapToGrid w:val="0"/>
      <w:jc w:val="left"/>
    </w:pPr>
    <w:rPr>
      <w:sz w:val="18"/>
      <w:szCs w:val="18"/>
    </w:rPr>
  </w:style>
  <w:style w:type="paragraph" w:styleId="29">
    <w:name w:val="header"/>
    <w:basedOn w:val="1"/>
    <w:link w:val="71"/>
    <w:qFormat/>
    <w:uiPriority w:val="99"/>
    <w:pPr>
      <w:pBdr>
        <w:bottom w:val="single" w:color="auto" w:sz="6" w:space="1"/>
      </w:pBdr>
      <w:tabs>
        <w:tab w:val="center" w:pos="4153"/>
        <w:tab w:val="right" w:pos="8306"/>
      </w:tabs>
      <w:snapToGrid w:val="0"/>
      <w:jc w:val="center"/>
    </w:pPr>
    <w:rPr>
      <w:sz w:val="18"/>
      <w:szCs w:val="18"/>
    </w:rPr>
  </w:style>
  <w:style w:type="paragraph" w:styleId="30">
    <w:name w:val="List"/>
    <w:basedOn w:val="1"/>
    <w:qFormat/>
    <w:uiPriority w:val="99"/>
    <w:pPr>
      <w:ind w:left="200" w:hanging="200" w:hangingChars="200"/>
    </w:pPr>
  </w:style>
  <w:style w:type="paragraph" w:styleId="31">
    <w:name w:val="Body Text Indent 3"/>
    <w:basedOn w:val="1"/>
    <w:link w:val="72"/>
    <w:qFormat/>
    <w:uiPriority w:val="0"/>
    <w:pPr>
      <w:spacing w:line="360" w:lineRule="auto"/>
      <w:ind w:firstLine="480"/>
    </w:pPr>
  </w:style>
  <w:style w:type="paragraph" w:styleId="32">
    <w:name w:val="toc 2"/>
    <w:basedOn w:val="1"/>
    <w:next w:val="1"/>
    <w:qFormat/>
    <w:uiPriority w:val="39"/>
    <w:pPr>
      <w:ind w:left="420" w:leftChars="200"/>
    </w:pPr>
  </w:style>
  <w:style w:type="paragraph" w:styleId="33">
    <w:name w:val="Body Text 2"/>
    <w:basedOn w:val="1"/>
    <w:qFormat/>
    <w:uiPriority w:val="0"/>
    <w:pPr>
      <w:spacing w:after="120" w:line="480" w:lineRule="auto"/>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5">
    <w:name w:val="Normal (Web)"/>
    <w:basedOn w:val="1"/>
    <w:link w:val="73"/>
    <w:qFormat/>
    <w:uiPriority w:val="99"/>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qFormat/>
    <w:uiPriority w:val="0"/>
  </w:style>
  <w:style w:type="paragraph" w:styleId="37">
    <w:name w:val="Title"/>
    <w:basedOn w:val="1"/>
    <w:qFormat/>
    <w:uiPriority w:val="0"/>
    <w:pPr>
      <w:spacing w:before="240" w:after="60"/>
      <w:jc w:val="center"/>
      <w:outlineLvl w:val="0"/>
    </w:pPr>
    <w:rPr>
      <w:rFonts w:ascii="Arial" w:hAnsi="Arial" w:cs="Arial"/>
      <w:b/>
      <w:bCs/>
      <w:sz w:val="32"/>
      <w:szCs w:val="32"/>
    </w:rPr>
  </w:style>
  <w:style w:type="paragraph" w:styleId="38">
    <w:name w:val="annotation subject"/>
    <w:basedOn w:val="14"/>
    <w:next w:val="14"/>
    <w:link w:val="60"/>
    <w:semiHidden/>
    <w:qFormat/>
    <w:uiPriority w:val="99"/>
    <w:rPr>
      <w:b/>
      <w:bCs/>
    </w:rPr>
  </w:style>
  <w:style w:type="paragraph" w:styleId="39">
    <w:name w:val="Body Text First Indent 2"/>
    <w:basedOn w:val="1"/>
    <w:next w:val="1"/>
    <w:qFormat/>
    <w:uiPriority w:val="0"/>
    <w:pPr>
      <w:spacing w:line="460" w:lineRule="exact"/>
      <w:ind w:firstLine="200"/>
    </w:pPr>
  </w:style>
  <w:style w:type="table" w:styleId="41">
    <w:name w:val="Table Grid"/>
    <w:basedOn w:val="40"/>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qFormat/>
    <w:uiPriority w:val="0"/>
    <w:rPr>
      <w:color w:val="800080"/>
      <w:u w:val="single"/>
    </w:rPr>
  </w:style>
  <w:style w:type="character" w:styleId="46">
    <w:name w:val="Emphasis"/>
    <w:qFormat/>
    <w:uiPriority w:val="0"/>
    <w:rPr>
      <w:i/>
      <w:iCs/>
    </w:rPr>
  </w:style>
  <w:style w:type="character" w:styleId="47">
    <w:name w:val="Hyperlink"/>
    <w:qFormat/>
    <w:uiPriority w:val="0"/>
    <w:rPr>
      <w:color w:val="0000FF"/>
      <w:u w:val="single"/>
    </w:rPr>
  </w:style>
  <w:style w:type="character" w:styleId="48">
    <w:name w:val="annotation reference"/>
    <w:qFormat/>
    <w:uiPriority w:val="0"/>
    <w:rPr>
      <w:sz w:val="21"/>
      <w:szCs w:val="21"/>
    </w:rPr>
  </w:style>
  <w:style w:type="paragraph" w:customStyle="1" w:styleId="49">
    <w:name w:val="正文首行缩进2个字 Char"/>
    <w:basedOn w:val="1"/>
    <w:qFormat/>
    <w:uiPriority w:val="0"/>
    <w:pPr>
      <w:ind w:firstLine="480" w:firstLineChars="200"/>
    </w:pPr>
    <w:rPr>
      <w:rFonts w:eastAsia="楷体"/>
      <w:sz w:val="24"/>
    </w:rPr>
  </w:style>
  <w:style w:type="paragraph" w:customStyle="1" w:styleId="50">
    <w:name w:val="Default"/>
    <w:basedOn w:val="51"/>
    <w:next w:val="52"/>
    <w:qFormat/>
    <w:uiPriority w:val="99"/>
    <w:pPr>
      <w:widowControl w:val="0"/>
      <w:autoSpaceDE w:val="0"/>
      <w:autoSpaceDN w:val="0"/>
    </w:pPr>
    <w:rPr>
      <w:rFonts w:hAnsi="Times New Roman" w:cs="宋体"/>
      <w:color w:val="000000"/>
      <w:szCs w:val="24"/>
    </w:rPr>
  </w:style>
  <w:style w:type="paragraph" w:customStyle="1" w:styleId="51">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52">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customStyle="1" w:styleId="53">
    <w:name w:val="表文字52"/>
    <w:basedOn w:val="1"/>
    <w:qFormat/>
    <w:uiPriority w:val="0"/>
    <w:pPr>
      <w:adjustRightInd w:val="0"/>
      <w:jc w:val="left"/>
    </w:pPr>
    <w:rPr>
      <w:rFonts w:ascii="宋体"/>
      <w:kern w:val="0"/>
      <w:szCs w:val="20"/>
    </w:rPr>
  </w:style>
  <w:style w:type="paragraph" w:customStyle="1" w:styleId="54">
    <w:name w:val="Char Char Char1 Char Char Char Char Char Char Char Char Char Char Char Char Char"/>
    <w:basedOn w:val="1"/>
    <w:qFormat/>
    <w:uiPriority w:val="0"/>
    <w:rPr>
      <w:sz w:val="24"/>
    </w:rPr>
  </w:style>
  <w:style w:type="paragraph" w:customStyle="1" w:styleId="55">
    <w:name w:val="Char Char Char1 Char Char Char Char Char Char Char Char Char Char Char Char Char11"/>
    <w:basedOn w:val="1"/>
    <w:qFormat/>
    <w:uiPriority w:val="0"/>
    <w:rPr>
      <w:sz w:val="24"/>
    </w:rPr>
  </w:style>
  <w:style w:type="character" w:customStyle="1" w:styleId="56">
    <w:name w:val="标题 1 Char"/>
    <w:basedOn w:val="42"/>
    <w:link w:val="4"/>
    <w:qFormat/>
    <w:uiPriority w:val="0"/>
    <w:rPr>
      <w:b/>
      <w:bCs/>
      <w:kern w:val="44"/>
      <w:sz w:val="44"/>
      <w:szCs w:val="44"/>
    </w:rPr>
  </w:style>
  <w:style w:type="character" w:customStyle="1" w:styleId="57">
    <w:name w:val="标题 2 Char"/>
    <w:link w:val="2"/>
    <w:qFormat/>
    <w:uiPriority w:val="0"/>
    <w:rPr>
      <w:rFonts w:eastAsia="宋体"/>
      <w:b/>
      <w:color w:val="000000"/>
      <w:kern w:val="2"/>
      <w:sz w:val="24"/>
      <w:szCs w:val="24"/>
      <w:lang w:val="en-US" w:eastAsia="zh-CN" w:bidi="ar-SA"/>
    </w:rPr>
  </w:style>
  <w:style w:type="character" w:customStyle="1" w:styleId="58">
    <w:name w:val="标题 3 Char"/>
    <w:basedOn w:val="42"/>
    <w:link w:val="5"/>
    <w:qFormat/>
    <w:uiPriority w:val="0"/>
    <w:rPr>
      <w:kern w:val="2"/>
      <w:sz w:val="24"/>
      <w:szCs w:val="24"/>
    </w:rPr>
  </w:style>
  <w:style w:type="character" w:customStyle="1" w:styleId="59">
    <w:name w:val="批注文字 Char"/>
    <w:link w:val="14"/>
    <w:qFormat/>
    <w:uiPriority w:val="99"/>
    <w:rPr>
      <w:kern w:val="2"/>
      <w:sz w:val="21"/>
      <w:szCs w:val="24"/>
    </w:rPr>
  </w:style>
  <w:style w:type="character" w:customStyle="1" w:styleId="60">
    <w:name w:val="批注主题 Char"/>
    <w:basedOn w:val="59"/>
    <w:link w:val="38"/>
    <w:semiHidden/>
    <w:qFormat/>
    <w:uiPriority w:val="99"/>
    <w:rPr>
      <w:b/>
      <w:bCs/>
      <w:kern w:val="2"/>
      <w:sz w:val="21"/>
      <w:szCs w:val="24"/>
    </w:rPr>
  </w:style>
  <w:style w:type="character" w:customStyle="1" w:styleId="61">
    <w:name w:val="正文文本 Char"/>
    <w:link w:val="16"/>
    <w:qFormat/>
    <w:uiPriority w:val="0"/>
    <w:rPr>
      <w:rFonts w:eastAsia="宋体"/>
      <w:b/>
      <w:bCs/>
      <w:kern w:val="2"/>
      <w:sz w:val="24"/>
      <w:szCs w:val="24"/>
      <w:lang w:val="en-US" w:eastAsia="zh-CN" w:bidi="ar-SA"/>
    </w:rPr>
  </w:style>
  <w:style w:type="character" w:customStyle="1" w:styleId="62">
    <w:name w:val="正文首行缩进 Char"/>
    <w:basedOn w:val="61"/>
    <w:link w:val="20"/>
    <w:qFormat/>
    <w:uiPriority w:val="99"/>
    <w:rPr>
      <w:rFonts w:eastAsia="宋体"/>
      <w:kern w:val="2"/>
      <w:sz w:val="21"/>
      <w:szCs w:val="24"/>
      <w:lang w:val="en-US" w:eastAsia="zh-CN" w:bidi="ar-SA"/>
    </w:rPr>
  </w:style>
  <w:style w:type="character" w:customStyle="1" w:styleId="63">
    <w:name w:val="正文缩进 Char"/>
    <w:link w:val="3"/>
    <w:qFormat/>
    <w:uiPriority w:val="0"/>
    <w:rPr>
      <w:rFonts w:eastAsia="宋体"/>
      <w:kern w:val="2"/>
      <w:sz w:val="21"/>
      <w:lang w:val="en-US" w:eastAsia="zh-CN" w:bidi="ar-SA"/>
    </w:rPr>
  </w:style>
  <w:style w:type="character" w:customStyle="1" w:styleId="64">
    <w:name w:val="文档结构图 Char"/>
    <w:basedOn w:val="42"/>
    <w:link w:val="13"/>
    <w:semiHidden/>
    <w:qFormat/>
    <w:uiPriority w:val="99"/>
    <w:rPr>
      <w:kern w:val="2"/>
      <w:sz w:val="21"/>
      <w:szCs w:val="24"/>
      <w:shd w:val="clear" w:color="auto" w:fill="000080"/>
    </w:rPr>
  </w:style>
  <w:style w:type="character" w:customStyle="1" w:styleId="65">
    <w:name w:val="正文文本缩进 Char"/>
    <w:basedOn w:val="42"/>
    <w:link w:val="18"/>
    <w:qFormat/>
    <w:uiPriority w:val="99"/>
    <w:rPr>
      <w:b/>
      <w:bCs/>
      <w:kern w:val="2"/>
      <w:sz w:val="24"/>
      <w:szCs w:val="24"/>
    </w:rPr>
  </w:style>
  <w:style w:type="character" w:customStyle="1" w:styleId="66">
    <w:name w:val="纯文本 Char1"/>
    <w:link w:val="23"/>
    <w:qFormat/>
    <w:uiPriority w:val="0"/>
    <w:rPr>
      <w:rFonts w:ascii="宋体" w:hAnsi="Courier New" w:eastAsia="宋体"/>
      <w:kern w:val="2"/>
      <w:lang w:val="en-US" w:eastAsia="zh-CN" w:bidi="ar-SA"/>
    </w:rPr>
  </w:style>
  <w:style w:type="character" w:customStyle="1" w:styleId="67">
    <w:name w:val="日期 Char"/>
    <w:basedOn w:val="42"/>
    <w:link w:val="25"/>
    <w:qFormat/>
    <w:uiPriority w:val="99"/>
    <w:rPr>
      <w:rFonts w:ascii="楷体_GB2312" w:eastAsia="楷体_GB2312"/>
      <w:kern w:val="2"/>
      <w:sz w:val="28"/>
    </w:rPr>
  </w:style>
  <w:style w:type="character" w:customStyle="1" w:styleId="68">
    <w:name w:val="正文文本缩进 2 Char"/>
    <w:basedOn w:val="42"/>
    <w:link w:val="26"/>
    <w:qFormat/>
    <w:uiPriority w:val="99"/>
    <w:rPr>
      <w:kern w:val="2"/>
      <w:sz w:val="24"/>
      <w:szCs w:val="24"/>
    </w:rPr>
  </w:style>
  <w:style w:type="character" w:customStyle="1" w:styleId="69">
    <w:name w:val="批注框文本 Char"/>
    <w:basedOn w:val="42"/>
    <w:link w:val="27"/>
    <w:semiHidden/>
    <w:qFormat/>
    <w:uiPriority w:val="99"/>
    <w:rPr>
      <w:kern w:val="2"/>
      <w:sz w:val="18"/>
      <w:szCs w:val="18"/>
    </w:rPr>
  </w:style>
  <w:style w:type="character" w:customStyle="1" w:styleId="70">
    <w:name w:val="页脚 Char"/>
    <w:basedOn w:val="42"/>
    <w:link w:val="28"/>
    <w:qFormat/>
    <w:uiPriority w:val="99"/>
    <w:rPr>
      <w:kern w:val="2"/>
      <w:sz w:val="18"/>
      <w:szCs w:val="18"/>
    </w:rPr>
  </w:style>
  <w:style w:type="character" w:customStyle="1" w:styleId="71">
    <w:name w:val="页眉 Char"/>
    <w:link w:val="29"/>
    <w:qFormat/>
    <w:uiPriority w:val="99"/>
    <w:rPr>
      <w:rFonts w:eastAsia="宋体"/>
      <w:kern w:val="2"/>
      <w:sz w:val="18"/>
      <w:szCs w:val="18"/>
      <w:lang w:val="en-US" w:eastAsia="zh-CN" w:bidi="ar-SA"/>
    </w:rPr>
  </w:style>
  <w:style w:type="character" w:customStyle="1" w:styleId="72">
    <w:name w:val="正文文本缩进 3 Char"/>
    <w:basedOn w:val="42"/>
    <w:link w:val="31"/>
    <w:qFormat/>
    <w:uiPriority w:val="0"/>
    <w:rPr>
      <w:kern w:val="2"/>
      <w:sz w:val="21"/>
      <w:szCs w:val="24"/>
    </w:rPr>
  </w:style>
  <w:style w:type="character" w:customStyle="1" w:styleId="73">
    <w:name w:val="普通(网站) Char"/>
    <w:link w:val="35"/>
    <w:qFormat/>
    <w:uiPriority w:val="99"/>
    <w:rPr>
      <w:rFonts w:ascii="宋体" w:hAnsi="宋体" w:cs="宋体"/>
      <w:sz w:val="24"/>
      <w:szCs w:val="24"/>
    </w:rPr>
  </w:style>
  <w:style w:type="paragraph" w:customStyle="1" w:styleId="74">
    <w:name w:val="中文报告书"/>
    <w:basedOn w:val="1"/>
    <w:qFormat/>
    <w:uiPriority w:val="0"/>
    <w:pPr>
      <w:adjustRightInd w:val="0"/>
      <w:spacing w:after="80" w:line="420" w:lineRule="atLeast"/>
      <w:jc w:val="left"/>
      <w:textAlignment w:val="baseline"/>
    </w:pPr>
    <w:rPr>
      <w:kern w:val="0"/>
      <w:sz w:val="24"/>
      <w:szCs w:val="20"/>
    </w:rPr>
  </w:style>
  <w:style w:type="paragraph" w:customStyle="1" w:styleId="75">
    <w:name w:val="居中正文"/>
    <w:basedOn w:val="20"/>
    <w:qFormat/>
    <w:uiPriority w:val="99"/>
    <w:pPr>
      <w:adjustRightInd w:val="0"/>
      <w:spacing w:before="120" w:after="0" w:line="360" w:lineRule="auto"/>
      <w:ind w:firstLine="0"/>
      <w:jc w:val="center"/>
      <w:textAlignment w:val="baseline"/>
    </w:pPr>
    <w:rPr>
      <w:rFonts w:ascii="宋体"/>
      <w:kern w:val="28"/>
      <w:sz w:val="24"/>
      <w:szCs w:val="20"/>
    </w:rPr>
  </w:style>
  <w:style w:type="paragraph" w:customStyle="1" w:styleId="76">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77">
    <w:name w:val="表格2"/>
    <w:basedOn w:val="1"/>
    <w:qFormat/>
    <w:uiPriority w:val="0"/>
    <w:pPr>
      <w:spacing w:line="400" w:lineRule="exact"/>
      <w:jc w:val="center"/>
    </w:pPr>
    <w:rPr>
      <w:szCs w:val="21"/>
    </w:rPr>
  </w:style>
  <w:style w:type="paragraph" w:customStyle="1" w:styleId="78">
    <w:name w:val="样式 正文001 + 首行缩进:  2 字符 行距: 固定值 22.5 磅"/>
    <w:basedOn w:val="1"/>
    <w:qFormat/>
    <w:uiPriority w:val="0"/>
    <w:pPr>
      <w:spacing w:before="60" w:line="450" w:lineRule="exact"/>
      <w:ind w:firstLine="480" w:firstLineChars="200"/>
    </w:pPr>
    <w:rPr>
      <w:rFonts w:cs="宋体"/>
      <w:sz w:val="24"/>
      <w:szCs w:val="20"/>
    </w:rPr>
  </w:style>
  <w:style w:type="paragraph" w:customStyle="1" w:styleId="79">
    <w:name w:val="Char Char Char Char Char Char Char Char Char Char Char Char Char Char Char Char Char Char Char"/>
    <w:basedOn w:val="1"/>
    <w:qFormat/>
    <w:uiPriority w:val="0"/>
    <w:rPr>
      <w:sz w:val="24"/>
    </w:rPr>
  </w:style>
  <w:style w:type="paragraph" w:customStyle="1" w:styleId="80">
    <w:name w:val="xxxx"/>
    <w:basedOn w:val="1"/>
    <w:qFormat/>
    <w:uiPriority w:val="0"/>
    <w:pPr>
      <w:widowControl/>
      <w:spacing w:before="100" w:beforeAutospacing="1" w:after="100" w:afterAutospacing="1" w:line="384" w:lineRule="auto"/>
      <w:jc w:val="left"/>
    </w:pPr>
    <w:rPr>
      <w:rFonts w:ascii="ˎ̥" w:hAnsi="ˎ̥" w:cs="宋体"/>
      <w:color w:val="000000"/>
      <w:kern w:val="0"/>
      <w:sz w:val="22"/>
      <w:szCs w:val="22"/>
    </w:rPr>
  </w:style>
  <w:style w:type="paragraph" w:customStyle="1" w:styleId="81">
    <w:name w:val="Char Char Char Char1"/>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82">
    <w:name w:val="正文001"/>
    <w:basedOn w:val="1"/>
    <w:link w:val="83"/>
    <w:qFormat/>
    <w:uiPriority w:val="0"/>
    <w:pPr>
      <w:spacing w:before="60" w:line="460" w:lineRule="exact"/>
      <w:ind w:firstLine="200" w:firstLineChars="200"/>
    </w:pPr>
    <w:rPr>
      <w:sz w:val="24"/>
      <w:szCs w:val="20"/>
    </w:rPr>
  </w:style>
  <w:style w:type="character" w:customStyle="1" w:styleId="83">
    <w:name w:val="正文001 Char"/>
    <w:link w:val="82"/>
    <w:qFormat/>
    <w:uiPriority w:val="0"/>
    <w:rPr>
      <w:rFonts w:eastAsia="宋体"/>
      <w:kern w:val="2"/>
      <w:sz w:val="24"/>
      <w:lang w:val="en-US" w:eastAsia="zh-CN" w:bidi="ar-SA"/>
    </w:rPr>
  </w:style>
  <w:style w:type="paragraph" w:customStyle="1" w:styleId="84">
    <w:name w:val="三级标题"/>
    <w:basedOn w:val="1"/>
    <w:link w:val="85"/>
    <w:qFormat/>
    <w:uiPriority w:val="0"/>
    <w:pPr>
      <w:snapToGrid w:val="0"/>
      <w:spacing w:before="300" w:line="460" w:lineRule="exact"/>
      <w:outlineLvl w:val="2"/>
    </w:pPr>
    <w:rPr>
      <w:b/>
      <w:bCs/>
      <w:kern w:val="0"/>
      <w:sz w:val="24"/>
    </w:rPr>
  </w:style>
  <w:style w:type="character" w:customStyle="1" w:styleId="85">
    <w:name w:val="三级标题 Char"/>
    <w:link w:val="84"/>
    <w:qFormat/>
    <w:uiPriority w:val="0"/>
    <w:rPr>
      <w:rFonts w:eastAsia="宋体"/>
      <w:b/>
      <w:bCs/>
      <w:sz w:val="24"/>
      <w:szCs w:val="24"/>
      <w:lang w:val="en-US" w:eastAsia="zh-CN" w:bidi="ar-SA"/>
    </w:rPr>
  </w:style>
  <w:style w:type="paragraph" w:customStyle="1" w:styleId="86">
    <w:name w:val="图表标题"/>
    <w:basedOn w:val="1"/>
    <w:link w:val="87"/>
    <w:qFormat/>
    <w:uiPriority w:val="0"/>
    <w:pPr>
      <w:jc w:val="center"/>
    </w:pPr>
    <w:rPr>
      <w:rFonts w:eastAsia="黑体"/>
      <w:b/>
    </w:rPr>
  </w:style>
  <w:style w:type="character" w:customStyle="1" w:styleId="87">
    <w:name w:val="图表标题 Char"/>
    <w:basedOn w:val="42"/>
    <w:link w:val="86"/>
    <w:qFormat/>
    <w:uiPriority w:val="0"/>
    <w:rPr>
      <w:rFonts w:eastAsia="黑体"/>
      <w:b/>
      <w:kern w:val="2"/>
      <w:sz w:val="21"/>
      <w:szCs w:val="24"/>
      <w:lang w:val="en-US" w:eastAsia="zh-CN" w:bidi="ar-SA"/>
    </w:rPr>
  </w:style>
  <w:style w:type="paragraph" w:customStyle="1" w:styleId="88">
    <w:name w:val="表格文本"/>
    <w:basedOn w:val="1"/>
    <w:next w:val="1"/>
    <w:qFormat/>
    <w:uiPriority w:val="0"/>
    <w:pPr>
      <w:spacing w:line="240" w:lineRule="exact"/>
      <w:jc w:val="center"/>
    </w:pPr>
    <w:rPr>
      <w:rFonts w:eastAsia="Times New Roman"/>
      <w:szCs w:val="20"/>
    </w:rPr>
  </w:style>
  <w:style w:type="paragraph" w:customStyle="1" w:styleId="89">
    <w:name w:val="标题2 非连续"/>
    <w:basedOn w:val="90"/>
    <w:qFormat/>
    <w:uiPriority w:val="0"/>
    <w:pPr>
      <w:keepNext/>
      <w:keepLines/>
      <w:spacing w:beforeLines="50" w:line="440" w:lineRule="exact"/>
      <w:jc w:val="both"/>
      <w:outlineLvl w:val="1"/>
    </w:pPr>
    <w:rPr>
      <w:rFonts w:ascii="Arial" w:hAnsi="Arial" w:eastAsia="黑体"/>
      <w:bCs/>
      <w:kern w:val="0"/>
      <w:szCs w:val="32"/>
    </w:rPr>
  </w:style>
  <w:style w:type="paragraph" w:customStyle="1" w:styleId="90">
    <w:name w:val="标题2"/>
    <w:basedOn w:val="1"/>
    <w:qFormat/>
    <w:uiPriority w:val="99"/>
    <w:pPr>
      <w:spacing w:line="360" w:lineRule="auto"/>
      <w:jc w:val="left"/>
    </w:pPr>
    <w:rPr>
      <w:b/>
      <w:sz w:val="28"/>
    </w:rPr>
  </w:style>
  <w:style w:type="paragraph" w:customStyle="1" w:styleId="91">
    <w:name w:val="正文01"/>
    <w:basedOn w:val="1"/>
    <w:link w:val="92"/>
    <w:qFormat/>
    <w:uiPriority w:val="0"/>
    <w:pPr>
      <w:spacing w:before="60" w:line="460" w:lineRule="exact"/>
      <w:ind w:firstLine="200" w:firstLineChars="200"/>
    </w:pPr>
    <w:rPr>
      <w:rFonts w:ascii="Arial" w:hAnsi="Arial"/>
      <w:sz w:val="24"/>
      <w:szCs w:val="20"/>
    </w:rPr>
  </w:style>
  <w:style w:type="character" w:customStyle="1" w:styleId="92">
    <w:name w:val="正文01 Char"/>
    <w:link w:val="91"/>
    <w:qFormat/>
    <w:locked/>
    <w:uiPriority w:val="0"/>
    <w:rPr>
      <w:rFonts w:ascii="Arial" w:hAnsi="Arial" w:eastAsia="宋体"/>
      <w:kern w:val="2"/>
      <w:sz w:val="24"/>
      <w:lang w:val="en-US" w:eastAsia="zh-CN" w:bidi="ar-SA"/>
    </w:rPr>
  </w:style>
  <w:style w:type="paragraph" w:customStyle="1" w:styleId="93">
    <w:name w:val="表格数字"/>
    <w:basedOn w:val="1"/>
    <w:link w:val="94"/>
    <w:qFormat/>
    <w:uiPriority w:val="0"/>
    <w:pPr>
      <w:spacing w:line="360" w:lineRule="exact"/>
      <w:jc w:val="center"/>
    </w:pPr>
    <w:rPr>
      <w:rFonts w:ascii="Arial" w:hAnsi="Arial" w:cs="宋体"/>
      <w:kern w:val="0"/>
      <w:szCs w:val="20"/>
    </w:rPr>
  </w:style>
  <w:style w:type="character" w:customStyle="1" w:styleId="94">
    <w:name w:val="表格数字 Char"/>
    <w:link w:val="93"/>
    <w:qFormat/>
    <w:uiPriority w:val="0"/>
    <w:rPr>
      <w:rFonts w:ascii="Arial" w:hAnsi="Arial" w:eastAsia="宋体" w:cs="宋体"/>
      <w:sz w:val="21"/>
      <w:lang w:val="en-US" w:eastAsia="zh-CN" w:bidi="ar-SA"/>
    </w:rPr>
  </w:style>
  <w:style w:type="paragraph" w:customStyle="1" w:styleId="95">
    <w:name w:val="标题001"/>
    <w:basedOn w:val="1"/>
    <w:qFormat/>
    <w:uiPriority w:val="0"/>
    <w:pPr>
      <w:spacing w:before="60" w:line="480" w:lineRule="exact"/>
      <w:outlineLvl w:val="0"/>
    </w:pPr>
    <w:rPr>
      <w:b/>
      <w:sz w:val="32"/>
      <w:szCs w:val="20"/>
    </w:rPr>
  </w:style>
  <w:style w:type="paragraph" w:customStyle="1" w:styleId="96">
    <w:name w:val="表格下方正文"/>
    <w:basedOn w:val="1"/>
    <w:link w:val="97"/>
    <w:qFormat/>
    <w:uiPriority w:val="0"/>
    <w:pPr>
      <w:adjustRightInd w:val="0"/>
      <w:snapToGrid w:val="0"/>
      <w:spacing w:before="300" w:line="460" w:lineRule="exact"/>
      <w:ind w:firstLine="482"/>
    </w:pPr>
    <w:rPr>
      <w:snapToGrid w:val="0"/>
      <w:color w:val="000000"/>
      <w:kern w:val="0"/>
      <w:sz w:val="24"/>
    </w:rPr>
  </w:style>
  <w:style w:type="character" w:customStyle="1" w:styleId="97">
    <w:name w:val="表格下方正文 Char"/>
    <w:basedOn w:val="42"/>
    <w:link w:val="96"/>
    <w:qFormat/>
    <w:uiPriority w:val="0"/>
    <w:rPr>
      <w:rFonts w:eastAsia="宋体"/>
      <w:snapToGrid w:val="0"/>
      <w:color w:val="000000"/>
      <w:sz w:val="24"/>
      <w:szCs w:val="24"/>
      <w:lang w:val="en-US" w:eastAsia="zh-CN" w:bidi="ar-SA"/>
    </w:rPr>
  </w:style>
  <w:style w:type="paragraph" w:customStyle="1" w:styleId="98">
    <w:name w:val="表格样式1"/>
    <w:basedOn w:val="1"/>
    <w:qFormat/>
    <w:uiPriority w:val="0"/>
    <w:pPr>
      <w:spacing w:line="360" w:lineRule="exact"/>
      <w:jc w:val="center"/>
    </w:pPr>
    <w:rPr>
      <w:rFonts w:eastAsia="仿宋_GB2312"/>
      <w:color w:val="000080"/>
    </w:rPr>
  </w:style>
  <w:style w:type="paragraph" w:customStyle="1" w:styleId="99">
    <w:name w:val="Char Char Char Char Char Char1 Char"/>
    <w:basedOn w:val="1"/>
    <w:qFormat/>
    <w:uiPriority w:val="99"/>
    <w:rPr>
      <w:sz w:val="24"/>
    </w:rPr>
  </w:style>
  <w:style w:type="paragraph" w:customStyle="1" w:styleId="100">
    <w:name w:val="2"/>
    <w:basedOn w:val="1"/>
    <w:next w:val="35"/>
    <w:qFormat/>
    <w:uiPriority w:val="99"/>
    <w:pPr>
      <w:widowControl/>
      <w:spacing w:before="100" w:beforeAutospacing="1" w:after="100" w:afterAutospacing="1"/>
      <w:jc w:val="left"/>
    </w:pPr>
    <w:rPr>
      <w:rFonts w:ascii="宋体" w:hAnsi="宋体"/>
      <w:kern w:val="0"/>
      <w:sz w:val="24"/>
    </w:rPr>
  </w:style>
  <w:style w:type="paragraph" w:customStyle="1" w:styleId="101">
    <w:name w:val="大目录"/>
    <w:basedOn w:val="1"/>
    <w:link w:val="102"/>
    <w:qFormat/>
    <w:uiPriority w:val="0"/>
    <w:pPr>
      <w:tabs>
        <w:tab w:val="left" w:pos="360"/>
      </w:tabs>
      <w:snapToGrid w:val="0"/>
      <w:spacing w:afterLines="50" w:line="360" w:lineRule="auto"/>
      <w:ind w:left="360" w:hanging="360"/>
    </w:pPr>
    <w:rPr>
      <w:b/>
      <w:sz w:val="27"/>
      <w:szCs w:val="27"/>
    </w:rPr>
  </w:style>
  <w:style w:type="character" w:customStyle="1" w:styleId="102">
    <w:name w:val="大目录 Char Char"/>
    <w:basedOn w:val="42"/>
    <w:link w:val="101"/>
    <w:qFormat/>
    <w:uiPriority w:val="0"/>
    <w:rPr>
      <w:b/>
      <w:kern w:val="2"/>
      <w:sz w:val="27"/>
      <w:szCs w:val="27"/>
    </w:rPr>
  </w:style>
  <w:style w:type="paragraph" w:customStyle="1" w:styleId="103">
    <w:name w:val="表内表头"/>
    <w:basedOn w:val="1"/>
    <w:link w:val="104"/>
    <w:qFormat/>
    <w:uiPriority w:val="0"/>
    <w:pPr>
      <w:spacing w:line="500" w:lineRule="exact"/>
      <w:jc w:val="center"/>
    </w:pPr>
    <w:rPr>
      <w:rFonts w:eastAsia="仿宋_GB2312"/>
      <w:b/>
      <w:sz w:val="24"/>
      <w:szCs w:val="20"/>
    </w:rPr>
  </w:style>
  <w:style w:type="character" w:customStyle="1" w:styleId="104">
    <w:name w:val="表内表头 Char"/>
    <w:link w:val="103"/>
    <w:qFormat/>
    <w:uiPriority w:val="0"/>
    <w:rPr>
      <w:rFonts w:eastAsia="仿宋_GB2312"/>
      <w:b/>
      <w:kern w:val="2"/>
      <w:sz w:val="24"/>
      <w:lang w:val="en-US" w:eastAsia="zh-CN" w:bidi="ar-SA"/>
    </w:rPr>
  </w:style>
  <w:style w:type="paragraph" w:customStyle="1" w:styleId="105">
    <w:name w:val="报告表正文"/>
    <w:link w:val="106"/>
    <w:qFormat/>
    <w:uiPriority w:val="0"/>
    <w:pPr>
      <w:tabs>
        <w:tab w:val="left" w:pos="7838"/>
      </w:tabs>
      <w:spacing w:before="120" w:line="240" w:lineRule="exact"/>
      <w:jc w:val="both"/>
    </w:pPr>
    <w:rPr>
      <w:rFonts w:ascii="Times New Roman" w:hAnsi="宋体" w:eastAsia="宋体" w:cs="Times New Roman"/>
      <w:snapToGrid w:val="0"/>
      <w:color w:val="FF6600"/>
      <w:kern w:val="10"/>
      <w:sz w:val="24"/>
      <w:szCs w:val="24"/>
      <w:lang w:val="en-US" w:eastAsia="zh-CN" w:bidi="ar-SA"/>
    </w:rPr>
  </w:style>
  <w:style w:type="character" w:customStyle="1" w:styleId="106">
    <w:name w:val="报告表正文 Char"/>
    <w:link w:val="105"/>
    <w:qFormat/>
    <w:uiPriority w:val="0"/>
    <w:rPr>
      <w:rFonts w:hAnsi="宋体"/>
      <w:snapToGrid w:val="0"/>
      <w:color w:val="FF6600"/>
      <w:kern w:val="10"/>
      <w:sz w:val="24"/>
      <w:szCs w:val="24"/>
      <w:lang w:val="en-US" w:eastAsia="zh-CN" w:bidi="ar-SA"/>
    </w:rPr>
  </w:style>
  <w:style w:type="paragraph" w:customStyle="1" w:styleId="107">
    <w:name w:val="表格正文"/>
    <w:basedOn w:val="1"/>
    <w:link w:val="108"/>
    <w:qFormat/>
    <w:uiPriority w:val="0"/>
    <w:pPr>
      <w:spacing w:line="360" w:lineRule="exact"/>
      <w:jc w:val="center"/>
    </w:pPr>
    <w:rPr>
      <w:rFonts w:ascii="Arial" w:hAnsi="Arial"/>
      <w:szCs w:val="20"/>
    </w:rPr>
  </w:style>
  <w:style w:type="character" w:customStyle="1" w:styleId="108">
    <w:name w:val="表格正文 Char"/>
    <w:link w:val="107"/>
    <w:qFormat/>
    <w:uiPriority w:val="0"/>
    <w:rPr>
      <w:rFonts w:ascii="Arial" w:hAnsi="Arial" w:eastAsia="宋体"/>
      <w:kern w:val="2"/>
      <w:sz w:val="21"/>
      <w:lang w:val="en-US" w:eastAsia="zh-CN" w:bidi="ar-SA"/>
    </w:rPr>
  </w:style>
  <w:style w:type="paragraph" w:customStyle="1" w:styleId="109">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110">
    <w:name w:val="表格格式"/>
    <w:basedOn w:val="1"/>
    <w:qFormat/>
    <w:uiPriority w:val="0"/>
    <w:pPr>
      <w:spacing w:line="360" w:lineRule="exact"/>
      <w:jc w:val="center"/>
    </w:pPr>
    <w:rPr>
      <w:rFonts w:eastAsia="Times New Roman"/>
    </w:rPr>
  </w:style>
  <w:style w:type="paragraph" w:customStyle="1" w:styleId="111">
    <w:name w:val="默认段落字体 Para Char Char Char Char"/>
    <w:basedOn w:val="1"/>
    <w:qFormat/>
    <w:uiPriority w:val="99"/>
    <w:pPr>
      <w:spacing w:line="360" w:lineRule="auto"/>
      <w:ind w:firstLine="200" w:firstLineChars="200"/>
    </w:pPr>
    <w:rPr>
      <w:rFonts w:ascii="宋体" w:hAnsi="宋体" w:cs="宋体"/>
      <w:sz w:val="24"/>
    </w:rPr>
  </w:style>
  <w:style w:type="paragraph" w:customStyle="1" w:styleId="112">
    <w:name w:val="Char Char Char Char Char Char Char Char Char Char Char Char Char Char Char Char Char Char Char Char Char Char Char Char Char Char Char2 Char Char Char Char Char Char Char Char Char Char Char Char Char Char Char Char"/>
    <w:basedOn w:val="1"/>
    <w:qFormat/>
    <w:uiPriority w:val="99"/>
    <w:rPr>
      <w:sz w:val="24"/>
    </w:rPr>
  </w:style>
  <w:style w:type="paragraph" w:customStyle="1" w:styleId="113">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114">
    <w:name w:val="标题003"/>
    <w:basedOn w:val="1"/>
    <w:qFormat/>
    <w:uiPriority w:val="0"/>
    <w:pPr>
      <w:spacing w:before="300" w:line="460" w:lineRule="exact"/>
      <w:outlineLvl w:val="2"/>
    </w:pPr>
    <w:rPr>
      <w:b/>
      <w:sz w:val="24"/>
      <w:szCs w:val="20"/>
    </w:rPr>
  </w:style>
  <w:style w:type="paragraph" w:customStyle="1" w:styleId="115">
    <w:name w:val="表格标题"/>
    <w:basedOn w:val="1"/>
    <w:link w:val="116"/>
    <w:qFormat/>
    <w:uiPriority w:val="0"/>
    <w:pPr>
      <w:spacing w:before="60" w:line="460" w:lineRule="exact"/>
      <w:jc w:val="center"/>
    </w:pPr>
    <w:rPr>
      <w:rFonts w:ascii="Arial" w:hAnsi="Arial"/>
      <w:sz w:val="24"/>
      <w:szCs w:val="20"/>
    </w:rPr>
  </w:style>
  <w:style w:type="character" w:customStyle="1" w:styleId="116">
    <w:name w:val="表格标题 Char"/>
    <w:link w:val="115"/>
    <w:qFormat/>
    <w:uiPriority w:val="0"/>
    <w:rPr>
      <w:rFonts w:ascii="Arial" w:hAnsi="Arial" w:eastAsia="宋体"/>
      <w:kern w:val="2"/>
      <w:sz w:val="24"/>
      <w:lang w:val="en-US" w:eastAsia="zh-CN" w:bidi="ar-SA"/>
    </w:rPr>
  </w:style>
  <w:style w:type="paragraph" w:customStyle="1" w:styleId="117">
    <w:name w:val="表"/>
    <w:basedOn w:val="1"/>
    <w:qFormat/>
    <w:uiPriority w:val="99"/>
    <w:pPr>
      <w:snapToGrid w:val="0"/>
      <w:jc w:val="center"/>
    </w:pPr>
    <w:rPr>
      <w:spacing w:val="2"/>
      <w:sz w:val="24"/>
      <w:szCs w:val="20"/>
    </w:rPr>
  </w:style>
  <w:style w:type="paragraph" w:customStyle="1" w:styleId="118">
    <w:name w:val="xl40"/>
    <w:basedOn w:val="1"/>
    <w:qFormat/>
    <w:uiPriority w:val="0"/>
    <w:pPr>
      <w:widowControl/>
      <w:spacing w:before="100" w:after="100"/>
      <w:jc w:val="center"/>
    </w:pPr>
    <w:rPr>
      <w:rFonts w:ascii="宋体" w:hAnsi="宋体"/>
      <w:kern w:val="0"/>
      <w:szCs w:val="20"/>
    </w:rPr>
  </w:style>
  <w:style w:type="paragraph" w:customStyle="1" w:styleId="11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120">
    <w:name w:val="标题4 非连续"/>
    <w:basedOn w:val="1"/>
    <w:link w:val="121"/>
    <w:qFormat/>
    <w:uiPriority w:val="0"/>
    <w:pPr>
      <w:keepNext/>
      <w:keepLines/>
      <w:spacing w:beforeLines="50" w:line="440" w:lineRule="exact"/>
      <w:ind w:left="851" w:hanging="851"/>
      <w:outlineLvl w:val="3"/>
    </w:pPr>
    <w:rPr>
      <w:rFonts w:ascii="Arial" w:hAnsi="Arial"/>
      <w:bCs/>
      <w:snapToGrid w:val="0"/>
      <w:kern w:val="0"/>
      <w:sz w:val="24"/>
      <w:szCs w:val="28"/>
    </w:rPr>
  </w:style>
  <w:style w:type="character" w:customStyle="1" w:styleId="121">
    <w:name w:val="标题4 非连续 Char"/>
    <w:link w:val="120"/>
    <w:qFormat/>
    <w:locked/>
    <w:uiPriority w:val="0"/>
    <w:rPr>
      <w:rFonts w:ascii="Arial" w:hAnsi="Arial"/>
      <w:bCs/>
      <w:snapToGrid w:val="0"/>
      <w:sz w:val="24"/>
      <w:szCs w:val="28"/>
    </w:rPr>
  </w:style>
  <w:style w:type="paragraph" w:customStyle="1" w:styleId="122">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123">
    <w:name w:val="正文 首行缩进:  2 字符"/>
    <w:basedOn w:val="1"/>
    <w:qFormat/>
    <w:uiPriority w:val="0"/>
    <w:pPr>
      <w:spacing w:beforeLines="50" w:line="360" w:lineRule="auto"/>
      <w:ind w:firstLine="482" w:firstLineChars="200"/>
    </w:pPr>
    <w:rPr>
      <w:b/>
      <w:color w:val="000000"/>
      <w:sz w:val="24"/>
    </w:rPr>
  </w:style>
  <w:style w:type="paragraph" w:customStyle="1" w:styleId="124">
    <w:name w:val="报告正文-连续目录"/>
    <w:basedOn w:val="1"/>
    <w:link w:val="125"/>
    <w:qFormat/>
    <w:uiPriority w:val="0"/>
    <w:pPr>
      <w:spacing w:line="440" w:lineRule="exact"/>
      <w:ind w:firstLine="200" w:firstLineChars="200"/>
    </w:pPr>
    <w:rPr>
      <w:rFonts w:ascii="Arial" w:hAnsi="Arial"/>
      <w:snapToGrid w:val="0"/>
      <w:kern w:val="0"/>
      <w:sz w:val="24"/>
    </w:rPr>
  </w:style>
  <w:style w:type="character" w:customStyle="1" w:styleId="125">
    <w:name w:val="报告正文-连续目录 Char Char"/>
    <w:link w:val="124"/>
    <w:qFormat/>
    <w:uiPriority w:val="0"/>
    <w:rPr>
      <w:rFonts w:ascii="Arial" w:hAnsi="Arial" w:eastAsia="宋体"/>
      <w:snapToGrid w:val="0"/>
      <w:sz w:val="24"/>
      <w:szCs w:val="24"/>
      <w:lang w:val="en-US" w:eastAsia="zh-CN" w:bidi="ar-SA"/>
    </w:rPr>
  </w:style>
  <w:style w:type="paragraph" w:customStyle="1" w:styleId="126">
    <w:name w:val="表头"/>
    <w:basedOn w:val="3"/>
    <w:qFormat/>
    <w:uiPriority w:val="0"/>
    <w:pPr>
      <w:spacing w:before="60" w:line="460" w:lineRule="exact"/>
      <w:ind w:firstLine="480" w:firstLineChars="200"/>
    </w:pPr>
    <w:rPr>
      <w:rFonts w:hAnsi="宋体"/>
      <w:bCs/>
      <w:sz w:val="24"/>
      <w:szCs w:val="24"/>
    </w:rPr>
  </w:style>
  <w:style w:type="paragraph" w:customStyle="1" w:styleId="127">
    <w:name w:val="正文五"/>
    <w:basedOn w:val="1"/>
    <w:qFormat/>
    <w:uiPriority w:val="0"/>
    <w:pPr>
      <w:snapToGrid w:val="0"/>
      <w:jc w:val="center"/>
    </w:pPr>
    <w:rPr>
      <w:szCs w:val="28"/>
    </w:rPr>
  </w:style>
  <w:style w:type="paragraph" w:customStyle="1" w:styleId="128">
    <w:name w:val="简单回函地址"/>
    <w:basedOn w:val="1"/>
    <w:qFormat/>
    <w:uiPriority w:val="0"/>
    <w:rPr>
      <w:szCs w:val="20"/>
    </w:rPr>
  </w:style>
  <w:style w:type="paragraph" w:customStyle="1" w:styleId="129">
    <w:name w:val="正文2"/>
    <w:basedOn w:val="1"/>
    <w:qFormat/>
    <w:uiPriority w:val="0"/>
    <w:pPr>
      <w:adjustRightInd w:val="0"/>
      <w:snapToGrid w:val="0"/>
      <w:spacing w:line="440" w:lineRule="atLeast"/>
      <w:ind w:firstLine="567"/>
    </w:pPr>
    <w:rPr>
      <w:sz w:val="24"/>
      <w:szCs w:val="20"/>
    </w:rPr>
  </w:style>
  <w:style w:type="paragraph" w:customStyle="1" w:styleId="130">
    <w:name w:val="样式 样式 正文首行缩进 + Times New Roman + 首行缩进:  2 字符"/>
    <w:basedOn w:val="1"/>
    <w:qFormat/>
    <w:uiPriority w:val="0"/>
    <w:pPr>
      <w:tabs>
        <w:tab w:val="left" w:pos="0"/>
      </w:tabs>
      <w:autoSpaceDE w:val="0"/>
      <w:autoSpaceDN w:val="0"/>
      <w:adjustRightInd w:val="0"/>
      <w:spacing w:line="360" w:lineRule="auto"/>
      <w:ind w:firstLine="200" w:firstLineChars="200"/>
      <w:textAlignment w:val="baseline"/>
    </w:pPr>
    <w:rPr>
      <w:sz w:val="24"/>
      <w:szCs w:val="20"/>
    </w:rPr>
  </w:style>
  <w:style w:type="paragraph" w:customStyle="1" w:styleId="131">
    <w:name w:val="Char Char Char Char Char Char"/>
    <w:basedOn w:val="1"/>
    <w:qFormat/>
    <w:uiPriority w:val="0"/>
    <w:pPr>
      <w:spacing w:line="360" w:lineRule="auto"/>
      <w:ind w:firstLine="200" w:firstLineChars="200"/>
    </w:pPr>
    <w:rPr>
      <w:rFonts w:ascii="宋体" w:hAnsi="宋体" w:cs="宋体"/>
      <w:sz w:val="24"/>
    </w:rPr>
  </w:style>
  <w:style w:type="paragraph" w:customStyle="1" w:styleId="132">
    <w:name w:val="Char Char Char Char2"/>
    <w:basedOn w:val="1"/>
    <w:qFormat/>
    <w:uiPriority w:val="0"/>
    <w:rPr>
      <w:sz w:val="24"/>
    </w:rPr>
  </w:style>
  <w:style w:type="paragraph" w:customStyle="1" w:styleId="133">
    <w:name w:val="标题02"/>
    <w:basedOn w:val="1"/>
    <w:next w:val="1"/>
    <w:qFormat/>
    <w:uiPriority w:val="0"/>
    <w:pPr>
      <w:snapToGrid w:val="0"/>
      <w:spacing w:line="440" w:lineRule="atLeast"/>
      <w:outlineLvl w:val="1"/>
    </w:pPr>
    <w:rPr>
      <w:b/>
      <w:sz w:val="24"/>
      <w:szCs w:val="20"/>
    </w:rPr>
  </w:style>
  <w:style w:type="paragraph" w:customStyle="1" w:styleId="134">
    <w:name w:val="表外表头"/>
    <w:basedOn w:val="1"/>
    <w:link w:val="135"/>
    <w:qFormat/>
    <w:uiPriority w:val="0"/>
    <w:pPr>
      <w:spacing w:line="500" w:lineRule="exact"/>
      <w:jc w:val="center"/>
    </w:pPr>
    <w:rPr>
      <w:b/>
      <w:sz w:val="24"/>
      <w:szCs w:val="20"/>
    </w:rPr>
  </w:style>
  <w:style w:type="character" w:customStyle="1" w:styleId="135">
    <w:name w:val="表外表头 Char"/>
    <w:link w:val="134"/>
    <w:qFormat/>
    <w:uiPriority w:val="0"/>
    <w:rPr>
      <w:rFonts w:eastAsia="宋体"/>
      <w:b/>
      <w:kern w:val="2"/>
      <w:sz w:val="24"/>
      <w:lang w:bidi="ar-SA"/>
    </w:rPr>
  </w:style>
  <w:style w:type="paragraph" w:customStyle="1" w:styleId="136">
    <w:name w:val="正文-biao"/>
    <w:basedOn w:val="1"/>
    <w:link w:val="137"/>
    <w:qFormat/>
    <w:uiPriority w:val="0"/>
    <w:pPr>
      <w:spacing w:before="60" w:line="460" w:lineRule="exact"/>
      <w:ind w:firstLine="482"/>
    </w:pPr>
    <w:rPr>
      <w:rFonts w:hAnsi="宋体"/>
      <w:sz w:val="24"/>
    </w:rPr>
  </w:style>
  <w:style w:type="character" w:customStyle="1" w:styleId="137">
    <w:name w:val="正文-biao Char"/>
    <w:link w:val="136"/>
    <w:qFormat/>
    <w:uiPriority w:val="0"/>
    <w:rPr>
      <w:rFonts w:hAnsi="宋体" w:eastAsia="宋体"/>
      <w:kern w:val="2"/>
      <w:sz w:val="24"/>
      <w:szCs w:val="24"/>
      <w:lang w:val="en-US" w:eastAsia="zh-CN" w:bidi="ar-SA"/>
    </w:rPr>
  </w:style>
  <w:style w:type="paragraph" w:customStyle="1" w:styleId="138">
    <w:name w:val="报告正文"/>
    <w:basedOn w:val="1"/>
    <w:qFormat/>
    <w:uiPriority w:val="0"/>
    <w:pPr>
      <w:spacing w:line="360" w:lineRule="auto"/>
      <w:ind w:firstLine="482"/>
    </w:pPr>
    <w:rPr>
      <w:sz w:val="24"/>
      <w:szCs w:val="21"/>
    </w:rPr>
  </w:style>
  <w:style w:type="paragraph" w:customStyle="1" w:styleId="139">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0">
    <w:name w:val="xl22"/>
    <w:basedOn w:val="1"/>
    <w:qFormat/>
    <w:uiPriority w:val="0"/>
    <w:pPr>
      <w:widowControl/>
      <w:spacing w:before="100" w:after="100"/>
      <w:jc w:val="center"/>
    </w:pPr>
    <w:rPr>
      <w:kern w:val="0"/>
      <w:sz w:val="24"/>
    </w:rPr>
  </w:style>
  <w:style w:type="paragraph" w:customStyle="1" w:styleId="141">
    <w:name w:val="标题五"/>
    <w:basedOn w:val="7"/>
    <w:link w:val="142"/>
    <w:qFormat/>
    <w:uiPriority w:val="0"/>
    <w:pPr>
      <w:tabs>
        <w:tab w:val="left" w:pos="700"/>
      </w:tabs>
      <w:autoSpaceDE w:val="0"/>
      <w:autoSpaceDN w:val="0"/>
      <w:adjustRightInd w:val="0"/>
      <w:spacing w:before="0" w:after="0" w:line="440" w:lineRule="exact"/>
      <w:jc w:val="center"/>
    </w:pPr>
    <w:rPr>
      <w:rFonts w:ascii="Arial" w:hAnsi="Arial"/>
      <w:b w:val="0"/>
      <w:bCs w:val="0"/>
      <w:snapToGrid w:val="0"/>
      <w:kern w:val="0"/>
      <w:sz w:val="24"/>
      <w:szCs w:val="20"/>
    </w:rPr>
  </w:style>
  <w:style w:type="character" w:customStyle="1" w:styleId="142">
    <w:name w:val="标题五 Char Char"/>
    <w:link w:val="141"/>
    <w:qFormat/>
    <w:uiPriority w:val="0"/>
    <w:rPr>
      <w:rFonts w:ascii="Arial" w:hAnsi="Arial"/>
      <w:snapToGrid w:val="0"/>
      <w:sz w:val="24"/>
    </w:rPr>
  </w:style>
  <w:style w:type="paragraph" w:customStyle="1" w:styleId="143">
    <w:name w:val="Char Char Char Char Char Char Char"/>
    <w:basedOn w:val="1"/>
    <w:qFormat/>
    <w:uiPriority w:val="99"/>
    <w:pPr>
      <w:spacing w:line="360" w:lineRule="auto"/>
      <w:ind w:firstLine="200" w:firstLineChars="200"/>
    </w:pPr>
    <w:rPr>
      <w:rFonts w:ascii="宋体" w:hAnsi="宋体" w:cs="宋体"/>
      <w:sz w:val="24"/>
    </w:rPr>
  </w:style>
  <w:style w:type="paragraph" w:customStyle="1" w:styleId="144">
    <w:name w:val="表格"/>
    <w:basedOn w:val="1"/>
    <w:next w:val="1"/>
    <w:link w:val="145"/>
    <w:qFormat/>
    <w:uiPriority w:val="0"/>
    <w:pPr>
      <w:snapToGrid w:val="0"/>
      <w:jc w:val="center"/>
    </w:pPr>
    <w:rPr>
      <w:sz w:val="24"/>
    </w:rPr>
  </w:style>
  <w:style w:type="character" w:customStyle="1" w:styleId="145">
    <w:name w:val="表格 Char"/>
    <w:link w:val="144"/>
    <w:qFormat/>
    <w:uiPriority w:val="0"/>
    <w:rPr>
      <w:rFonts w:eastAsia="宋体"/>
      <w:kern w:val="2"/>
      <w:sz w:val="24"/>
      <w:szCs w:val="24"/>
      <w:lang w:val="en-US" w:eastAsia="zh-CN" w:bidi="ar-SA"/>
    </w:rPr>
  </w:style>
  <w:style w:type="paragraph" w:customStyle="1" w:styleId="146">
    <w:name w:val="默认段落字体 Para Char"/>
    <w:basedOn w:val="1"/>
    <w:qFormat/>
    <w:uiPriority w:val="99"/>
    <w:rPr>
      <w:sz w:val="24"/>
    </w:rPr>
  </w:style>
  <w:style w:type="paragraph" w:customStyle="1" w:styleId="147">
    <w:name w:val="列出段落1"/>
    <w:basedOn w:val="1"/>
    <w:link w:val="148"/>
    <w:unhideWhenUsed/>
    <w:qFormat/>
    <w:uiPriority w:val="0"/>
    <w:pPr>
      <w:ind w:firstLine="420" w:firstLineChars="200"/>
    </w:pPr>
  </w:style>
  <w:style w:type="character" w:customStyle="1" w:styleId="148">
    <w:name w:val="列出段落 Char"/>
    <w:link w:val="147"/>
    <w:qFormat/>
    <w:locked/>
    <w:uiPriority w:val="0"/>
    <w:rPr>
      <w:kern w:val="2"/>
      <w:sz w:val="21"/>
      <w:szCs w:val="24"/>
    </w:rPr>
  </w:style>
  <w:style w:type="paragraph" w:customStyle="1" w:styleId="149">
    <w:name w:val="标题3 非连续"/>
    <w:basedOn w:val="150"/>
    <w:link w:val="152"/>
    <w:qFormat/>
    <w:uiPriority w:val="0"/>
    <w:pPr>
      <w:spacing w:beforeLines="50"/>
    </w:pPr>
  </w:style>
  <w:style w:type="paragraph" w:customStyle="1" w:styleId="150">
    <w:name w:val="标题3"/>
    <w:basedOn w:val="5"/>
    <w:link w:val="151"/>
    <w:qFormat/>
    <w:uiPriority w:val="0"/>
    <w:pPr>
      <w:keepNext/>
      <w:keepLines/>
      <w:spacing w:line="440" w:lineRule="exact"/>
      <w:ind w:left="360" w:hanging="360" w:firstLineChars="0"/>
    </w:pPr>
    <w:rPr>
      <w:rFonts w:ascii="Arial" w:hAnsi="Arial"/>
      <w:b/>
      <w:bCs/>
      <w:kern w:val="0"/>
      <w:szCs w:val="32"/>
    </w:rPr>
  </w:style>
  <w:style w:type="character" w:customStyle="1" w:styleId="151">
    <w:name w:val="标题3 Char"/>
    <w:link w:val="150"/>
    <w:qFormat/>
    <w:uiPriority w:val="0"/>
    <w:rPr>
      <w:rFonts w:ascii="Arial" w:hAnsi="Arial" w:eastAsia="宋体"/>
      <w:b/>
      <w:bCs/>
      <w:sz w:val="24"/>
      <w:szCs w:val="32"/>
      <w:lang w:val="en-US" w:eastAsia="zh-CN" w:bidi="ar-SA"/>
    </w:rPr>
  </w:style>
  <w:style w:type="character" w:customStyle="1" w:styleId="152">
    <w:name w:val="标题3 非连续 Char"/>
    <w:basedOn w:val="151"/>
    <w:link w:val="149"/>
    <w:qFormat/>
    <w:uiPriority w:val="0"/>
    <w:rPr>
      <w:rFonts w:ascii="Arial" w:hAnsi="Arial" w:eastAsia="宋体"/>
      <w:sz w:val="24"/>
      <w:szCs w:val="32"/>
      <w:lang w:val="en-US" w:eastAsia="zh-CN" w:bidi="ar-SA"/>
    </w:rPr>
  </w:style>
  <w:style w:type="paragraph" w:customStyle="1" w:styleId="153">
    <w:name w:val="Char Char Char1 Char Char Char Char Char Char Char Char Char Char Char Char Char1"/>
    <w:basedOn w:val="1"/>
    <w:qFormat/>
    <w:uiPriority w:val="0"/>
    <w:rPr>
      <w:sz w:val="24"/>
    </w:rPr>
  </w:style>
  <w:style w:type="paragraph" w:customStyle="1" w:styleId="154">
    <w:name w:val="1"/>
    <w:basedOn w:val="1"/>
    <w:next w:val="23"/>
    <w:qFormat/>
    <w:uiPriority w:val="99"/>
    <w:rPr>
      <w:rFonts w:ascii="宋体" w:hAnsi="Courier New"/>
      <w:szCs w:val="20"/>
    </w:rPr>
  </w:style>
  <w:style w:type="paragraph" w:customStyle="1" w:styleId="155">
    <w:name w:val="样式 正文001 + 首行缩进:  2 字符1"/>
    <w:basedOn w:val="1"/>
    <w:qFormat/>
    <w:uiPriority w:val="0"/>
    <w:pPr>
      <w:spacing w:before="60" w:line="460" w:lineRule="exact"/>
      <w:ind w:firstLine="480" w:firstLineChars="200"/>
    </w:pPr>
    <w:rPr>
      <w:rFonts w:cs="宋体"/>
      <w:sz w:val="24"/>
      <w:szCs w:val="20"/>
    </w:rPr>
  </w:style>
  <w:style w:type="paragraph" w:customStyle="1" w:styleId="156">
    <w:name w:val="表格非数字"/>
    <w:basedOn w:val="93"/>
    <w:link w:val="157"/>
    <w:qFormat/>
    <w:uiPriority w:val="0"/>
    <w:pPr>
      <w:jc w:val="left"/>
    </w:pPr>
  </w:style>
  <w:style w:type="character" w:customStyle="1" w:styleId="157">
    <w:name w:val="表格非数字 Char"/>
    <w:basedOn w:val="94"/>
    <w:link w:val="156"/>
    <w:qFormat/>
    <w:uiPriority w:val="0"/>
    <w:rPr>
      <w:rFonts w:ascii="Arial" w:hAnsi="Arial" w:eastAsia="宋体" w:cs="宋体"/>
      <w:sz w:val="21"/>
      <w:lang w:val="en-US" w:eastAsia="zh-CN" w:bidi="ar-SA"/>
    </w:rPr>
  </w:style>
  <w:style w:type="paragraph" w:customStyle="1" w:styleId="158">
    <w:name w:val="表格001"/>
    <w:basedOn w:val="1"/>
    <w:qFormat/>
    <w:uiPriority w:val="99"/>
    <w:pPr>
      <w:jc w:val="center"/>
    </w:pPr>
    <w:rPr>
      <w:szCs w:val="20"/>
    </w:rPr>
  </w:style>
  <w:style w:type="paragraph" w:customStyle="1" w:styleId="159">
    <w:name w:val="表文"/>
    <w:basedOn w:val="16"/>
    <w:next w:val="3"/>
    <w:qFormat/>
    <w:uiPriority w:val="99"/>
    <w:pPr>
      <w:spacing w:line="360" w:lineRule="auto"/>
      <w:jc w:val="center"/>
    </w:pPr>
    <w:rPr>
      <w:rFonts w:eastAsia="仿宋_GB2312"/>
      <w:b w:val="0"/>
      <w:bCs w:val="0"/>
      <w:szCs w:val="20"/>
    </w:rPr>
  </w:style>
  <w:style w:type="paragraph" w:customStyle="1" w:styleId="160">
    <w:name w:val="Char3"/>
    <w:basedOn w:val="1"/>
    <w:qFormat/>
    <w:uiPriority w:val="0"/>
    <w:rPr>
      <w:sz w:val="24"/>
    </w:rPr>
  </w:style>
  <w:style w:type="paragraph" w:customStyle="1" w:styleId="161">
    <w:name w:val="表-一级标题"/>
    <w:basedOn w:val="4"/>
    <w:qFormat/>
    <w:uiPriority w:val="0"/>
    <w:pPr>
      <w:adjustRightInd w:val="0"/>
      <w:snapToGrid w:val="0"/>
      <w:spacing w:before="0" w:after="0" w:line="460" w:lineRule="exact"/>
    </w:pPr>
    <w:rPr>
      <w:color w:val="000000"/>
      <w:sz w:val="28"/>
      <w:szCs w:val="20"/>
    </w:rPr>
  </w:style>
  <w:style w:type="paragraph" w:customStyle="1" w:styleId="162">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163">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kern w:val="0"/>
      <w:sz w:val="24"/>
    </w:rPr>
  </w:style>
  <w:style w:type="paragraph" w:customStyle="1" w:styleId="164">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165">
    <w:name w:val="Char Char Char Char Char Char Char Char Char Char Char Char1 Char Char Char Char"/>
    <w:basedOn w:val="1"/>
    <w:qFormat/>
    <w:uiPriority w:val="0"/>
    <w:pPr>
      <w:spacing w:line="360" w:lineRule="auto"/>
      <w:ind w:firstLine="200" w:firstLineChars="200"/>
    </w:pPr>
    <w:rPr>
      <w:kern w:val="0"/>
      <w:sz w:val="24"/>
    </w:rPr>
  </w:style>
  <w:style w:type="paragraph" w:customStyle="1" w:styleId="166">
    <w:name w:val="样式 表格2 + 行距: 最小值 16 磅"/>
    <w:basedOn w:val="1"/>
    <w:qFormat/>
    <w:uiPriority w:val="0"/>
    <w:pPr>
      <w:spacing w:line="360" w:lineRule="atLeast"/>
      <w:jc w:val="center"/>
    </w:pPr>
    <w:rPr>
      <w:rFonts w:cs="宋体"/>
      <w:szCs w:val="20"/>
    </w:rPr>
  </w:style>
  <w:style w:type="paragraph" w:customStyle="1" w:styleId="167">
    <w:name w:val="p0"/>
    <w:basedOn w:val="1"/>
    <w:qFormat/>
    <w:uiPriority w:val="0"/>
    <w:pPr>
      <w:widowControl/>
    </w:pPr>
    <w:rPr>
      <w:rFonts w:ascii="Calibri" w:hAnsi="Calibri" w:cs="宋体"/>
      <w:kern w:val="0"/>
      <w:szCs w:val="21"/>
    </w:rPr>
  </w:style>
  <w:style w:type="paragraph" w:customStyle="1" w:styleId="168">
    <w:name w:val="样式1"/>
    <w:basedOn w:val="1"/>
    <w:link w:val="169"/>
    <w:qFormat/>
    <w:uiPriority w:val="0"/>
    <w:pPr>
      <w:spacing w:line="360" w:lineRule="auto"/>
      <w:ind w:firstLine="567"/>
    </w:pPr>
    <w:rPr>
      <w:sz w:val="24"/>
      <w:szCs w:val="20"/>
    </w:rPr>
  </w:style>
  <w:style w:type="character" w:customStyle="1" w:styleId="169">
    <w:name w:val="样式1 Char"/>
    <w:link w:val="168"/>
    <w:qFormat/>
    <w:uiPriority w:val="0"/>
    <w:rPr>
      <w:rFonts w:eastAsia="宋体"/>
      <w:kern w:val="2"/>
      <w:sz w:val="24"/>
      <w:lang w:val="en-US" w:eastAsia="zh-CN" w:bidi="ar-SA"/>
    </w:rPr>
  </w:style>
  <w:style w:type="paragraph" w:customStyle="1" w:styleId="170">
    <w:name w:val="样式2"/>
    <w:basedOn w:val="171"/>
    <w:qFormat/>
    <w:uiPriority w:val="0"/>
  </w:style>
  <w:style w:type="paragraph" w:customStyle="1" w:styleId="171">
    <w:name w:val="2级标题"/>
    <w:basedOn w:val="1"/>
    <w:qFormat/>
    <w:uiPriority w:val="0"/>
    <w:pPr>
      <w:spacing w:before="60" w:line="460" w:lineRule="exact"/>
      <w:outlineLvl w:val="1"/>
    </w:pPr>
    <w:rPr>
      <w:b/>
      <w:kern w:val="0"/>
      <w:sz w:val="28"/>
    </w:rPr>
  </w:style>
  <w:style w:type="paragraph" w:customStyle="1" w:styleId="172">
    <w:name w:val="报告表正文非连续目录"/>
    <w:basedOn w:val="105"/>
    <w:link w:val="173"/>
    <w:qFormat/>
    <w:uiPriority w:val="0"/>
    <w:pPr>
      <w:spacing w:before="240"/>
    </w:pPr>
  </w:style>
  <w:style w:type="character" w:customStyle="1" w:styleId="173">
    <w:name w:val="报告表正文非连续目录 Char"/>
    <w:basedOn w:val="106"/>
    <w:link w:val="172"/>
    <w:qFormat/>
    <w:uiPriority w:val="0"/>
    <w:rPr>
      <w:rFonts w:hAnsi="宋体"/>
      <w:snapToGrid w:val="0"/>
      <w:color w:val="FF6600"/>
      <w:kern w:val="10"/>
      <w:sz w:val="24"/>
      <w:szCs w:val="24"/>
      <w:lang w:val="en-US" w:eastAsia="zh-CN" w:bidi="ar-SA"/>
    </w:rPr>
  </w:style>
  <w:style w:type="paragraph" w:customStyle="1" w:styleId="174">
    <w:name w:val="标准"/>
    <w:basedOn w:val="1"/>
    <w:qFormat/>
    <w:uiPriority w:val="0"/>
    <w:pPr>
      <w:adjustRightInd w:val="0"/>
      <w:spacing w:line="312" w:lineRule="atLeast"/>
      <w:textAlignment w:val="baseline"/>
    </w:pPr>
    <w:rPr>
      <w:rFonts w:ascii="楷体_GB2312" w:hAnsi="Script" w:eastAsia="楷体_GB2312"/>
      <w:kern w:val="0"/>
      <w:sz w:val="24"/>
      <w:szCs w:val="20"/>
    </w:rPr>
  </w:style>
  <w:style w:type="paragraph" w:customStyle="1" w:styleId="175">
    <w:name w:val="Char Char Char1 Char Char Char Char Char Char Char Char Char Char Char Char Char2"/>
    <w:basedOn w:val="1"/>
    <w:qFormat/>
    <w:uiPriority w:val="99"/>
    <w:rPr>
      <w:sz w:val="24"/>
    </w:rPr>
  </w:style>
  <w:style w:type="paragraph" w:customStyle="1" w:styleId="176">
    <w:name w:val="1.1.1"/>
    <w:basedOn w:val="1"/>
    <w:qFormat/>
    <w:uiPriority w:val="0"/>
    <w:rPr>
      <w:rFonts w:ascii="黑体"/>
      <w:sz w:val="24"/>
    </w:rPr>
  </w:style>
  <w:style w:type="paragraph" w:customStyle="1" w:styleId="177">
    <w:name w:val="报告书表格其他"/>
    <w:basedOn w:val="178"/>
    <w:qFormat/>
    <w:uiPriority w:val="0"/>
    <w:pPr>
      <w:jc w:val="left"/>
    </w:pPr>
  </w:style>
  <w:style w:type="paragraph" w:customStyle="1" w:styleId="178">
    <w:name w:val="报告表表格"/>
    <w:basedOn w:val="1"/>
    <w:link w:val="179"/>
    <w:qFormat/>
    <w:uiPriority w:val="0"/>
    <w:pPr>
      <w:spacing w:line="360" w:lineRule="exact"/>
      <w:jc w:val="center"/>
    </w:pPr>
    <w:rPr>
      <w:rFonts w:ascii="Arial" w:hAnsi="Arial"/>
      <w:szCs w:val="21"/>
    </w:rPr>
  </w:style>
  <w:style w:type="character" w:customStyle="1" w:styleId="179">
    <w:name w:val="报告表表格 Char"/>
    <w:link w:val="178"/>
    <w:qFormat/>
    <w:uiPriority w:val="0"/>
    <w:rPr>
      <w:rFonts w:ascii="Arial" w:hAnsi="Arial" w:eastAsia="宋体"/>
      <w:kern w:val="2"/>
      <w:sz w:val="21"/>
      <w:szCs w:val="21"/>
      <w:lang w:val="en-US" w:eastAsia="zh-CN" w:bidi="ar-SA"/>
    </w:rPr>
  </w:style>
  <w:style w:type="paragraph" w:customStyle="1" w:styleId="180">
    <w:name w:val="表格表题"/>
    <w:basedOn w:val="1"/>
    <w:qFormat/>
    <w:uiPriority w:val="0"/>
    <w:pPr>
      <w:spacing w:before="60" w:line="460" w:lineRule="exact"/>
      <w:jc w:val="center"/>
    </w:pPr>
    <w:rPr>
      <w:sz w:val="24"/>
      <w:szCs w:val="20"/>
    </w:rPr>
  </w:style>
  <w:style w:type="paragraph" w:customStyle="1" w:styleId="181">
    <w:name w:val="xl31"/>
    <w:basedOn w:val="1"/>
    <w:qFormat/>
    <w:uiPriority w:val="0"/>
    <w:pPr>
      <w:widowControl/>
      <w:pBdr>
        <w:bottom w:val="single" w:color="000000" w:sz="4" w:space="0"/>
        <w:right w:val="single" w:color="000000" w:sz="4" w:space="0"/>
      </w:pBdr>
      <w:spacing w:before="100" w:beforeAutospacing="1" w:after="100" w:afterAutospacing="1"/>
      <w:jc w:val="center"/>
    </w:pPr>
    <w:rPr>
      <w:rFonts w:eastAsia="Arial Unicode MS"/>
      <w:kern w:val="0"/>
      <w:szCs w:val="21"/>
    </w:rPr>
  </w:style>
  <w:style w:type="paragraph" w:customStyle="1" w:styleId="182">
    <w:name w:val="xl26"/>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jc w:val="center"/>
      <w:textAlignment w:val="baseline"/>
    </w:pPr>
    <w:rPr>
      <w:rFonts w:ascii="宋体" w:hAnsi="宋体"/>
      <w:kern w:val="0"/>
      <w:szCs w:val="20"/>
    </w:rPr>
  </w:style>
  <w:style w:type="paragraph" w:customStyle="1" w:styleId="183">
    <w:name w:val="Char Char Char Char"/>
    <w:basedOn w:val="1"/>
    <w:qFormat/>
    <w:uiPriority w:val="99"/>
    <w:pPr>
      <w:spacing w:line="360" w:lineRule="auto"/>
      <w:ind w:firstLine="200" w:firstLineChars="200"/>
    </w:pPr>
    <w:rPr>
      <w:rFonts w:ascii="宋体" w:hAnsi="宋体" w:cs="宋体"/>
      <w:sz w:val="24"/>
    </w:rPr>
  </w:style>
  <w:style w:type="paragraph" w:customStyle="1" w:styleId="184">
    <w:name w:val="表名"/>
    <w:basedOn w:val="1"/>
    <w:qFormat/>
    <w:uiPriority w:val="0"/>
    <w:pPr>
      <w:adjustRightInd w:val="0"/>
      <w:snapToGrid w:val="0"/>
      <w:spacing w:line="336" w:lineRule="auto"/>
      <w:jc w:val="center"/>
    </w:pPr>
    <w:rPr>
      <w:rFonts w:ascii="黑体" w:hAnsi="宋体" w:eastAsia="黑体"/>
      <w:sz w:val="24"/>
    </w:rPr>
  </w:style>
  <w:style w:type="paragraph" w:customStyle="1" w:styleId="185">
    <w:name w:val="报告书表格"/>
    <w:basedOn w:val="1"/>
    <w:link w:val="186"/>
    <w:qFormat/>
    <w:uiPriority w:val="0"/>
    <w:pPr>
      <w:adjustRightInd w:val="0"/>
      <w:spacing w:line="360" w:lineRule="atLeast"/>
      <w:jc w:val="center"/>
      <w:textAlignment w:val="baseline"/>
    </w:pPr>
    <w:rPr>
      <w:rFonts w:ascii="Arial" w:hAnsi="Arial"/>
      <w:kern w:val="0"/>
      <w:szCs w:val="20"/>
    </w:rPr>
  </w:style>
  <w:style w:type="character" w:customStyle="1" w:styleId="186">
    <w:name w:val="报告书表格 Char"/>
    <w:link w:val="185"/>
    <w:qFormat/>
    <w:uiPriority w:val="0"/>
    <w:rPr>
      <w:rFonts w:ascii="Arial" w:hAnsi="Arial" w:eastAsia="宋体"/>
      <w:sz w:val="21"/>
      <w:lang w:val="en-US" w:eastAsia="zh-CN" w:bidi="ar-SA"/>
    </w:rPr>
  </w:style>
  <w:style w:type="paragraph" w:customStyle="1" w:styleId="187">
    <w:name w:val="MTDisplayEquation"/>
    <w:basedOn w:val="1"/>
    <w:next w:val="1"/>
    <w:qFormat/>
    <w:uiPriority w:val="0"/>
    <w:pPr>
      <w:tabs>
        <w:tab w:val="center" w:pos="4160"/>
        <w:tab w:val="right" w:pos="8300"/>
      </w:tabs>
      <w:spacing w:line="440" w:lineRule="exact"/>
      <w:ind w:firstLine="200" w:firstLineChars="200"/>
    </w:pPr>
    <w:rPr>
      <w:rFonts w:eastAsia="仿宋_GB2312"/>
      <w:bCs/>
      <w:sz w:val="32"/>
    </w:rPr>
  </w:style>
  <w:style w:type="paragraph" w:customStyle="1" w:styleId="188">
    <w:name w:val="Char Char Char Char11"/>
    <w:basedOn w:val="1"/>
    <w:qFormat/>
    <w:uiPriority w:val="0"/>
    <w:rPr>
      <w:sz w:val="24"/>
    </w:rPr>
  </w:style>
  <w:style w:type="paragraph" w:customStyle="1" w:styleId="189">
    <w:name w:val="标题111 Char Char Char Char"/>
    <w:basedOn w:val="1"/>
    <w:qFormat/>
    <w:uiPriority w:val="0"/>
    <w:pPr>
      <w:spacing w:line="360" w:lineRule="auto"/>
      <w:ind w:firstLine="200" w:firstLineChars="200"/>
    </w:pPr>
    <w:rPr>
      <w:rFonts w:ascii="宋体" w:hAnsi="宋体" w:cs="宋体"/>
      <w:sz w:val="24"/>
    </w:rPr>
  </w:style>
  <w:style w:type="paragraph" w:customStyle="1" w:styleId="190">
    <w:name w:val="3 Char"/>
    <w:basedOn w:val="1"/>
    <w:qFormat/>
    <w:uiPriority w:val="0"/>
    <w:rPr>
      <w:szCs w:val="21"/>
    </w:rPr>
  </w:style>
  <w:style w:type="paragraph" w:customStyle="1" w:styleId="191">
    <w:name w:val="3级标题"/>
    <w:basedOn w:val="1"/>
    <w:link w:val="192"/>
    <w:qFormat/>
    <w:uiPriority w:val="0"/>
    <w:pPr>
      <w:spacing w:before="300" w:line="460" w:lineRule="exact"/>
      <w:outlineLvl w:val="2"/>
    </w:pPr>
    <w:rPr>
      <w:b/>
      <w:kern w:val="0"/>
      <w:sz w:val="24"/>
    </w:rPr>
  </w:style>
  <w:style w:type="character" w:customStyle="1" w:styleId="192">
    <w:name w:val="3级标题 Char"/>
    <w:link w:val="191"/>
    <w:qFormat/>
    <w:uiPriority w:val="0"/>
    <w:rPr>
      <w:rFonts w:eastAsia="宋体"/>
      <w:b/>
      <w:sz w:val="24"/>
      <w:szCs w:val="24"/>
      <w:lang w:val="en-US" w:eastAsia="zh-CN" w:bidi="ar-SA"/>
    </w:rPr>
  </w:style>
  <w:style w:type="paragraph" w:customStyle="1" w:styleId="193">
    <w:name w:val="样式5"/>
    <w:basedOn w:val="16"/>
    <w:qFormat/>
    <w:uiPriority w:val="0"/>
    <w:pPr>
      <w:ind w:right="-105" w:rightChars="-50"/>
      <w:jc w:val="center"/>
    </w:pPr>
    <w:rPr>
      <w:rFonts w:ascii="宋体"/>
      <w:b w:val="0"/>
      <w:bCs w:val="0"/>
      <w:sz w:val="21"/>
    </w:rPr>
  </w:style>
  <w:style w:type="paragraph" w:customStyle="1" w:styleId="194">
    <w:name w:val="样式7"/>
    <w:basedOn w:val="1"/>
    <w:qFormat/>
    <w:uiPriority w:val="0"/>
    <w:pPr>
      <w:spacing w:line="500" w:lineRule="exact"/>
      <w:ind w:firstLine="480" w:firstLineChars="200"/>
    </w:pPr>
    <w:rPr>
      <w:rFonts w:hAnsi="宋体"/>
      <w:kern w:val="0"/>
      <w:sz w:val="24"/>
    </w:rPr>
  </w:style>
  <w:style w:type="paragraph" w:customStyle="1" w:styleId="195">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196">
    <w:name w:val="环评正文"/>
    <w:basedOn w:val="1"/>
    <w:link w:val="197"/>
    <w:qFormat/>
    <w:uiPriority w:val="0"/>
    <w:pPr>
      <w:spacing w:line="360" w:lineRule="auto"/>
    </w:pPr>
    <w:rPr>
      <w:rFonts w:ascii="宋体" w:hAnsi="宋体" w:cs="宋体"/>
      <w:sz w:val="24"/>
    </w:rPr>
  </w:style>
  <w:style w:type="character" w:customStyle="1" w:styleId="197">
    <w:name w:val="环评正文 Char"/>
    <w:link w:val="196"/>
    <w:qFormat/>
    <w:uiPriority w:val="0"/>
    <w:rPr>
      <w:rFonts w:ascii="宋体" w:hAnsi="宋体" w:eastAsia="宋体" w:cs="宋体"/>
      <w:kern w:val="2"/>
      <w:sz w:val="24"/>
      <w:szCs w:val="24"/>
      <w:lang w:val="en-US" w:eastAsia="zh-CN" w:bidi="ar-SA"/>
    </w:rPr>
  </w:style>
  <w:style w:type="paragraph" w:customStyle="1" w:styleId="198">
    <w:name w:val="Char Char Char Char Char Char Char1"/>
    <w:basedOn w:val="1"/>
    <w:qFormat/>
    <w:uiPriority w:val="99"/>
    <w:pPr>
      <w:spacing w:line="440" w:lineRule="exact"/>
    </w:pPr>
    <w:rPr>
      <w:rFonts w:eastAsia="仿宋_GB2312"/>
      <w:color w:val="FF0000"/>
      <w:sz w:val="24"/>
    </w:rPr>
  </w:style>
  <w:style w:type="paragraph" w:customStyle="1" w:styleId="199">
    <w:name w:val="君邦正文"/>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200">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01">
    <w:name w:val="－列表2"/>
    <w:basedOn w:val="1"/>
    <w:semiHidden/>
    <w:qFormat/>
    <w:uiPriority w:val="0"/>
    <w:pPr>
      <w:jc w:val="center"/>
    </w:pPr>
    <w:rPr>
      <w:szCs w:val="21"/>
    </w:rPr>
  </w:style>
  <w:style w:type="paragraph" w:customStyle="1" w:styleId="202">
    <w:name w:val="表格式"/>
    <w:basedOn w:val="30"/>
    <w:link w:val="203"/>
    <w:qFormat/>
    <w:uiPriority w:val="0"/>
    <w:pPr>
      <w:spacing w:before="60" w:after="100" w:line="320" w:lineRule="exact"/>
      <w:ind w:left="0" w:firstLine="0" w:firstLineChars="0"/>
      <w:jc w:val="center"/>
    </w:pPr>
    <w:rPr>
      <w:rFonts w:ascii="宋体" w:hAnsi="Brush Script MT"/>
      <w:szCs w:val="20"/>
    </w:rPr>
  </w:style>
  <w:style w:type="character" w:customStyle="1" w:styleId="203">
    <w:name w:val="表格式 Char"/>
    <w:basedOn w:val="42"/>
    <w:link w:val="202"/>
    <w:qFormat/>
    <w:uiPriority w:val="0"/>
    <w:rPr>
      <w:rFonts w:ascii="宋体" w:hAnsi="Brush Script MT"/>
      <w:kern w:val="2"/>
      <w:sz w:val="21"/>
    </w:rPr>
  </w:style>
  <w:style w:type="paragraph" w:customStyle="1" w:styleId="204">
    <w:name w:val="Char Char Char Char Char Char Char Char Char Char"/>
    <w:basedOn w:val="1"/>
    <w:qFormat/>
    <w:uiPriority w:val="99"/>
    <w:pPr>
      <w:spacing w:line="360" w:lineRule="auto"/>
      <w:ind w:firstLine="200" w:firstLineChars="200"/>
    </w:pPr>
    <w:rPr>
      <w:rFonts w:ascii="宋体" w:hAnsi="宋体" w:cs="宋体"/>
      <w:sz w:val="24"/>
    </w:rPr>
  </w:style>
  <w:style w:type="paragraph" w:customStyle="1" w:styleId="205">
    <w:name w:val="列出段落11"/>
    <w:basedOn w:val="1"/>
    <w:qFormat/>
    <w:uiPriority w:val="0"/>
    <w:pPr>
      <w:ind w:firstLine="420" w:firstLineChars="200"/>
    </w:pPr>
    <w:rPr>
      <w:rFonts w:ascii="Calibri" w:hAnsi="Calibri"/>
      <w:szCs w:val="22"/>
    </w:rPr>
  </w:style>
  <w:style w:type="paragraph" w:customStyle="1" w:styleId="206">
    <w:name w:val="图标"/>
    <w:basedOn w:val="1"/>
    <w:qFormat/>
    <w:uiPriority w:val="0"/>
    <w:pPr>
      <w:spacing w:line="440" w:lineRule="exact"/>
      <w:jc w:val="center"/>
    </w:pPr>
    <w:rPr>
      <w:rFonts w:ascii="黑体" w:eastAsia="黑体"/>
      <w:sz w:val="28"/>
      <w:szCs w:val="20"/>
    </w:rPr>
  </w:style>
  <w:style w:type="paragraph" w:customStyle="1" w:styleId="207">
    <w:name w:val="表-三级标题"/>
    <w:basedOn w:val="5"/>
    <w:link w:val="208"/>
    <w:qFormat/>
    <w:uiPriority w:val="0"/>
    <w:pPr>
      <w:spacing w:before="60" w:line="460" w:lineRule="exact"/>
    </w:pPr>
    <w:rPr>
      <w:rFonts w:ascii="Arial" w:hAnsi="Arial" w:cs="Arial"/>
    </w:rPr>
  </w:style>
  <w:style w:type="character" w:customStyle="1" w:styleId="208">
    <w:name w:val="表-三级标题 Char"/>
    <w:link w:val="207"/>
    <w:qFormat/>
    <w:uiPriority w:val="0"/>
    <w:rPr>
      <w:rFonts w:ascii="Arial" w:hAnsi="Arial" w:eastAsia="宋体" w:cs="Arial"/>
      <w:kern w:val="2"/>
      <w:sz w:val="24"/>
      <w:szCs w:val="24"/>
      <w:lang w:val="en-US" w:eastAsia="zh-CN" w:bidi="ar-SA"/>
    </w:rPr>
  </w:style>
  <w:style w:type="paragraph" w:customStyle="1" w:styleId="209">
    <w:name w:val="小目录"/>
    <w:basedOn w:val="1"/>
    <w:qFormat/>
    <w:uiPriority w:val="0"/>
    <w:pPr>
      <w:widowControl/>
      <w:tabs>
        <w:tab w:val="left" w:pos="840"/>
        <w:tab w:val="center" w:pos="4538"/>
      </w:tabs>
      <w:spacing w:line="360" w:lineRule="auto"/>
      <w:ind w:left="840" w:hanging="420"/>
      <w:jc w:val="left"/>
    </w:pPr>
    <w:rPr>
      <w:b/>
      <w:color w:val="000000"/>
      <w:sz w:val="24"/>
      <w:szCs w:val="20"/>
    </w:rPr>
  </w:style>
  <w:style w:type="paragraph" w:customStyle="1" w:styleId="210">
    <w:name w:val="正文缩近"/>
    <w:basedOn w:val="1"/>
    <w:qFormat/>
    <w:uiPriority w:val="0"/>
    <w:pPr>
      <w:spacing w:line="360" w:lineRule="auto"/>
      <w:ind w:firstLine="560" w:firstLineChars="200"/>
    </w:pPr>
    <w:rPr>
      <w:sz w:val="28"/>
      <w:szCs w:val="28"/>
    </w:rPr>
  </w:style>
  <w:style w:type="paragraph" w:customStyle="1" w:styleId="211">
    <w:name w:val="样式3"/>
    <w:basedOn w:val="91"/>
    <w:link w:val="212"/>
    <w:qFormat/>
    <w:uiPriority w:val="0"/>
    <w:pPr>
      <w:spacing w:before="0" w:line="500" w:lineRule="exact"/>
      <w:ind w:firstLine="480"/>
    </w:pPr>
    <w:rPr>
      <w:rFonts w:hAnsi="宋体"/>
      <w:szCs w:val="24"/>
    </w:rPr>
  </w:style>
  <w:style w:type="character" w:customStyle="1" w:styleId="212">
    <w:name w:val="样式3 Char"/>
    <w:link w:val="211"/>
    <w:qFormat/>
    <w:uiPriority w:val="0"/>
    <w:rPr>
      <w:rFonts w:ascii="Arial" w:hAnsi="宋体" w:eastAsia="宋体"/>
      <w:kern w:val="2"/>
      <w:sz w:val="24"/>
      <w:szCs w:val="24"/>
      <w:lang w:val="en-US" w:eastAsia="zh-CN" w:bidi="ar-SA"/>
    </w:rPr>
  </w:style>
  <w:style w:type="paragraph" w:customStyle="1" w:styleId="213">
    <w:name w:val="表格文字"/>
    <w:basedOn w:val="23"/>
    <w:link w:val="214"/>
    <w:qFormat/>
    <w:uiPriority w:val="0"/>
    <w:pPr>
      <w:snapToGrid w:val="0"/>
      <w:jc w:val="center"/>
    </w:pPr>
    <w:rPr>
      <w:rFonts w:ascii="Times New Roman" w:hAnsi="Times New Roman"/>
      <w:sz w:val="21"/>
      <w:szCs w:val="21"/>
    </w:rPr>
  </w:style>
  <w:style w:type="character" w:customStyle="1" w:styleId="214">
    <w:name w:val="表格文字 Char"/>
    <w:link w:val="213"/>
    <w:qFormat/>
    <w:locked/>
    <w:uiPriority w:val="0"/>
    <w:rPr>
      <w:kern w:val="2"/>
      <w:sz w:val="21"/>
      <w:szCs w:val="21"/>
    </w:rPr>
  </w:style>
  <w:style w:type="paragraph" w:customStyle="1" w:styleId="215">
    <w:name w:val="表-二级标题"/>
    <w:basedOn w:val="2"/>
    <w:link w:val="216"/>
    <w:qFormat/>
    <w:uiPriority w:val="0"/>
    <w:pPr>
      <w:tabs>
        <w:tab w:val="left" w:pos="511"/>
      </w:tabs>
      <w:spacing w:before="60" w:line="460" w:lineRule="exact"/>
      <w:ind w:left="-56" w:firstLine="482"/>
    </w:pPr>
    <w:rPr>
      <w:rFonts w:ascii="Arial" w:hAnsi="Arial"/>
      <w:color w:val="auto"/>
      <w:szCs w:val="32"/>
    </w:rPr>
  </w:style>
  <w:style w:type="character" w:customStyle="1" w:styleId="216">
    <w:name w:val="表-二级标题 Char"/>
    <w:link w:val="215"/>
    <w:qFormat/>
    <w:uiPriority w:val="0"/>
    <w:rPr>
      <w:rFonts w:ascii="Arial" w:hAnsi="Arial" w:cs="Arial"/>
      <w:b/>
      <w:kern w:val="2"/>
      <w:sz w:val="24"/>
      <w:szCs w:val="32"/>
    </w:rPr>
  </w:style>
  <w:style w:type="paragraph" w:customStyle="1" w:styleId="217">
    <w:name w:val="样式10"/>
    <w:basedOn w:val="1"/>
    <w:qFormat/>
    <w:uiPriority w:val="0"/>
    <w:pPr>
      <w:spacing w:before="120"/>
      <w:outlineLvl w:val="2"/>
    </w:pPr>
    <w:rPr>
      <w:b/>
      <w:kern w:val="0"/>
      <w:sz w:val="24"/>
    </w:rPr>
  </w:style>
  <w:style w:type="paragraph" w:customStyle="1" w:styleId="218">
    <w:name w:val="正文my"/>
    <w:basedOn w:val="18"/>
    <w:qFormat/>
    <w:uiPriority w:val="0"/>
    <w:pPr>
      <w:spacing w:before="60" w:line="480" w:lineRule="exact"/>
      <w:ind w:firstLine="200"/>
    </w:pPr>
    <w:rPr>
      <w:b w:val="0"/>
      <w:bCs w:val="0"/>
      <w:szCs w:val="20"/>
    </w:rPr>
  </w:style>
  <w:style w:type="paragraph" w:customStyle="1" w:styleId="219">
    <w:name w:val="WPS Plain"/>
    <w:qFormat/>
    <w:uiPriority w:val="0"/>
    <w:rPr>
      <w:rFonts w:ascii="Times New Roman" w:hAnsi="Times New Roman" w:eastAsia="宋体" w:cs="Times New Roman"/>
      <w:lang w:val="en-US" w:eastAsia="zh-CN" w:bidi="ar-SA"/>
    </w:rPr>
  </w:style>
  <w:style w:type="paragraph" w:customStyle="1" w:styleId="220">
    <w:name w:val="Char2"/>
    <w:basedOn w:val="1"/>
    <w:qFormat/>
    <w:uiPriority w:val="0"/>
    <w:pPr>
      <w:spacing w:line="360" w:lineRule="auto"/>
      <w:ind w:firstLine="200" w:firstLineChars="200"/>
    </w:pPr>
    <w:rPr>
      <w:rFonts w:ascii="宋体" w:hAnsi="宋体" w:cs="宋体"/>
      <w:sz w:val="24"/>
    </w:rPr>
  </w:style>
  <w:style w:type="paragraph" w:customStyle="1" w:styleId="221">
    <w:name w:val="默认段落字体 Para Char Char Char Char Char Char Char"/>
    <w:basedOn w:val="1"/>
    <w:qFormat/>
    <w:uiPriority w:val="0"/>
    <w:pPr>
      <w:adjustRightInd w:val="0"/>
      <w:spacing w:line="360" w:lineRule="auto"/>
      <w:ind w:left="200" w:hanging="200" w:hangingChars="200"/>
      <w:textAlignment w:val="baseline"/>
    </w:pPr>
    <w:rPr>
      <w:kern w:val="0"/>
      <w:sz w:val="24"/>
      <w:szCs w:val="20"/>
    </w:rPr>
  </w:style>
  <w:style w:type="paragraph" w:customStyle="1" w:styleId="222">
    <w:name w:val="五号表格"/>
    <w:basedOn w:val="1"/>
    <w:link w:val="326"/>
    <w:qFormat/>
    <w:uiPriority w:val="0"/>
    <w:pPr>
      <w:spacing w:line="360" w:lineRule="auto"/>
      <w:jc w:val="center"/>
    </w:pPr>
    <w:rPr>
      <w:kern w:val="0"/>
      <w:sz w:val="24"/>
      <w:szCs w:val="20"/>
    </w:rPr>
  </w:style>
  <w:style w:type="paragraph" w:customStyle="1" w:styleId="223">
    <w:name w:val="Char"/>
    <w:basedOn w:val="1"/>
    <w:qFormat/>
    <w:uiPriority w:val="0"/>
    <w:rPr>
      <w:sz w:val="24"/>
    </w:rPr>
  </w:style>
  <w:style w:type="character" w:customStyle="1" w:styleId="224">
    <w:name w:val="px14"/>
    <w:basedOn w:val="42"/>
    <w:qFormat/>
    <w:uiPriority w:val="0"/>
  </w:style>
  <w:style w:type="character" w:customStyle="1" w:styleId="225">
    <w:name w:val="Char Char1"/>
    <w:qFormat/>
    <w:uiPriority w:val="0"/>
    <w:rPr>
      <w:rFonts w:ascii="宋体" w:hAnsi="Courier New" w:eastAsia="宋体"/>
      <w:kern w:val="2"/>
      <w:lang w:val="en-US" w:eastAsia="zh-CN" w:bidi="ar-SA"/>
    </w:rPr>
  </w:style>
  <w:style w:type="character" w:customStyle="1" w:styleId="226">
    <w:name w:val="Char Char5"/>
    <w:qFormat/>
    <w:uiPriority w:val="0"/>
    <w:rPr>
      <w:rFonts w:eastAsia="宋体"/>
      <w:b/>
      <w:color w:val="000000"/>
      <w:kern w:val="2"/>
      <w:sz w:val="24"/>
      <w:szCs w:val="24"/>
      <w:lang w:val="en-US" w:eastAsia="zh-CN" w:bidi="ar-SA"/>
    </w:rPr>
  </w:style>
  <w:style w:type="character" w:customStyle="1" w:styleId="227">
    <w:name w:val="lh151"/>
    <w:qFormat/>
    <w:uiPriority w:val="0"/>
  </w:style>
  <w:style w:type="character" w:customStyle="1" w:styleId="228">
    <w:name w:val="lb21"/>
    <w:qFormat/>
    <w:uiPriority w:val="0"/>
    <w:rPr>
      <w:color w:val="000000"/>
      <w:sz w:val="21"/>
      <w:szCs w:val="21"/>
    </w:rPr>
  </w:style>
  <w:style w:type="character" w:customStyle="1" w:styleId="229">
    <w:name w:val="未命名3"/>
    <w:basedOn w:val="42"/>
    <w:qFormat/>
    <w:uiPriority w:val="0"/>
  </w:style>
  <w:style w:type="character" w:customStyle="1" w:styleId="230">
    <w:name w:val="标题节 Char1"/>
    <w:qFormat/>
    <w:uiPriority w:val="0"/>
    <w:rPr>
      <w:rFonts w:eastAsia="宋体"/>
      <w:b/>
      <w:color w:val="000000"/>
      <w:kern w:val="2"/>
      <w:sz w:val="24"/>
      <w:szCs w:val="24"/>
      <w:lang w:val="en-US" w:eastAsia="zh-CN" w:bidi="ar-SA"/>
    </w:rPr>
  </w:style>
  <w:style w:type="character" w:customStyle="1" w:styleId="231">
    <w:name w:val="正文1 Char Char"/>
    <w:qFormat/>
    <w:uiPriority w:val="0"/>
    <w:rPr>
      <w:rFonts w:eastAsia="宋体"/>
      <w:kern w:val="2"/>
      <w:sz w:val="28"/>
      <w:lang w:val="en-US" w:eastAsia="zh-CN" w:bidi="ar-SA"/>
    </w:rPr>
  </w:style>
  <w:style w:type="character" w:customStyle="1" w:styleId="232">
    <w:name w:val="正文缩进 Char1"/>
    <w:qFormat/>
    <w:uiPriority w:val="0"/>
    <w:rPr>
      <w:rFonts w:eastAsia="宋体"/>
      <w:kern w:val="2"/>
      <w:sz w:val="21"/>
      <w:lang w:val="en-US" w:eastAsia="zh-CN" w:bidi="ar-SA"/>
    </w:rPr>
  </w:style>
  <w:style w:type="character" w:customStyle="1" w:styleId="233">
    <w:name w:val="标题 2 Char1"/>
    <w:qFormat/>
    <w:uiPriority w:val="0"/>
    <w:rPr>
      <w:rFonts w:eastAsia="宋体"/>
      <w:b/>
      <w:color w:val="000000"/>
      <w:kern w:val="2"/>
      <w:sz w:val="24"/>
      <w:szCs w:val="24"/>
      <w:lang w:val="en-US" w:eastAsia="zh-CN" w:bidi="ar-SA"/>
    </w:rPr>
  </w:style>
  <w:style w:type="character" w:customStyle="1" w:styleId="234">
    <w:name w:val="纯文本 Char"/>
    <w:qFormat/>
    <w:uiPriority w:val="99"/>
    <w:rPr>
      <w:rFonts w:ascii="宋体" w:hAnsi="Courier New" w:eastAsia="宋体"/>
      <w:kern w:val="2"/>
      <w:lang w:val="en-US" w:eastAsia="zh-CN" w:bidi="ar-SA"/>
    </w:rPr>
  </w:style>
  <w:style w:type="character" w:customStyle="1" w:styleId="235">
    <w:name w:val="正文01 Char Char"/>
    <w:qFormat/>
    <w:uiPriority w:val="0"/>
    <w:rPr>
      <w:rFonts w:ascii="Arial" w:hAnsi="Arial" w:eastAsia="宋体"/>
      <w:kern w:val="2"/>
      <w:sz w:val="24"/>
      <w:lang w:val="en-US" w:eastAsia="zh-CN" w:bidi="ar-SA"/>
    </w:rPr>
  </w:style>
  <w:style w:type="character" w:customStyle="1" w:styleId="236">
    <w:name w:val="正文1 Char"/>
    <w:qFormat/>
    <w:uiPriority w:val="0"/>
    <w:rPr>
      <w:rFonts w:eastAsia="宋体"/>
      <w:kern w:val="2"/>
      <w:sz w:val="28"/>
      <w:lang w:val="en-US" w:eastAsia="zh-CN" w:bidi="ar-SA"/>
    </w:rPr>
  </w:style>
  <w:style w:type="character" w:customStyle="1" w:styleId="237">
    <w:name w:val="Char Char10"/>
    <w:qFormat/>
    <w:uiPriority w:val="0"/>
    <w:rPr>
      <w:rFonts w:ascii="宋体" w:hAnsi="宋体" w:eastAsia="楷体_GB2312" w:cs="宋体"/>
      <w:kern w:val="2"/>
      <w:sz w:val="21"/>
      <w:szCs w:val="24"/>
      <w:lang w:val="en-US" w:eastAsia="zh-CN" w:bidi="ar-SA"/>
    </w:rPr>
  </w:style>
  <w:style w:type="character" w:customStyle="1" w:styleId="238">
    <w:name w:val="正文001 Char1"/>
    <w:qFormat/>
    <w:uiPriority w:val="0"/>
    <w:rPr>
      <w:rFonts w:ascii="Arial" w:hAnsi="Arial" w:eastAsia="宋体" w:cs="Arial"/>
      <w:kern w:val="2"/>
      <w:sz w:val="24"/>
      <w:lang w:val="en-US" w:eastAsia="zh-CN" w:bidi="ar-SA"/>
    </w:rPr>
  </w:style>
  <w:style w:type="character" w:customStyle="1" w:styleId="239">
    <w:name w:val="正文01 Char1"/>
    <w:qFormat/>
    <w:uiPriority w:val="0"/>
    <w:rPr>
      <w:rFonts w:eastAsia="宋体"/>
      <w:bCs/>
      <w:kern w:val="2"/>
      <w:sz w:val="24"/>
      <w:szCs w:val="24"/>
      <w:lang w:val="en-US" w:eastAsia="zh-CN" w:bidi="ar-SA"/>
    </w:rPr>
  </w:style>
  <w:style w:type="character" w:customStyle="1" w:styleId="240">
    <w:name w:val="content_11"/>
    <w:qFormat/>
    <w:uiPriority w:val="0"/>
    <w:rPr>
      <w:color w:val="333333"/>
      <w:sz w:val="18"/>
      <w:szCs w:val="18"/>
    </w:rPr>
  </w:style>
  <w:style w:type="character" w:customStyle="1" w:styleId="241">
    <w:name w:val="unnamed21"/>
    <w:qFormat/>
    <w:uiPriority w:val="0"/>
    <w:rPr>
      <w:color w:val="FFFFFF"/>
      <w:sz w:val="21"/>
      <w:szCs w:val="21"/>
    </w:rPr>
  </w:style>
  <w:style w:type="character" w:customStyle="1" w:styleId="242">
    <w:name w:val="Char Char Char"/>
    <w:qFormat/>
    <w:uiPriority w:val="0"/>
    <w:rPr>
      <w:rFonts w:ascii="宋体" w:hAnsi="Courier New" w:eastAsia="宋体"/>
      <w:kern w:val="2"/>
      <w:lang w:val="en-US" w:eastAsia="zh-CN" w:bidi="ar-SA"/>
    </w:rPr>
  </w:style>
  <w:style w:type="character" w:customStyle="1" w:styleId="243">
    <w:name w:val="font011"/>
    <w:qFormat/>
    <w:uiPriority w:val="0"/>
    <w:rPr>
      <w:color w:val="333333"/>
      <w:sz w:val="18"/>
      <w:szCs w:val="18"/>
      <w:u w:val="none"/>
    </w:rPr>
  </w:style>
  <w:style w:type="character" w:customStyle="1" w:styleId="244">
    <w:name w:val="unnamed31"/>
    <w:qFormat/>
    <w:uiPriority w:val="0"/>
    <w:rPr>
      <w:color w:val="000000"/>
      <w:sz w:val="18"/>
      <w:szCs w:val="18"/>
    </w:rPr>
  </w:style>
  <w:style w:type="character" w:customStyle="1" w:styleId="245">
    <w:name w:val="标题节 Char"/>
    <w:qFormat/>
    <w:uiPriority w:val="0"/>
    <w:rPr>
      <w:rFonts w:eastAsia="宋体"/>
      <w:b/>
      <w:color w:val="000000"/>
      <w:kern w:val="2"/>
      <w:sz w:val="24"/>
      <w:szCs w:val="24"/>
      <w:lang w:val="en-US" w:eastAsia="zh-CN" w:bidi="ar-SA"/>
    </w:rPr>
  </w:style>
  <w:style w:type="character" w:customStyle="1" w:styleId="246">
    <w:name w:val="title4"/>
    <w:basedOn w:val="42"/>
    <w:qFormat/>
    <w:uiPriority w:val="0"/>
  </w:style>
  <w:style w:type="character" w:customStyle="1" w:styleId="247">
    <w:name w:val="正文1"/>
    <w:qFormat/>
    <w:uiPriority w:val="0"/>
    <w:rPr>
      <w:rFonts w:hint="eastAsia" w:ascii="宋体" w:hAnsi="宋体" w:eastAsia="宋体"/>
      <w:color w:val="000000"/>
      <w:sz w:val="22"/>
      <w:szCs w:val="22"/>
    </w:rPr>
  </w:style>
  <w:style w:type="character" w:customStyle="1" w:styleId="248">
    <w:name w:val="content"/>
    <w:basedOn w:val="42"/>
    <w:qFormat/>
    <w:uiPriority w:val="0"/>
  </w:style>
  <w:style w:type="character" w:customStyle="1" w:styleId="249">
    <w:name w:val="oblog_text"/>
    <w:basedOn w:val="42"/>
    <w:qFormat/>
    <w:uiPriority w:val="0"/>
  </w:style>
  <w:style w:type="character" w:customStyle="1" w:styleId="250">
    <w:name w:val="3级标题 Char1"/>
    <w:basedOn w:val="42"/>
    <w:qFormat/>
    <w:uiPriority w:val="0"/>
    <w:rPr>
      <w:rFonts w:eastAsia="宋体"/>
      <w:b/>
      <w:kern w:val="2"/>
      <w:sz w:val="24"/>
      <w:szCs w:val="24"/>
      <w:lang w:val="en-US" w:eastAsia="zh-CN" w:bidi="ar-SA"/>
    </w:rPr>
  </w:style>
  <w:style w:type="character" w:customStyle="1" w:styleId="251">
    <w:name w:val="apple-style-span"/>
    <w:basedOn w:val="42"/>
    <w:qFormat/>
    <w:uiPriority w:val="0"/>
  </w:style>
  <w:style w:type="character" w:customStyle="1" w:styleId="252">
    <w:name w:val="表-二级标题 Char Char"/>
    <w:qFormat/>
    <w:uiPriority w:val="0"/>
    <w:rPr>
      <w:rFonts w:eastAsia="宋体"/>
      <w:b/>
      <w:color w:val="000000"/>
      <w:kern w:val="2"/>
      <w:sz w:val="24"/>
      <w:szCs w:val="28"/>
      <w:lang w:val="en-US" w:eastAsia="zh-CN" w:bidi="ar-SA"/>
    </w:rPr>
  </w:style>
  <w:style w:type="paragraph" w:customStyle="1" w:styleId="253">
    <w:name w:val="Char Char Char Char Char Char1 Char1"/>
    <w:basedOn w:val="1"/>
    <w:qFormat/>
    <w:uiPriority w:val="0"/>
    <w:rPr>
      <w:sz w:val="24"/>
    </w:rPr>
  </w:style>
  <w:style w:type="character" w:customStyle="1" w:styleId="254">
    <w:name w:val="报告表表格 Char Char"/>
    <w:qFormat/>
    <w:uiPriority w:val="0"/>
    <w:rPr>
      <w:rFonts w:ascii="Arial" w:hAnsi="Arial" w:eastAsia="宋体"/>
      <w:kern w:val="2"/>
      <w:sz w:val="21"/>
      <w:szCs w:val="21"/>
      <w:lang w:val="en-US" w:eastAsia="zh-CN" w:bidi="ar-SA"/>
    </w:rPr>
  </w:style>
  <w:style w:type="character" w:customStyle="1" w:styleId="255">
    <w:name w:val="报告表正文 Char Char"/>
    <w:qFormat/>
    <w:uiPriority w:val="0"/>
    <w:rPr>
      <w:sz w:val="24"/>
      <w:szCs w:val="24"/>
      <w:lang w:val="en-US" w:eastAsia="zh-CN" w:bidi="ar-SA"/>
    </w:rPr>
  </w:style>
  <w:style w:type="character" w:customStyle="1" w:styleId="256">
    <w:name w:val="正文-biao Char Char"/>
    <w:qFormat/>
    <w:uiPriority w:val="0"/>
    <w:rPr>
      <w:rFonts w:hAnsi="宋体" w:eastAsia="宋体"/>
      <w:kern w:val="2"/>
      <w:sz w:val="24"/>
      <w:szCs w:val="24"/>
      <w:lang w:val="en-US" w:eastAsia="zh-CN" w:bidi="ar-SA"/>
    </w:rPr>
  </w:style>
  <w:style w:type="paragraph" w:customStyle="1" w:styleId="257">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258">
    <w:name w:val="样式 标题五 + 居中"/>
    <w:basedOn w:val="1"/>
    <w:qFormat/>
    <w:uiPriority w:val="99"/>
    <w:pPr>
      <w:spacing w:line="440" w:lineRule="exact"/>
      <w:jc w:val="center"/>
    </w:pPr>
    <w:rPr>
      <w:rFonts w:ascii="Arial" w:hAnsi="Arial" w:cs="宋体"/>
      <w:snapToGrid w:val="0"/>
      <w:kern w:val="0"/>
      <w:sz w:val="24"/>
      <w:szCs w:val="20"/>
    </w:rPr>
  </w:style>
  <w:style w:type="character" w:customStyle="1" w:styleId="259">
    <w:name w:val="fontstyle01"/>
    <w:basedOn w:val="42"/>
    <w:qFormat/>
    <w:uiPriority w:val="0"/>
    <w:rPr>
      <w:rFonts w:hint="eastAsia" w:ascii="宋体" w:hAnsi="宋体" w:eastAsia="宋体"/>
      <w:color w:val="000000"/>
      <w:sz w:val="24"/>
      <w:szCs w:val="24"/>
    </w:rPr>
  </w:style>
  <w:style w:type="character" w:customStyle="1" w:styleId="260">
    <w:name w:val="fontstyle21"/>
    <w:basedOn w:val="42"/>
    <w:qFormat/>
    <w:uiPriority w:val="0"/>
    <w:rPr>
      <w:rFonts w:hint="default" w:ascii="TimesNewRomanPSMT" w:hAnsi="TimesNewRomanPSMT"/>
      <w:color w:val="000000"/>
      <w:sz w:val="24"/>
      <w:szCs w:val="24"/>
    </w:rPr>
  </w:style>
  <w:style w:type="paragraph" w:customStyle="1" w:styleId="261">
    <w:name w:val="Char Char7 Char Char Char Char Char Char Char Char Char Char Char Char"/>
    <w:basedOn w:val="1"/>
    <w:qFormat/>
    <w:uiPriority w:val="0"/>
    <w:rPr>
      <w:szCs w:val="20"/>
    </w:rPr>
  </w:style>
  <w:style w:type="character" w:customStyle="1" w:styleId="262">
    <w:name w:val="fontstyle11"/>
    <w:basedOn w:val="42"/>
    <w:qFormat/>
    <w:uiPriority w:val="0"/>
    <w:rPr>
      <w:rFonts w:hint="default" w:ascii="Times New Roman" w:hAnsi="Times New Roman" w:cs="Times New Roman"/>
      <w:color w:val="000000"/>
      <w:sz w:val="24"/>
      <w:szCs w:val="24"/>
    </w:rPr>
  </w:style>
  <w:style w:type="character" w:customStyle="1" w:styleId="263">
    <w:name w:val="ENN表格正文 Char"/>
    <w:link w:val="264"/>
    <w:qFormat/>
    <w:uiPriority w:val="0"/>
  </w:style>
  <w:style w:type="paragraph" w:customStyle="1" w:styleId="264">
    <w:name w:val="ENN表格正文"/>
    <w:basedOn w:val="1"/>
    <w:link w:val="263"/>
    <w:qFormat/>
    <w:uiPriority w:val="0"/>
    <w:pPr>
      <w:jc w:val="center"/>
    </w:pPr>
    <w:rPr>
      <w:kern w:val="0"/>
      <w:sz w:val="20"/>
      <w:szCs w:val="20"/>
    </w:rPr>
  </w:style>
  <w:style w:type="character" w:customStyle="1" w:styleId="265">
    <w:name w:val="ENN正文 Char"/>
    <w:link w:val="266"/>
    <w:qFormat/>
    <w:uiPriority w:val="0"/>
    <w:rPr>
      <w:sz w:val="24"/>
    </w:rPr>
  </w:style>
  <w:style w:type="paragraph" w:customStyle="1" w:styleId="266">
    <w:name w:val="ENN正文"/>
    <w:basedOn w:val="1"/>
    <w:link w:val="265"/>
    <w:qFormat/>
    <w:uiPriority w:val="0"/>
    <w:pPr>
      <w:spacing w:line="360" w:lineRule="auto"/>
      <w:ind w:firstLine="200" w:firstLineChars="200"/>
    </w:pPr>
    <w:rPr>
      <w:kern w:val="0"/>
      <w:sz w:val="24"/>
      <w:szCs w:val="20"/>
    </w:rPr>
  </w:style>
  <w:style w:type="paragraph" w:customStyle="1" w:styleId="267">
    <w:name w:val="ENN标题3"/>
    <w:next w:val="266"/>
    <w:link w:val="268"/>
    <w:qFormat/>
    <w:uiPriority w:val="99"/>
    <w:pPr>
      <w:tabs>
        <w:tab w:val="left" w:pos="359"/>
        <w:tab w:val="left" w:pos="397"/>
      </w:tabs>
      <w:spacing w:line="360" w:lineRule="auto"/>
      <w:ind w:left="567" w:hanging="567"/>
      <w:outlineLvl w:val="2"/>
    </w:pPr>
    <w:rPr>
      <w:rFonts w:ascii="Times New Roman" w:hAnsi="Times New Roman" w:eastAsia="宋体" w:cs="Times New Roman"/>
      <w:kern w:val="2"/>
      <w:sz w:val="24"/>
      <w:szCs w:val="22"/>
      <w:lang w:val="en-US" w:eastAsia="zh-CN" w:bidi="ar-SA"/>
    </w:rPr>
  </w:style>
  <w:style w:type="character" w:customStyle="1" w:styleId="268">
    <w:name w:val="ENN标题3 Char"/>
    <w:link w:val="267"/>
    <w:qFormat/>
    <w:uiPriority w:val="99"/>
    <w:rPr>
      <w:kern w:val="2"/>
      <w:sz w:val="24"/>
      <w:szCs w:val="22"/>
    </w:rPr>
  </w:style>
  <w:style w:type="paragraph" w:customStyle="1" w:styleId="269">
    <w:name w:val="ENN标题1"/>
    <w:next w:val="266"/>
    <w:qFormat/>
    <w:uiPriority w:val="99"/>
    <w:pPr>
      <w:tabs>
        <w:tab w:val="left" w:pos="397"/>
      </w:tabs>
      <w:spacing w:line="360" w:lineRule="auto"/>
      <w:ind w:left="567" w:hanging="567"/>
      <w:jc w:val="center"/>
      <w:outlineLvl w:val="0"/>
    </w:pPr>
    <w:rPr>
      <w:rFonts w:ascii="Times New Roman" w:hAnsi="Times New Roman" w:eastAsia="宋体" w:cs="Times New Roman"/>
      <w:b/>
      <w:kern w:val="2"/>
      <w:sz w:val="32"/>
      <w:szCs w:val="22"/>
      <w:lang w:val="en-US" w:eastAsia="zh-CN" w:bidi="ar-SA"/>
    </w:rPr>
  </w:style>
  <w:style w:type="paragraph" w:customStyle="1" w:styleId="270">
    <w:name w:val="ENN标题4"/>
    <w:next w:val="266"/>
    <w:qFormat/>
    <w:uiPriority w:val="99"/>
    <w:pPr>
      <w:tabs>
        <w:tab w:val="left" w:pos="397"/>
      </w:tabs>
      <w:adjustRightInd w:val="0"/>
      <w:spacing w:line="360" w:lineRule="auto"/>
      <w:ind w:left="567" w:hanging="567"/>
      <w:outlineLvl w:val="3"/>
    </w:pPr>
    <w:rPr>
      <w:rFonts w:ascii="Times New Roman" w:hAnsi="Times New Roman" w:eastAsiaTheme="minorEastAsia" w:cstheme="minorBidi"/>
      <w:kern w:val="2"/>
      <w:sz w:val="24"/>
      <w:szCs w:val="22"/>
      <w:lang w:val="en-US" w:eastAsia="zh-CN" w:bidi="ar-SA"/>
    </w:rPr>
  </w:style>
  <w:style w:type="paragraph" w:customStyle="1" w:styleId="271">
    <w:name w:val="ENN标题2"/>
    <w:next w:val="266"/>
    <w:qFormat/>
    <w:uiPriority w:val="0"/>
    <w:pPr>
      <w:tabs>
        <w:tab w:val="left" w:pos="248"/>
        <w:tab w:val="left" w:pos="567"/>
      </w:tabs>
      <w:spacing w:line="360" w:lineRule="auto"/>
      <w:ind w:left="425" w:hanging="357"/>
      <w:outlineLvl w:val="1"/>
    </w:pPr>
    <w:rPr>
      <w:rFonts w:ascii="Times New Roman" w:hAnsi="Times New Roman" w:eastAsia="宋体" w:cs="Times New Roman"/>
      <w:b/>
      <w:kern w:val="2"/>
      <w:sz w:val="24"/>
      <w:szCs w:val="22"/>
      <w:lang w:val="en-US" w:eastAsia="zh-CN" w:bidi="ar-SA"/>
    </w:rPr>
  </w:style>
  <w:style w:type="paragraph" w:customStyle="1" w:styleId="272">
    <w:name w:val="3"/>
    <w:basedOn w:val="1"/>
    <w:qFormat/>
    <w:uiPriority w:val="0"/>
    <w:rPr>
      <w:szCs w:val="20"/>
    </w:rPr>
  </w:style>
  <w:style w:type="character" w:customStyle="1" w:styleId="273">
    <w:name w:val="fontstyle31"/>
    <w:basedOn w:val="42"/>
    <w:qFormat/>
    <w:uiPriority w:val="0"/>
    <w:rPr>
      <w:rFonts w:hint="default" w:ascii="Arial" w:hAnsi="Arial" w:cs="Arial"/>
      <w:color w:val="000000"/>
      <w:sz w:val="24"/>
      <w:szCs w:val="24"/>
    </w:rPr>
  </w:style>
  <w:style w:type="paragraph" w:customStyle="1" w:styleId="274">
    <w:name w:val="生态表格正文"/>
    <w:basedOn w:val="1"/>
    <w:qFormat/>
    <w:uiPriority w:val="0"/>
    <w:pPr>
      <w:widowControl/>
      <w:spacing w:line="400" w:lineRule="exact"/>
      <w:jc w:val="center"/>
    </w:pPr>
    <w:rPr>
      <w:rFonts w:eastAsia="仿宋_GB2312"/>
      <w:kern w:val="0"/>
      <w:sz w:val="24"/>
      <w:szCs w:val="21"/>
    </w:rPr>
  </w:style>
  <w:style w:type="character" w:customStyle="1" w:styleId="275">
    <w:name w:val="fontstyle41"/>
    <w:basedOn w:val="42"/>
    <w:qFormat/>
    <w:uiPriority w:val="0"/>
    <w:rPr>
      <w:rFonts w:hint="eastAsia" w:ascii="微软雅黑" w:hAnsi="微软雅黑" w:eastAsia="微软雅黑"/>
      <w:color w:val="000000"/>
      <w:sz w:val="24"/>
      <w:szCs w:val="24"/>
    </w:rPr>
  </w:style>
  <w:style w:type="character" w:customStyle="1" w:styleId="276">
    <w:name w:val="ENN表头文字 Char"/>
    <w:link w:val="277"/>
    <w:qFormat/>
    <w:uiPriority w:val="0"/>
    <w:rPr>
      <w:rFonts w:eastAsia="黑体"/>
    </w:rPr>
  </w:style>
  <w:style w:type="paragraph" w:customStyle="1" w:styleId="277">
    <w:name w:val="ENN表头文字"/>
    <w:basedOn w:val="264"/>
    <w:link w:val="276"/>
    <w:qFormat/>
    <w:uiPriority w:val="0"/>
    <w:rPr>
      <w:rFonts w:eastAsia="黑体"/>
    </w:rPr>
  </w:style>
  <w:style w:type="paragraph" w:customStyle="1" w:styleId="278">
    <w:name w:val="正文居中"/>
    <w:basedOn w:val="1"/>
    <w:qFormat/>
    <w:uiPriority w:val="0"/>
    <w:pPr>
      <w:jc w:val="center"/>
    </w:pPr>
    <w:rPr>
      <w:rFonts w:ascii="Arial" w:hAnsi="Arial" w:cs="Arial"/>
      <w:color w:val="000000"/>
      <w:kern w:val="0"/>
      <w:sz w:val="24"/>
    </w:rPr>
  </w:style>
  <w:style w:type="paragraph" w:customStyle="1" w:styleId="279">
    <w:name w:val="正文3"/>
    <w:qFormat/>
    <w:uiPriority w:val="99"/>
    <w:pPr>
      <w:jc w:val="both"/>
    </w:pPr>
    <w:rPr>
      <w:rFonts w:ascii="宋体" w:hAnsi="宋体" w:eastAsia="宋体" w:cs="宋体"/>
      <w:kern w:val="2"/>
      <w:sz w:val="21"/>
      <w:szCs w:val="21"/>
      <w:lang w:val="en-US" w:eastAsia="zh-CN" w:bidi="ar-SA"/>
    </w:rPr>
  </w:style>
  <w:style w:type="character" w:customStyle="1" w:styleId="280">
    <w:name w:val="ENN表格正文 Char Char"/>
    <w:qFormat/>
    <w:uiPriority w:val="0"/>
    <w:rPr>
      <w:rFonts w:ascii="Times New Roman" w:hAnsi="Times New Roman"/>
      <w:kern w:val="2"/>
      <w:sz w:val="21"/>
      <w:szCs w:val="22"/>
    </w:rPr>
  </w:style>
  <w:style w:type="paragraph" w:customStyle="1" w:styleId="281">
    <w:name w:val="00正文"/>
    <w:basedOn w:val="1"/>
    <w:qFormat/>
    <w:uiPriority w:val="0"/>
    <w:pPr>
      <w:spacing w:line="360" w:lineRule="auto"/>
      <w:ind w:firstLine="480" w:firstLineChars="200"/>
    </w:pPr>
    <w:rPr>
      <w:rFonts w:cs="宋体"/>
      <w:sz w:val="24"/>
    </w:rPr>
  </w:style>
  <w:style w:type="paragraph" w:customStyle="1" w:styleId="282">
    <w:name w:val="三级无标题条"/>
    <w:basedOn w:val="1"/>
    <w:qFormat/>
    <w:uiPriority w:val="99"/>
    <w:pPr>
      <w:spacing w:line="360" w:lineRule="auto"/>
      <w:ind w:firstLine="200" w:firstLineChars="200"/>
    </w:pPr>
    <w:rPr>
      <w:sz w:val="24"/>
    </w:rPr>
  </w:style>
  <w:style w:type="paragraph" w:customStyle="1" w:styleId="283">
    <w:name w:val="示例"/>
    <w:next w:val="1"/>
    <w:qFormat/>
    <w:uiPriority w:val="99"/>
    <w:pPr>
      <w:ind w:firstLine="233" w:firstLineChars="233"/>
      <w:jc w:val="both"/>
    </w:pPr>
    <w:rPr>
      <w:rFonts w:ascii="宋体" w:hAnsi="Times New Roman" w:eastAsia="宋体" w:cs="Times New Roman"/>
      <w:sz w:val="18"/>
      <w:lang w:val="en-US" w:eastAsia="zh-CN" w:bidi="ar-SA"/>
    </w:rPr>
  </w:style>
  <w:style w:type="paragraph" w:customStyle="1" w:styleId="284">
    <w:name w:val="五级无标题条"/>
    <w:basedOn w:val="1"/>
    <w:qFormat/>
    <w:uiPriority w:val="99"/>
    <w:pPr>
      <w:spacing w:line="360" w:lineRule="auto"/>
      <w:ind w:firstLine="200" w:firstLineChars="200"/>
    </w:pPr>
    <w:rPr>
      <w:sz w:val="24"/>
    </w:rPr>
  </w:style>
  <w:style w:type="paragraph" w:customStyle="1" w:styleId="285">
    <w:name w:val="列项·"/>
    <w:qFormat/>
    <w:uiPriority w:val="99"/>
    <w:pPr>
      <w:tabs>
        <w:tab w:val="left" w:pos="840"/>
      </w:tabs>
      <w:ind w:left="200" w:leftChars="200" w:hanging="200" w:hangingChars="200"/>
      <w:jc w:val="both"/>
    </w:pPr>
    <w:rPr>
      <w:rFonts w:ascii="宋体" w:hAnsi="Times New Roman" w:eastAsia="宋体" w:cs="Times New Roman"/>
      <w:sz w:val="21"/>
      <w:lang w:val="en-US" w:eastAsia="zh-CN" w:bidi="ar-SA"/>
    </w:rPr>
  </w:style>
  <w:style w:type="paragraph" w:customStyle="1" w:styleId="286">
    <w:name w:val="一级无标题条"/>
    <w:basedOn w:val="1"/>
    <w:qFormat/>
    <w:uiPriority w:val="99"/>
    <w:pPr>
      <w:spacing w:line="360" w:lineRule="auto"/>
      <w:ind w:firstLine="200" w:firstLineChars="200"/>
    </w:pPr>
    <w:rPr>
      <w:sz w:val="24"/>
    </w:rPr>
  </w:style>
  <w:style w:type="paragraph" w:customStyle="1" w:styleId="287">
    <w:name w:val="四级无标题条"/>
    <w:basedOn w:val="1"/>
    <w:qFormat/>
    <w:uiPriority w:val="99"/>
    <w:pPr>
      <w:spacing w:line="360" w:lineRule="auto"/>
      <w:ind w:firstLine="200" w:firstLineChars="200"/>
    </w:pPr>
    <w:rPr>
      <w:sz w:val="24"/>
    </w:rPr>
  </w:style>
  <w:style w:type="paragraph" w:customStyle="1" w:styleId="288">
    <w:name w:val="Char Char5 Char Char Char Char Char Char Char Char Char Char Char Char Char Char Char Char Char Char Char Char"/>
    <w:basedOn w:val="1"/>
    <w:qFormat/>
    <w:uiPriority w:val="0"/>
    <w:rPr>
      <w:szCs w:val="20"/>
    </w:rPr>
  </w:style>
  <w:style w:type="paragraph" w:customStyle="1" w:styleId="289">
    <w:name w:val="Char Char5 Char Char Char Char Char Char Char Char Char Char Char Char Char Char Char Char Char Char Char Char1"/>
    <w:basedOn w:val="1"/>
    <w:qFormat/>
    <w:uiPriority w:val="0"/>
    <w:rPr>
      <w:szCs w:val="20"/>
    </w:rPr>
  </w:style>
  <w:style w:type="character" w:customStyle="1" w:styleId="290">
    <w:name w:val="t_tag"/>
    <w:basedOn w:val="42"/>
    <w:qFormat/>
    <w:uiPriority w:val="0"/>
  </w:style>
  <w:style w:type="character" w:customStyle="1" w:styleId="291">
    <w:name w:val="apple-converted-space"/>
    <w:basedOn w:val="42"/>
    <w:qFormat/>
    <w:uiPriority w:val="0"/>
  </w:style>
  <w:style w:type="paragraph" w:customStyle="1" w:styleId="292">
    <w:name w:val="6"/>
    <w:basedOn w:val="1"/>
    <w:qFormat/>
    <w:uiPriority w:val="99"/>
    <w:pPr>
      <w:spacing w:line="360" w:lineRule="auto"/>
      <w:ind w:firstLine="420" w:firstLineChars="200"/>
    </w:pPr>
    <w:rPr>
      <w:rFonts w:cs="宋体"/>
      <w:sz w:val="24"/>
    </w:rPr>
  </w:style>
  <w:style w:type="paragraph" w:styleId="293">
    <w:name w:val="List Paragraph"/>
    <w:basedOn w:val="1"/>
    <w:qFormat/>
    <w:uiPriority w:val="99"/>
    <w:pPr>
      <w:ind w:firstLine="420" w:firstLineChars="200"/>
    </w:pPr>
  </w:style>
  <w:style w:type="character" w:customStyle="1" w:styleId="294">
    <w:name w:val="15"/>
    <w:basedOn w:val="42"/>
    <w:qFormat/>
    <w:uiPriority w:val="0"/>
    <w:rPr>
      <w:rFonts w:hint="default" w:ascii="Times New Roman" w:hAnsi="Times New Roman" w:cs="Times New Roman"/>
      <w:b/>
      <w:bCs/>
    </w:rPr>
  </w:style>
  <w:style w:type="paragraph" w:customStyle="1" w:styleId="295">
    <w:name w:val="TOC 标题1"/>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表格数字 Char Char Char"/>
    <w:qFormat/>
    <w:locked/>
    <w:uiPriority w:val="0"/>
    <w:rPr>
      <w:rFonts w:ascii="Arial" w:hAnsi="Arial" w:cs="宋体"/>
      <w:kern w:val="2"/>
      <w:sz w:val="21"/>
    </w:rPr>
  </w:style>
  <w:style w:type="paragraph" w:customStyle="1" w:styleId="297">
    <w:name w:val="正文文本1"/>
    <w:basedOn w:val="1"/>
    <w:qFormat/>
    <w:uiPriority w:val="99"/>
    <w:pPr>
      <w:adjustRightInd w:val="0"/>
      <w:spacing w:line="312" w:lineRule="atLeast"/>
    </w:pPr>
    <w:rPr>
      <w:rFonts w:ascii="宋体" w:cs="宋体"/>
      <w:kern w:val="0"/>
      <w:szCs w:val="21"/>
    </w:rPr>
  </w:style>
  <w:style w:type="paragraph" w:customStyle="1" w:styleId="298">
    <w:name w:val="Char1"/>
    <w:basedOn w:val="1"/>
    <w:qFormat/>
    <w:uiPriority w:val="99"/>
    <w:rPr>
      <w:sz w:val="24"/>
    </w:rPr>
  </w:style>
  <w:style w:type="paragraph" w:customStyle="1" w:styleId="299">
    <w:name w:val="样式 正文1 + 段前: 0.1 行 Char"/>
    <w:basedOn w:val="1"/>
    <w:qFormat/>
    <w:uiPriority w:val="99"/>
    <w:pPr>
      <w:snapToGrid w:val="0"/>
      <w:spacing w:beforeLines="10" w:line="440" w:lineRule="atLeast"/>
      <w:ind w:firstLine="624"/>
    </w:pPr>
    <w:rPr>
      <w:sz w:val="24"/>
      <w:szCs w:val="20"/>
    </w:rPr>
  </w:style>
  <w:style w:type="paragraph" w:customStyle="1" w:styleId="300">
    <w:name w:val="_Style 11"/>
    <w:basedOn w:val="1"/>
    <w:qFormat/>
    <w:uiPriority w:val="99"/>
    <w:rPr>
      <w:sz w:val="24"/>
    </w:rPr>
  </w:style>
  <w:style w:type="character" w:customStyle="1" w:styleId="301">
    <w:name w:val="环正文 Char1"/>
    <w:link w:val="302"/>
    <w:qFormat/>
    <w:locked/>
    <w:uiPriority w:val="0"/>
    <w:rPr>
      <w:color w:val="000000"/>
      <w:kern w:val="2"/>
      <w:sz w:val="24"/>
    </w:rPr>
  </w:style>
  <w:style w:type="paragraph" w:customStyle="1" w:styleId="302">
    <w:name w:val="环正文"/>
    <w:basedOn w:val="1"/>
    <w:link w:val="301"/>
    <w:qFormat/>
    <w:uiPriority w:val="0"/>
    <w:pPr>
      <w:widowControl/>
      <w:tabs>
        <w:tab w:val="left" w:pos="5094"/>
      </w:tabs>
      <w:adjustRightInd w:val="0"/>
      <w:spacing w:line="360" w:lineRule="auto"/>
      <w:ind w:firstLine="480" w:firstLineChars="200"/>
    </w:pPr>
    <w:rPr>
      <w:color w:val="000000"/>
      <w:sz w:val="24"/>
      <w:szCs w:val="20"/>
    </w:rPr>
  </w:style>
  <w:style w:type="character" w:customStyle="1" w:styleId="303">
    <w:name w:val="图表文字 Char"/>
    <w:link w:val="304"/>
    <w:qFormat/>
    <w:locked/>
    <w:uiPriority w:val="0"/>
    <w:rPr>
      <w:bCs/>
      <w:kern w:val="2"/>
      <w:sz w:val="21"/>
    </w:rPr>
  </w:style>
  <w:style w:type="paragraph" w:customStyle="1" w:styleId="304">
    <w:name w:val="图表文字"/>
    <w:basedOn w:val="1"/>
    <w:link w:val="303"/>
    <w:qFormat/>
    <w:uiPriority w:val="0"/>
    <w:pPr>
      <w:spacing w:line="300" w:lineRule="exact"/>
      <w:jc w:val="center"/>
    </w:pPr>
    <w:rPr>
      <w:bCs/>
      <w:szCs w:val="20"/>
    </w:rPr>
  </w:style>
  <w:style w:type="character" w:customStyle="1" w:styleId="305">
    <w:name w:val="表标题 Char"/>
    <w:link w:val="306"/>
    <w:qFormat/>
    <w:locked/>
    <w:uiPriority w:val="0"/>
    <w:rPr>
      <w:b/>
      <w:bCs/>
      <w:kern w:val="2"/>
      <w:sz w:val="24"/>
      <w:szCs w:val="24"/>
    </w:rPr>
  </w:style>
  <w:style w:type="paragraph" w:customStyle="1" w:styleId="306">
    <w:name w:val="表标题"/>
    <w:basedOn w:val="18"/>
    <w:link w:val="305"/>
    <w:qFormat/>
    <w:uiPriority w:val="0"/>
    <w:pPr>
      <w:spacing w:line="500" w:lineRule="exact"/>
      <w:ind w:firstLine="0" w:firstLineChars="0"/>
      <w:jc w:val="center"/>
    </w:pPr>
  </w:style>
  <w:style w:type="paragraph" w:customStyle="1" w:styleId="307">
    <w:name w:val="列出段落2"/>
    <w:basedOn w:val="1"/>
    <w:qFormat/>
    <w:uiPriority w:val="99"/>
    <w:pPr>
      <w:ind w:firstLine="420" w:firstLineChars="200"/>
    </w:pPr>
    <w:rPr>
      <w:szCs w:val="20"/>
    </w:rPr>
  </w:style>
  <w:style w:type="character" w:customStyle="1" w:styleId="308">
    <w:name w:val="单学凯段落格式 Char Char"/>
    <w:link w:val="309"/>
    <w:qFormat/>
    <w:locked/>
    <w:uiPriority w:val="0"/>
    <w:rPr>
      <w:rFonts w:ascii="仿宋_GB2312" w:eastAsia="仿宋_GB2312"/>
      <w:b/>
      <w:kern w:val="24"/>
      <w:sz w:val="24"/>
      <w:szCs w:val="24"/>
      <w:lang w:val="zh-CN"/>
    </w:rPr>
  </w:style>
  <w:style w:type="paragraph" w:customStyle="1" w:styleId="309">
    <w:name w:val="单学凯段落格式"/>
    <w:basedOn w:val="1"/>
    <w:link w:val="308"/>
    <w:qFormat/>
    <w:uiPriority w:val="0"/>
    <w:pPr>
      <w:adjustRightInd w:val="0"/>
      <w:snapToGrid w:val="0"/>
      <w:ind w:firstLine="482" w:firstLineChars="200"/>
      <w:jc w:val="center"/>
    </w:pPr>
    <w:rPr>
      <w:rFonts w:ascii="仿宋_GB2312" w:eastAsia="仿宋_GB2312"/>
      <w:b/>
      <w:kern w:val="24"/>
      <w:sz w:val="24"/>
      <w:lang w:val="zh-CN"/>
    </w:rPr>
  </w:style>
  <w:style w:type="paragraph" w:customStyle="1" w:styleId="310">
    <w:name w:val="表格字体"/>
    <w:basedOn w:val="1"/>
    <w:next w:val="1"/>
    <w:qFormat/>
    <w:uiPriority w:val="99"/>
    <w:pPr>
      <w:spacing w:line="360" w:lineRule="exact"/>
    </w:pPr>
    <w:rPr>
      <w:rFonts w:ascii="宋体" w:hAnsi="宋体"/>
      <w:szCs w:val="21"/>
    </w:rPr>
  </w:style>
  <w:style w:type="paragraph" w:customStyle="1" w:styleId="311">
    <w:name w:val="表内的表头"/>
    <w:basedOn w:val="1"/>
    <w:qFormat/>
    <w:uiPriority w:val="99"/>
    <w:pPr>
      <w:spacing w:line="440" w:lineRule="exact"/>
      <w:jc w:val="center"/>
    </w:pPr>
    <w:rPr>
      <w:rFonts w:ascii="Calibri" w:hAnsi="Calibri" w:eastAsia="黑体"/>
      <w:b/>
      <w:kern w:val="0"/>
      <w:sz w:val="20"/>
      <w:szCs w:val="20"/>
    </w:rPr>
  </w:style>
  <w:style w:type="character" w:customStyle="1" w:styleId="312">
    <w:name w:val="unnamed1"/>
    <w:qFormat/>
    <w:uiPriority w:val="0"/>
    <w:rPr>
      <w:rFonts w:hint="eastAsia" w:ascii="宋体" w:hAnsi="宋体" w:eastAsia="宋体" w:cs="宋体"/>
      <w:sz w:val="24"/>
      <w:szCs w:val="24"/>
    </w:rPr>
  </w:style>
  <w:style w:type="character" w:customStyle="1" w:styleId="313">
    <w:name w:val="表格数字 Char Char"/>
    <w:qFormat/>
    <w:uiPriority w:val="0"/>
    <w:rPr>
      <w:rFonts w:hint="default" w:ascii="Arial" w:hAnsi="Arial" w:eastAsia="宋体" w:cs="宋体"/>
      <w:kern w:val="2"/>
      <w:sz w:val="21"/>
      <w:lang w:val="en-US" w:eastAsia="zh-CN" w:bidi="ar-SA"/>
    </w:rPr>
  </w:style>
  <w:style w:type="character" w:customStyle="1" w:styleId="314">
    <w:name w:val="f141"/>
    <w:qFormat/>
    <w:uiPriority w:val="0"/>
    <w:rPr>
      <w:color w:val="000000"/>
      <w:sz w:val="21"/>
      <w:szCs w:val="21"/>
    </w:rPr>
  </w:style>
  <w:style w:type="character" w:customStyle="1" w:styleId="315">
    <w:name w:val="font11"/>
    <w:basedOn w:val="42"/>
    <w:qFormat/>
    <w:uiPriority w:val="0"/>
    <w:rPr>
      <w:rFonts w:hint="default" w:ascii="Times New Roman" w:hAnsi="Times New Roman" w:cs="Times New Roman"/>
      <w:color w:val="0000FF"/>
      <w:sz w:val="21"/>
      <w:szCs w:val="21"/>
      <w:u w:val="none"/>
      <w:vertAlign w:val="subscript"/>
    </w:rPr>
  </w:style>
  <w:style w:type="character" w:customStyle="1" w:styleId="316">
    <w:name w:val="font21"/>
    <w:basedOn w:val="42"/>
    <w:qFormat/>
    <w:uiPriority w:val="0"/>
    <w:rPr>
      <w:rFonts w:hint="default" w:ascii="Times New Roman" w:hAnsi="Times New Roman" w:cs="Times New Roman"/>
      <w:color w:val="0000FF"/>
      <w:sz w:val="21"/>
      <w:szCs w:val="21"/>
      <w:u w:val="none"/>
    </w:rPr>
  </w:style>
  <w:style w:type="character" w:customStyle="1" w:styleId="317">
    <w:name w:val="表格正文 Char Char"/>
    <w:qFormat/>
    <w:uiPriority w:val="0"/>
    <w:rPr>
      <w:rFonts w:hint="default" w:ascii="Arial" w:hAnsi="Arial" w:eastAsia="宋体" w:cs="Arial"/>
      <w:color w:val="000000"/>
      <w:kern w:val="2"/>
      <w:sz w:val="21"/>
      <w:lang w:bidi="ar-SA"/>
    </w:rPr>
  </w:style>
  <w:style w:type="character" w:customStyle="1" w:styleId="318">
    <w:name w:val="font01"/>
    <w:basedOn w:val="42"/>
    <w:qFormat/>
    <w:uiPriority w:val="0"/>
    <w:rPr>
      <w:rFonts w:hint="eastAsia" w:ascii="宋体" w:hAnsi="宋体" w:eastAsia="宋体" w:cs="宋体"/>
      <w:color w:val="000000"/>
      <w:sz w:val="24"/>
      <w:szCs w:val="24"/>
      <w:u w:val="none"/>
    </w:rPr>
  </w:style>
  <w:style w:type="character" w:customStyle="1" w:styleId="319">
    <w:name w:val="font81"/>
    <w:basedOn w:val="42"/>
    <w:qFormat/>
    <w:uiPriority w:val="0"/>
    <w:rPr>
      <w:rFonts w:hint="default" w:ascii="Times New Roman" w:hAnsi="Times New Roman" w:cs="Times New Roman"/>
      <w:color w:val="000000"/>
      <w:sz w:val="21"/>
      <w:szCs w:val="21"/>
      <w:u w:val="none"/>
    </w:rPr>
  </w:style>
  <w:style w:type="character" w:customStyle="1" w:styleId="320">
    <w:name w:val="font41"/>
    <w:basedOn w:val="42"/>
    <w:qFormat/>
    <w:uiPriority w:val="0"/>
    <w:rPr>
      <w:rFonts w:hint="default" w:ascii="Times New Roman" w:hAnsi="Times New Roman" w:cs="Times New Roman"/>
      <w:color w:val="000000"/>
      <w:sz w:val="21"/>
      <w:szCs w:val="21"/>
      <w:u w:val="none"/>
      <w:vertAlign w:val="superscript"/>
    </w:rPr>
  </w:style>
  <w:style w:type="character" w:customStyle="1" w:styleId="321">
    <w:name w:val="font51"/>
    <w:basedOn w:val="42"/>
    <w:qFormat/>
    <w:uiPriority w:val="0"/>
    <w:rPr>
      <w:rFonts w:hint="eastAsia" w:ascii="宋体" w:hAnsi="宋体" w:eastAsia="宋体"/>
      <w:color w:val="000000"/>
      <w:sz w:val="21"/>
      <w:szCs w:val="21"/>
      <w:u w:val="none"/>
    </w:rPr>
  </w:style>
  <w:style w:type="character" w:customStyle="1" w:styleId="322">
    <w:name w:val="font91"/>
    <w:basedOn w:val="42"/>
    <w:qFormat/>
    <w:uiPriority w:val="0"/>
    <w:rPr>
      <w:rFonts w:hint="default" w:ascii="Times New Roman" w:hAnsi="Times New Roman" w:cs="Times New Roman"/>
      <w:color w:val="FF0000"/>
      <w:sz w:val="21"/>
      <w:szCs w:val="21"/>
      <w:u w:val="none"/>
    </w:rPr>
  </w:style>
  <w:style w:type="character" w:customStyle="1" w:styleId="323">
    <w:name w:val="font31"/>
    <w:basedOn w:val="42"/>
    <w:qFormat/>
    <w:uiPriority w:val="0"/>
    <w:rPr>
      <w:rFonts w:hint="eastAsia" w:ascii="宋体" w:hAnsi="宋体" w:eastAsia="宋体"/>
      <w:color w:val="FF0000"/>
      <w:sz w:val="21"/>
      <w:szCs w:val="21"/>
      <w:u w:val="none"/>
    </w:rPr>
  </w:style>
  <w:style w:type="character" w:customStyle="1" w:styleId="324">
    <w:name w:val="批注文字 Char1"/>
    <w:basedOn w:val="42"/>
    <w:qFormat/>
    <w:locked/>
    <w:uiPriority w:val="0"/>
    <w:rPr>
      <w:rFonts w:hint="eastAsia" w:ascii="宋体" w:hAnsi="宋体" w:eastAsia="楷体_GB2312" w:cs="宋体"/>
      <w:szCs w:val="24"/>
    </w:rPr>
  </w:style>
  <w:style w:type="paragraph" w:customStyle="1" w:styleId="325">
    <w:name w:val="Char4"/>
    <w:basedOn w:val="1"/>
    <w:qFormat/>
    <w:uiPriority w:val="0"/>
    <w:pPr>
      <w:numPr>
        <w:ilvl w:val="0"/>
        <w:numId w:val="1"/>
      </w:numPr>
      <w:tabs>
        <w:tab w:val="clear" w:pos="360"/>
      </w:tabs>
      <w:ind w:left="0" w:firstLine="0" w:firstLineChars="0"/>
    </w:pPr>
    <w:rPr>
      <w:sz w:val="24"/>
    </w:rPr>
  </w:style>
  <w:style w:type="character" w:customStyle="1" w:styleId="326">
    <w:name w:val="表格文字2 Char"/>
    <w:link w:val="222"/>
    <w:qFormat/>
    <w:uiPriority w:val="0"/>
    <w:rPr>
      <w:sz w:val="24"/>
    </w:rPr>
  </w:style>
  <w:style w:type="paragraph" w:customStyle="1" w:styleId="327">
    <w:name w:val="无间距"/>
    <w:qFormat/>
    <w:uiPriority w:val="1"/>
    <w:pPr>
      <w:widowControl w:val="0"/>
      <w:jc w:val="both"/>
    </w:pPr>
    <w:rPr>
      <w:rFonts w:ascii="Calibri" w:hAnsi="Calibri" w:eastAsia="宋体" w:cs="Times New Roman"/>
      <w:kern w:val="2"/>
      <w:sz w:val="21"/>
      <w:lang w:val="en-US" w:eastAsia="zh-CN" w:bidi="ar-SA"/>
    </w:rPr>
  </w:style>
  <w:style w:type="paragraph" w:customStyle="1" w:styleId="328">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b/>
      <w:bCs/>
      <w:sz w:val="24"/>
      <w:lang w:val="zh-CN"/>
    </w:rPr>
  </w:style>
  <w:style w:type="paragraph" w:customStyle="1" w:styleId="329">
    <w:name w:val="表格标题1"/>
    <w:basedOn w:val="1"/>
    <w:qFormat/>
    <w:uiPriority w:val="0"/>
    <w:pPr>
      <w:spacing w:line="460" w:lineRule="exact"/>
      <w:jc w:val="center"/>
    </w:pPr>
    <w:rPr>
      <w:rFonts w:hAnsi="宋体"/>
      <w:b/>
      <w:szCs w:val="21"/>
    </w:rPr>
  </w:style>
  <w:style w:type="paragraph" w:customStyle="1" w:styleId="330">
    <w:name w:val="环评正文1"/>
    <w:basedOn w:val="129"/>
    <w:qFormat/>
    <w:uiPriority w:val="0"/>
    <w:pPr>
      <w:spacing w:line="500" w:lineRule="exact"/>
      <w:ind w:firstLine="472" w:firstLineChars="200"/>
    </w:pPr>
    <w:rPr>
      <w:rFonts w:hAnsi="宋体"/>
      <w:spacing w:val="-2"/>
      <w:szCs w:val="24"/>
    </w:rPr>
  </w:style>
  <w:style w:type="paragraph" w:customStyle="1" w:styleId="331">
    <w:name w:val="标后注释"/>
    <w:basedOn w:val="1"/>
    <w:qFormat/>
    <w:uiPriority w:val="0"/>
    <w:pPr>
      <w:spacing w:line="460" w:lineRule="exact"/>
    </w:pPr>
    <w:rPr>
      <w:szCs w:val="21"/>
    </w:rPr>
  </w:style>
  <w:style w:type="paragraph" w:customStyle="1" w:styleId="332">
    <w:name w:val="列表1"/>
    <w:basedOn w:val="1"/>
    <w:next w:val="30"/>
    <w:qFormat/>
    <w:uiPriority w:val="0"/>
    <w:pPr>
      <w:spacing w:line="240" w:lineRule="exact"/>
      <w:jc w:val="center"/>
    </w:pPr>
    <w:rPr>
      <w:sz w:val="24"/>
      <w:szCs w:val="20"/>
    </w:rPr>
  </w:style>
  <w:style w:type="paragraph" w:customStyle="1" w:styleId="333">
    <w:name w:val="正文1234"/>
    <w:basedOn w:val="1"/>
    <w:qFormat/>
    <w:uiPriority w:val="0"/>
    <w:pPr>
      <w:spacing w:line="500" w:lineRule="exact"/>
      <w:ind w:firstLine="480" w:firstLineChars="200"/>
    </w:pPr>
    <w:rPr>
      <w:sz w:val="24"/>
    </w:rPr>
  </w:style>
  <w:style w:type="paragraph" w:customStyle="1" w:styleId="334">
    <w:name w:val="表1234"/>
    <w:basedOn w:val="1"/>
    <w:qFormat/>
    <w:uiPriority w:val="0"/>
    <w:pPr>
      <w:spacing w:line="460" w:lineRule="exact"/>
      <w:jc w:val="center"/>
    </w:pPr>
    <w:rPr>
      <w:b/>
      <w:bCs/>
      <w:spacing w:val="-2"/>
      <w:szCs w:val="21"/>
    </w:rPr>
  </w:style>
  <w:style w:type="paragraph" w:customStyle="1" w:styleId="335">
    <w:name w:val="表格后"/>
    <w:basedOn w:val="1"/>
    <w:qFormat/>
    <w:uiPriority w:val="0"/>
    <w:pPr>
      <w:spacing w:line="460" w:lineRule="exact"/>
      <w:ind w:firstLine="420" w:firstLineChars="200"/>
      <w:contextualSpacing/>
      <w:jc w:val="left"/>
    </w:pPr>
    <w:rPr>
      <w:szCs w:val="21"/>
    </w:rPr>
  </w:style>
  <w:style w:type="paragraph" w:customStyle="1" w:styleId="336">
    <w:name w:val="表格样式"/>
    <w:basedOn w:val="1"/>
    <w:qFormat/>
    <w:uiPriority w:val="99"/>
    <w:pPr>
      <w:jc w:val="center"/>
    </w:pPr>
    <w:rPr>
      <w:rFonts w:ascii="宋体" w:hAnsi="宋体"/>
      <w:b/>
      <w:color w:val="000000"/>
      <w:sz w:val="24"/>
    </w:rPr>
  </w:style>
  <w:style w:type="paragraph" w:customStyle="1" w:styleId="337">
    <w:name w:val="表格五号"/>
    <w:basedOn w:val="1"/>
    <w:next w:val="1"/>
    <w:qFormat/>
    <w:uiPriority w:val="0"/>
    <w:pPr>
      <w:spacing w:line="280" w:lineRule="exact"/>
      <w:jc w:val="center"/>
    </w:pPr>
    <w:rPr>
      <w:szCs w:val="21"/>
    </w:rPr>
  </w:style>
  <w:style w:type="paragraph" w:customStyle="1" w:styleId="338">
    <w:name w:val="表中正文"/>
    <w:basedOn w:val="1"/>
    <w:qFormat/>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339">
    <w:name w:val="xl55"/>
    <w:basedOn w:val="1"/>
    <w:qFormat/>
    <w:uiPriority w:val="0"/>
    <w:pPr>
      <w:widowControl/>
      <w:pBdr>
        <w:bottom w:val="single" w:color="auto" w:sz="4" w:space="0"/>
      </w:pBdr>
      <w:spacing w:before="100" w:beforeAutospacing="1" w:after="100" w:afterAutospacing="1"/>
      <w:jc w:val="left"/>
    </w:pPr>
    <w:rPr>
      <w:rFonts w:ascii="宋体" w:hAnsi="宋体"/>
      <w:kern w:val="0"/>
      <w:sz w:val="24"/>
    </w:rPr>
  </w:style>
  <w:style w:type="character" w:customStyle="1" w:styleId="340">
    <w:name w:val="1.1.1 三级标题 Char"/>
    <w:basedOn w:val="42"/>
    <w:link w:val="341"/>
    <w:qFormat/>
    <w:locked/>
    <w:uiPriority w:val="0"/>
    <w:rPr>
      <w:rFonts w:ascii="Times New Roman"/>
      <w:b/>
      <w:color w:val="auto"/>
      <w:sz w:val="24"/>
      <w:szCs w:val="24"/>
    </w:rPr>
  </w:style>
  <w:style w:type="paragraph" w:customStyle="1" w:styleId="341">
    <w:name w:val="1.1.1 三级标题"/>
    <w:basedOn w:val="18"/>
    <w:link w:val="340"/>
    <w:qFormat/>
    <w:uiPriority w:val="0"/>
    <w:pPr>
      <w:ind w:firstLine="0"/>
      <w:jc w:val="left"/>
    </w:pPr>
  </w:style>
  <w:style w:type="paragraph" w:customStyle="1" w:styleId="342">
    <w:name w:val="正文01新"/>
    <w:basedOn w:val="1"/>
    <w:qFormat/>
    <w:uiPriority w:val="0"/>
    <w:pPr>
      <w:spacing w:beforeLines="30" w:line="460" w:lineRule="exact"/>
    </w:pPr>
    <w:rPr>
      <w:snapToGrid w:val="0"/>
      <w:kern w:val="0"/>
      <w:sz w:val="24"/>
    </w:rPr>
  </w:style>
  <w:style w:type="paragraph" w:customStyle="1" w:styleId="343">
    <w:name w:val="二级标题"/>
    <w:basedOn w:val="1"/>
    <w:qFormat/>
    <w:uiPriority w:val="0"/>
    <w:pPr>
      <w:spacing w:before="60" w:line="460" w:lineRule="exact"/>
      <w:outlineLvl w:val="1"/>
    </w:pPr>
    <w:rPr>
      <w:rFonts w:ascii="Calibri" w:hAnsi="Calibri"/>
      <w:b/>
      <w:bCs/>
      <w:sz w:val="28"/>
    </w:rPr>
  </w:style>
  <w:style w:type="paragraph" w:customStyle="1" w:styleId="344">
    <w:name w:val="(1表格"/>
    <w:basedOn w:val="1"/>
    <w:qFormat/>
    <w:uiPriority w:val="0"/>
    <w:pPr>
      <w:spacing w:line="460" w:lineRule="atLeast"/>
      <w:jc w:val="center"/>
    </w:pPr>
    <w:rPr>
      <w:rFonts w:hAnsi="宋体"/>
      <w:kern w:val="0"/>
      <w:szCs w:val="21"/>
    </w:rPr>
  </w:style>
  <w:style w:type="paragraph" w:customStyle="1" w:styleId="345">
    <w:name w:val="1正文"/>
    <w:basedOn w:val="1"/>
    <w:qFormat/>
    <w:uiPriority w:val="0"/>
    <w:pPr>
      <w:spacing w:line="500" w:lineRule="exact"/>
      <w:ind w:firstLine="200" w:firstLineChars="200"/>
    </w:pPr>
  </w:style>
  <w:style w:type="character" w:customStyle="1" w:styleId="346">
    <w:name w:val="NormalCharacter"/>
    <w:qFormat/>
    <w:uiPriority w:val="0"/>
  </w:style>
  <w:style w:type="paragraph" w:customStyle="1" w:styleId="347">
    <w:name w:val="Table Paragraph"/>
    <w:basedOn w:val="1"/>
    <w:qFormat/>
    <w:uiPriority w:val="1"/>
    <w:pPr>
      <w:jc w:val="left"/>
    </w:pPr>
    <w:rPr>
      <w:rFonts w:ascii="Calibri" w:hAnsi="Calibri"/>
      <w:kern w:val="0"/>
      <w:sz w:val="22"/>
      <w:szCs w:val="22"/>
      <w:lang w:eastAsia="en-US"/>
    </w:rPr>
  </w:style>
  <w:style w:type="paragraph" w:customStyle="1" w:styleId="348">
    <w:name w:val="正文环评"/>
    <w:basedOn w:val="1"/>
    <w:qFormat/>
    <w:uiPriority w:val="0"/>
    <w:pPr>
      <w:spacing w:line="500" w:lineRule="exact"/>
      <w:ind w:firstLine="480" w:firstLineChars="200"/>
    </w:pPr>
    <w:rPr>
      <w:sz w:val="24"/>
    </w:rPr>
  </w:style>
  <w:style w:type="paragraph" w:customStyle="1" w:styleId="349">
    <w:name w:val="环评文本"/>
    <w:basedOn w:val="1"/>
    <w:qFormat/>
    <w:uiPriority w:val="0"/>
    <w:pPr>
      <w:spacing w:line="500" w:lineRule="exact"/>
      <w:ind w:firstLine="480" w:firstLineChars="200"/>
    </w:pPr>
    <w:rPr>
      <w:color w:val="000000"/>
      <w:sz w:val="24"/>
      <w:lang w:val="zh-CN"/>
    </w:rPr>
  </w:style>
  <w:style w:type="paragraph" w:customStyle="1" w:styleId="350">
    <w:name w:val="Char Char Char Char Char Char Char Char Char Char Char Char Char Char Char Char Char Char Char Char Char Char Char Char Char Char Char Char Char Char2 Char Char Char Char Char Char Char Char Char Char Char Char Char Char Char Char Char Char Char1"/>
    <w:basedOn w:val="1"/>
    <w:qFormat/>
    <w:uiPriority w:val="99"/>
    <w:rPr>
      <w:sz w:val="24"/>
    </w:rPr>
  </w:style>
  <w:style w:type="paragraph" w:customStyle="1" w:styleId="351">
    <w:name w:val="目录 11"/>
    <w:basedOn w:val="1"/>
    <w:next w:val="1"/>
    <w:qFormat/>
    <w:uiPriority w:val="0"/>
    <w:pPr>
      <w:tabs>
        <w:tab w:val="right" w:leader="dot" w:pos="8118"/>
      </w:tabs>
      <w:snapToGrid w:val="0"/>
      <w:spacing w:line="360" w:lineRule="auto"/>
      <w:ind w:left="420" w:leftChars="200" w:right="155" w:rightChars="74"/>
      <w:jc w:val="left"/>
    </w:pPr>
    <w:rPr>
      <w:rFonts w:ascii="仿宋_GB2312" w:eastAsia="仿宋_GB2312"/>
      <w:b/>
      <w:sz w:val="24"/>
    </w:rPr>
  </w:style>
  <w:style w:type="paragraph" w:customStyle="1" w:styleId="352">
    <w:name w:val="biaoge"/>
    <w:basedOn w:val="223"/>
    <w:qFormat/>
    <w:uiPriority w:val="0"/>
    <w:rPr>
      <w:kern w:val="0"/>
    </w:rPr>
  </w:style>
  <w:style w:type="paragraph" w:customStyle="1" w:styleId="353">
    <w:name w:val="表格标题001"/>
    <w:basedOn w:val="1"/>
    <w:qFormat/>
    <w:uiPriority w:val="0"/>
    <w:pPr>
      <w:spacing w:line="460" w:lineRule="exact"/>
      <w:jc w:val="center"/>
    </w:pPr>
    <w:rPr>
      <w:b/>
      <w:bCs/>
    </w:rPr>
  </w:style>
  <w:style w:type="paragraph" w:customStyle="1" w:styleId="354">
    <w:name w:val="环评正文3"/>
    <w:basedOn w:val="1"/>
    <w:qFormat/>
    <w:uiPriority w:val="0"/>
    <w:pPr>
      <w:spacing w:line="500" w:lineRule="atLeast"/>
      <w:ind w:firstLine="480" w:firstLineChars="200"/>
    </w:pPr>
    <w:rPr>
      <w:sz w:val="24"/>
    </w:rPr>
  </w:style>
  <w:style w:type="table" w:customStyle="1" w:styleId="355">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emf"/><Relationship Id="rId38" Type="http://schemas.openxmlformats.org/officeDocument/2006/relationships/oleObject" Target="embeddings/oleObject6.bin"/><Relationship Id="rId37" Type="http://schemas.openxmlformats.org/officeDocument/2006/relationships/image" Target="media/image9.emf"/><Relationship Id="rId36" Type="http://schemas.openxmlformats.org/officeDocument/2006/relationships/oleObject" Target="embeddings/oleObject5.bin"/><Relationship Id="rId35" Type="http://schemas.openxmlformats.org/officeDocument/2006/relationships/image" Target="media/image8.png"/><Relationship Id="rId34" Type="http://schemas.openxmlformats.org/officeDocument/2006/relationships/image" Target="media/image7.emf"/><Relationship Id="rId33" Type="http://schemas.openxmlformats.org/officeDocument/2006/relationships/oleObject" Target="embeddings/oleObject4.bin"/><Relationship Id="rId32" Type="http://schemas.openxmlformats.org/officeDocument/2006/relationships/image" Target="media/image6.emf"/><Relationship Id="rId31" Type="http://schemas.openxmlformats.org/officeDocument/2006/relationships/oleObject" Target="embeddings/oleObject3.bin"/><Relationship Id="rId30" Type="http://schemas.openxmlformats.org/officeDocument/2006/relationships/image" Target="media/image5.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4.png"/><Relationship Id="rId27" Type="http://schemas.openxmlformats.org/officeDocument/2006/relationships/image" Target="media/image3.emf"/><Relationship Id="rId26" Type="http://schemas.openxmlformats.org/officeDocument/2006/relationships/oleObject" Target="embeddings/oleObject1.bin"/><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421F7C-E6D5-40C3-9732-E378032B7BF3}">
  <ds:schemaRefs/>
</ds:datastoreItem>
</file>

<file path=docProps/app.xml><?xml version="1.0" encoding="utf-8"?>
<Properties xmlns="http://schemas.openxmlformats.org/officeDocument/2006/extended-properties" xmlns:vt="http://schemas.openxmlformats.org/officeDocument/2006/docPropsVTypes">
  <Template>Normal</Template>
  <Company>cnhdi</Company>
  <Pages>85</Pages>
  <Words>42902</Words>
  <Characters>50237</Characters>
  <Lines>395</Lines>
  <Paragraphs>111</Paragraphs>
  <TotalTime>1</TotalTime>
  <ScaleCrop>false</ScaleCrop>
  <LinksUpToDate>false</LinksUpToDate>
  <CharactersWithSpaces>51320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2022-01-17T13:50:00Z</dcterms:created>
  <dc:creator>cnhdi</dc:creator>
  <cp:lastModifiedBy>怎么会无时无刻把你梦</cp:lastModifiedBy>
  <cp:lastPrinted>2022-02-21T02:15:00Z</cp:lastPrinted>
  <dcterms:modified xsi:type="dcterms:W3CDTF">2022-09-14T05:48:49Z</dcterms:modified>
  <dc:title>建设项目环境影响报告表</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E29133CC644E47D288FE0EB30A369BF0</vt:lpwstr>
  </property>
</Properties>
</file>